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0"/>
      </w:pPr>
      <w:r>
        <w:rPr/>
        <w:pict>
          <v:group style="position:absolute;margin-left:0pt;margin-top:.1499pt;width:612pt;height:791.85pt;mso-position-horizontal-relative:page;mso-position-vertical-relative:page;z-index:-300640" coordorigin="0,3" coordsize="12240,15837">
            <v:rect style="position:absolute;left:0;top:9743;width:12240;height:2210" filled="true" fillcolor="#d12229" stroked="false">
              <v:fill type="solid"/>
            </v:rect>
            <v:shape style="position:absolute;left:0;top:3;width:12240;height:9680" type="#_x0000_t75" stroked="false">
              <v:imagedata r:id="rId5" o:title=""/>
            </v:shape>
            <v:shape style="position:absolute;left:0;top:11983;width:7524;height:3857" type="#_x0000_t75" stroked="false">
              <v:imagedata r:id="rId6" o:title=""/>
            </v:shape>
            <v:shape style="position:absolute;left:-60;top:12600;width:4929;height:9620" coordorigin="-60,12600" coordsize="4929,9620" path="m7370,3243l12239,3243m7310,3l7310,9623e" filled="false" stroked="true" strokeweight="6pt" strokecolor="#ffffff">
              <v:path arrowok="t"/>
              <v:stroke dashstyle="solid"/>
            </v:shape>
            <v:rect style="position:absolute;left:0;top:11952;width:12240;height:120" filled="true" fillcolor="#ffffff" stroked="false">
              <v:fill type="solid"/>
            </v:rect>
            <v:line style="position:absolute" from="0,9683" to="12240,9683" stroked="true" strokeweight="6pt" strokecolor="#ffffff">
              <v:stroke dashstyle="solid"/>
            </v:line>
            <v:shape style="position:absolute;left:7968;top:12617;width:619;height:322" coordorigin="7968,12617" coordsize="619,322" path="m7968,12617l7968,12712,8051,12725,8132,12742,8212,12764,8290,12792,8366,12822,8442,12857,8515,12896,8587,12938,8587,12924,8523,12878,8459,12834,8392,12794,8324,12755,8255,12721,8185,12689,8114,12662,8042,12637,7968,12617xe" filled="true" fillcolor="#ffd200" stroked="false">
              <v:path arrowok="t"/>
              <v:fill type="solid"/>
            </v:shape>
            <v:shape style="position:absolute;left:7968;top:12782;width:619;height:373" coordorigin="7968,12783" coordsize="619,373" path="m8279,13036l8018,13155,8541,13155,8279,13036xm8510,12963l8331,12963,8370,12966,8409,12979,8467,13004,8499,13017,8522,13030,8548,13048,8587,13082,8587,13008,8510,12963xm7968,12783l7968,13080,8024,13040,8068,13015,8122,12993,8155,12977,8181,12968,8218,12965,8276,12965,8331,12963,8510,12963,8442,12927,8367,12892,8290,12861,8212,12835,8132,12813,8051,12796,7968,12783xe" filled="true" fillcolor="#000000" stroked="false">
              <v:path arrowok="t"/>
              <v:fill type="solid"/>
            </v:shape>
            <v:shape style="position:absolute;left:7968;top:13835;width:619;height:323" coordorigin="7968,13836" coordsize="619,323" path="m7968,13836l7968,13850,8032,13897,8097,13940,8163,13981,8231,14020,8301,14054,8371,14085,8441,14113,8514,14137,8587,14158,8587,14062,8505,14050,8424,14033,8344,14011,8265,13983,8188,13952,8114,13918,8040,13879,7968,13836xe" filled="true" fillcolor="#e21836" stroked="false">
              <v:path arrowok="t"/>
              <v:fill type="solid"/>
            </v:shape>
            <v:shape style="position:absolute;left:8051;top:13201;width:446;height:768" coordorigin="8052,13202" coordsize="446,768" path="m8100,13202l8077,13207,8064,13227,8052,13267,8052,13806,8084,13827,8105,13839,8121,13847,8141,13854,8141,13205,8100,13202xm8279,13202l8256,13207,8243,13227,8230,13267,8230,13890,8244,13898,8258,13905,8281,13912,8320,13924,8320,13205,8279,13202xm8456,13202l8433,13207,8420,13227,8407,13267,8407,13948,8424,13955,8439,13959,8461,13963,8497,13969,8497,13205,8456,13202xe" filled="true" fillcolor="#000000" stroked="false">
              <v:path arrowok="t"/>
              <v:fill type="solid"/>
            </v:shape>
            <v:shape style="position:absolute;left:8665;top:12950;width:2403;height:323" type="#_x0000_t75" stroked="false">
              <v:imagedata r:id="rId7" o:title=""/>
            </v:shape>
            <v:shape style="position:absolute;left:8711;top:13330;width:2618;height:354" type="#_x0000_t75" stroked="false">
              <v:imagedata r:id="rId8" o:title=""/>
            </v:shape>
            <w10:wrap type="none"/>
          </v:group>
        </w:pic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2"/>
        <w:ind w:left="0"/>
        <w:rPr>
          <w:sz w:val="23"/>
        </w:rPr>
      </w:pPr>
    </w:p>
    <w:p>
      <w:pPr>
        <w:spacing w:before="88"/>
        <w:ind w:left="1361" w:right="0" w:firstLine="0"/>
        <w:jc w:val="left"/>
        <w:rPr>
          <w:rFonts w:ascii="Century Gothic"/>
          <w:sz w:val="36"/>
        </w:rPr>
      </w:pPr>
      <w:r>
        <w:rPr>
          <w:rFonts w:ascii="Century Gothic"/>
          <w:color w:val="FFFFFF"/>
          <w:w w:val="110"/>
          <w:sz w:val="36"/>
        </w:rPr>
        <w:t>2020-2021 GRADUATE SCHOOL CATALOG</w:t>
      </w:r>
    </w:p>
    <w:p>
      <w:pPr>
        <w:pStyle w:val="BodyText"/>
        <w:spacing w:before="0"/>
        <w:ind w:left="0"/>
        <w:rPr>
          <w:rFonts w:ascii="Century Gothic"/>
          <w:sz w:val="42"/>
        </w:rPr>
      </w:pPr>
    </w:p>
    <w:p>
      <w:pPr>
        <w:pStyle w:val="BodyText"/>
        <w:spacing w:before="0"/>
        <w:ind w:left="0"/>
        <w:rPr>
          <w:rFonts w:ascii="Century Gothic"/>
          <w:sz w:val="42"/>
        </w:rPr>
      </w:pPr>
    </w:p>
    <w:p>
      <w:pPr>
        <w:pStyle w:val="BodyText"/>
        <w:spacing w:before="0"/>
        <w:ind w:left="0"/>
        <w:rPr>
          <w:rFonts w:ascii="Century Gothic"/>
          <w:sz w:val="42"/>
        </w:rPr>
      </w:pPr>
    </w:p>
    <w:p>
      <w:pPr>
        <w:pStyle w:val="BodyText"/>
        <w:spacing w:before="0"/>
        <w:ind w:left="0"/>
        <w:rPr>
          <w:rFonts w:ascii="Century Gothic"/>
          <w:sz w:val="42"/>
        </w:rPr>
      </w:pPr>
    </w:p>
    <w:p>
      <w:pPr>
        <w:pStyle w:val="BodyText"/>
        <w:spacing w:before="5"/>
        <w:ind w:left="0"/>
        <w:rPr>
          <w:rFonts w:ascii="Century Gothic"/>
          <w:sz w:val="58"/>
        </w:rPr>
      </w:pPr>
    </w:p>
    <w:p>
      <w:pPr>
        <w:spacing w:before="0"/>
        <w:ind w:left="0" w:right="886" w:firstLine="0"/>
        <w:jc w:val="right"/>
        <w:rPr>
          <w:rFonts w:ascii="Calibri"/>
          <w:b/>
          <w:sz w:val="32"/>
        </w:rPr>
      </w:pPr>
      <w:r>
        <w:rPr>
          <w:rFonts w:ascii="Calibri"/>
          <w:b/>
          <w:sz w:val="32"/>
        </w:rPr>
        <w:t>Graduate School</w:t>
      </w:r>
    </w:p>
    <w:p>
      <w:pPr>
        <w:spacing w:after="0"/>
        <w:jc w:val="right"/>
        <w:rPr>
          <w:rFonts w:ascii="Calibri"/>
          <w:sz w:val="32"/>
        </w:rPr>
        <w:sectPr>
          <w:type w:val="continuous"/>
          <w:pgSz w:w="12240" w:h="15840"/>
          <w:pgMar w:top="1500" w:bottom="280" w:left="880" w:right="300"/>
        </w:sectPr>
      </w:pPr>
    </w:p>
    <w:p>
      <w:pPr>
        <w:pStyle w:val="BodyText"/>
        <w:spacing w:before="0"/>
        <w:ind w:left="0"/>
        <w:rPr>
          <w:rFonts w:ascii="Calibri"/>
          <w:b/>
        </w:rPr>
      </w:pPr>
      <w:r>
        <w:rPr/>
        <w:drawing>
          <wp:anchor distT="0" distB="0" distL="0" distR="0" allowOverlap="1" layoutInCell="1" locked="0" behindDoc="1" simplePos="0" relativeHeight="268134839">
            <wp:simplePos x="0" y="0"/>
            <wp:positionH relativeFrom="page">
              <wp:posOffset>228600</wp:posOffset>
            </wp:positionH>
            <wp:positionV relativeFrom="page">
              <wp:posOffset>245745</wp:posOffset>
            </wp:positionV>
            <wp:extent cx="7315199" cy="9601199"/>
            <wp:effectExtent l="0" t="0" r="0" b="0"/>
            <wp:wrapNone/>
            <wp:docPr id="1" name="image5.png" descr=""/>
            <wp:cNvGraphicFramePr>
              <a:graphicFrameLocks noChangeAspect="1"/>
            </wp:cNvGraphicFramePr>
            <a:graphic>
              <a:graphicData uri="http://schemas.openxmlformats.org/drawingml/2006/picture">
                <pic:pic>
                  <pic:nvPicPr>
                    <pic:cNvPr id="2" name="image5.png"/>
                    <pic:cNvPicPr/>
                  </pic:nvPicPr>
                  <pic:blipFill>
                    <a:blip r:embed="rId9" cstate="print"/>
                    <a:stretch>
                      <a:fillRect/>
                    </a:stretch>
                  </pic:blipFill>
                  <pic:spPr>
                    <a:xfrm>
                      <a:off x="0" y="0"/>
                      <a:ext cx="7315199" cy="9601199"/>
                    </a:xfrm>
                    <a:prstGeom prst="rect">
                      <a:avLst/>
                    </a:prstGeom>
                  </pic:spPr>
                </pic:pic>
              </a:graphicData>
            </a:graphic>
          </wp:anchor>
        </w:drawing>
      </w: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pStyle w:val="BodyText"/>
        <w:spacing w:before="0"/>
        <w:ind w:left="0"/>
        <w:rPr>
          <w:rFonts w:ascii="Calibri"/>
          <w:b/>
        </w:rPr>
      </w:pPr>
    </w:p>
    <w:p>
      <w:pPr>
        <w:spacing w:line="342" w:lineRule="exact" w:before="249"/>
        <w:ind w:left="3238" w:right="0" w:firstLine="0"/>
        <w:jc w:val="left"/>
        <w:rPr>
          <w:rFonts w:ascii="Century Gothic"/>
          <w:sz w:val="28"/>
        </w:rPr>
      </w:pPr>
      <w:r>
        <w:rPr>
          <w:rFonts w:ascii="Century Gothic"/>
          <w:color w:val="57585B"/>
          <w:w w:val="115"/>
          <w:sz w:val="28"/>
        </w:rPr>
        <w:t>UNIVERSITY OF MARYLAND, BALTIMORE</w:t>
      </w:r>
    </w:p>
    <w:p>
      <w:pPr>
        <w:spacing w:line="342" w:lineRule="exact" w:before="0"/>
        <w:ind w:left="6680" w:right="0" w:firstLine="0"/>
        <w:jc w:val="left"/>
        <w:rPr>
          <w:rFonts w:ascii="Century Gothic"/>
          <w:sz w:val="28"/>
        </w:rPr>
      </w:pPr>
      <w:r>
        <w:rPr>
          <w:rFonts w:ascii="Century Gothic"/>
          <w:color w:val="57585B"/>
          <w:spacing w:val="19"/>
          <w:w w:val="115"/>
          <w:sz w:val="28"/>
        </w:rPr>
        <w:t>GR</w:t>
      </w:r>
      <w:r>
        <w:rPr>
          <w:rFonts w:ascii="Century Gothic"/>
          <w:color w:val="57585B"/>
          <w:spacing w:val="-49"/>
          <w:w w:val="115"/>
          <w:sz w:val="28"/>
        </w:rPr>
        <w:t> </w:t>
      </w:r>
      <w:r>
        <w:rPr>
          <w:rFonts w:ascii="Century Gothic"/>
          <w:color w:val="57585B"/>
          <w:w w:val="115"/>
          <w:sz w:val="28"/>
        </w:rPr>
        <w:t>A D U </w:t>
      </w:r>
      <w:r>
        <w:rPr>
          <w:rFonts w:ascii="Century Gothic"/>
          <w:color w:val="57585B"/>
          <w:spacing w:val="18"/>
          <w:w w:val="115"/>
          <w:sz w:val="28"/>
        </w:rPr>
        <w:t>ATE </w:t>
      </w:r>
      <w:r>
        <w:rPr>
          <w:rFonts w:ascii="Century Gothic"/>
          <w:color w:val="57585B"/>
          <w:w w:val="115"/>
          <w:sz w:val="28"/>
        </w:rPr>
        <w:t>S C H O O</w:t>
      </w:r>
      <w:r>
        <w:rPr>
          <w:rFonts w:ascii="Century Gothic"/>
          <w:color w:val="57585B"/>
          <w:spacing w:val="-51"/>
          <w:w w:val="115"/>
          <w:sz w:val="28"/>
        </w:rPr>
        <w:t> </w:t>
      </w:r>
      <w:r>
        <w:rPr>
          <w:rFonts w:ascii="Century Gothic"/>
          <w:color w:val="57585B"/>
          <w:w w:val="115"/>
          <w:sz w:val="28"/>
        </w:rPr>
        <w:t>L</w:t>
      </w:r>
    </w:p>
    <w:p>
      <w:pPr>
        <w:spacing w:before="197"/>
        <w:ind w:left="6680" w:right="0" w:firstLine="0"/>
        <w:jc w:val="left"/>
        <w:rPr>
          <w:rFonts w:ascii="Calibri"/>
          <w:sz w:val="44"/>
        </w:rPr>
      </w:pPr>
      <w:r>
        <w:rPr>
          <w:rFonts w:ascii="Calibri"/>
          <w:sz w:val="44"/>
        </w:rPr>
        <w:t>2020-2021</w:t>
      </w:r>
    </w:p>
    <w:p>
      <w:pPr>
        <w:spacing w:after="0"/>
        <w:jc w:val="left"/>
        <w:rPr>
          <w:rFonts w:ascii="Calibri"/>
          <w:sz w:val="44"/>
        </w:rPr>
        <w:sectPr>
          <w:pgSz w:w="12240" w:h="15840"/>
          <w:pgMar w:top="1500" w:bottom="280" w:left="880" w:right="300"/>
        </w:sectPr>
      </w:pPr>
    </w:p>
    <w:p>
      <w:pPr>
        <w:spacing w:before="158"/>
        <w:ind w:left="200" w:right="0" w:firstLine="0"/>
        <w:jc w:val="left"/>
        <w:rPr>
          <w:rFonts w:ascii="Arial"/>
          <w:sz w:val="32"/>
        </w:rPr>
      </w:pPr>
      <w:r>
        <w:rPr>
          <w:rFonts w:ascii="Arial"/>
          <w:color w:val="365F91"/>
          <w:sz w:val="32"/>
        </w:rPr>
        <w:t>Table of Contents</w:t>
      </w:r>
    </w:p>
    <w:p>
      <w:pPr>
        <w:spacing w:after="0"/>
        <w:jc w:val="left"/>
        <w:rPr>
          <w:rFonts w:ascii="Arial"/>
          <w:sz w:val="32"/>
        </w:rPr>
        <w:sectPr>
          <w:pgSz w:w="12240" w:h="15840"/>
          <w:pgMar w:top="1500" w:bottom="1890" w:left="880" w:right="300"/>
        </w:sectPr>
      </w:pPr>
    </w:p>
    <w:sdt>
      <w:sdtPr>
        <w:docPartObj>
          <w:docPartGallery w:val="Table of Contents"/>
          <w:docPartUnique/>
        </w:docPartObj>
      </w:sdtPr>
      <w:sdtEndPr/>
      <w:sdtContent>
        <w:p>
          <w:pPr>
            <w:pStyle w:val="TOC1"/>
            <w:tabs>
              <w:tab w:pos="9559" w:val="right" w:leader="dot"/>
            </w:tabs>
            <w:spacing w:before="67"/>
          </w:pPr>
          <w:r>
            <w:fldChar w:fldCharType="begin"/>
          </w:r>
          <w:r>
            <w:instrText>TOC \o "1-3" \h \z \u </w:instrText>
          </w:r>
          <w:r>
            <w:fldChar w:fldCharType="separate"/>
          </w:r>
          <w:hyperlink w:history="true" w:anchor="_bookmark0">
            <w:r>
              <w:rPr/>
              <w:t>Mission and Vision Statements, Accreditation, State Authorization,</w:t>
            </w:r>
            <w:r>
              <w:rPr>
                <w:spacing w:val="1"/>
              </w:rPr>
              <w:t> </w:t>
            </w:r>
            <w:r>
              <w:rPr/>
              <w:t>and</w:t>
            </w:r>
            <w:r>
              <w:rPr>
                <w:spacing w:val="-3"/>
              </w:rPr>
              <w:t> </w:t>
            </w:r>
            <w:r>
              <w:rPr/>
              <w:t>Disclaimers</w:t>
              <w:tab/>
              <w:t>6</w:t>
            </w:r>
          </w:hyperlink>
        </w:p>
        <w:p>
          <w:pPr>
            <w:pStyle w:val="TOC1"/>
            <w:tabs>
              <w:tab w:pos="9559" w:val="right" w:leader="dot"/>
            </w:tabs>
          </w:pPr>
          <w:hyperlink w:history="true" w:anchor="_bookmark1">
            <w:r>
              <w:rPr/>
              <w:t>General</w:t>
            </w:r>
            <w:r>
              <w:rPr>
                <w:spacing w:val="-2"/>
              </w:rPr>
              <w:t> </w:t>
            </w:r>
            <w:r>
              <w:rPr/>
              <w:t>Information</w:t>
              <w:tab/>
              <w:t>7</w:t>
            </w:r>
          </w:hyperlink>
        </w:p>
        <w:p>
          <w:pPr>
            <w:pStyle w:val="TOC1"/>
            <w:tabs>
              <w:tab w:pos="9559" w:val="right" w:leader="dot"/>
            </w:tabs>
          </w:pPr>
          <w:hyperlink w:history="true" w:anchor="_bookmark2">
            <w:r>
              <w:rPr/>
              <w:t>Admissions</w:t>
              <w:tab/>
              <w:t>8</w:t>
            </w:r>
          </w:hyperlink>
        </w:p>
        <w:p>
          <w:pPr>
            <w:pStyle w:val="TOC1"/>
            <w:tabs>
              <w:tab w:pos="9559" w:val="right" w:leader="dot"/>
            </w:tabs>
            <w:spacing w:before="38"/>
          </w:pPr>
          <w:hyperlink w:history="true" w:anchor="_bookmark3">
            <w:r>
              <w:rPr/>
              <w:t>Registration, Enrollment,</w:t>
            </w:r>
            <w:r>
              <w:rPr>
                <w:spacing w:val="-1"/>
              </w:rPr>
              <w:t> </w:t>
            </w:r>
            <w:r>
              <w:rPr/>
              <w:t>and</w:t>
            </w:r>
            <w:r>
              <w:rPr>
                <w:spacing w:val="-2"/>
              </w:rPr>
              <w:t> </w:t>
            </w:r>
            <w:r>
              <w:rPr/>
              <w:t>Grades</w:t>
              <w:tab/>
              <w:t>14</w:t>
            </w:r>
          </w:hyperlink>
        </w:p>
        <w:p>
          <w:pPr>
            <w:pStyle w:val="TOC1"/>
            <w:tabs>
              <w:tab w:pos="9559" w:val="right" w:leader="dot"/>
            </w:tabs>
            <w:spacing w:before="44"/>
          </w:pPr>
          <w:hyperlink w:history="true" w:anchor="_bookmark4">
            <w:r>
              <w:rPr/>
              <w:t>Academic Standards, Policies, and</w:t>
            </w:r>
            <w:r>
              <w:rPr>
                <w:spacing w:val="5"/>
              </w:rPr>
              <w:t> </w:t>
            </w:r>
            <w:r>
              <w:rPr/>
              <w:t>Degree</w:t>
            </w:r>
            <w:r>
              <w:rPr>
                <w:spacing w:val="-1"/>
              </w:rPr>
              <w:t> </w:t>
            </w:r>
            <w:r>
              <w:rPr/>
              <w:t>Requirements</w:t>
              <w:tab/>
              <w:t>19</w:t>
            </w:r>
          </w:hyperlink>
        </w:p>
        <w:p>
          <w:pPr>
            <w:pStyle w:val="TOC1"/>
            <w:tabs>
              <w:tab w:pos="9559" w:val="right" w:leader="dot"/>
            </w:tabs>
          </w:pPr>
          <w:hyperlink w:history="true" w:anchor="_bookmark5">
            <w:r>
              <w:rPr/>
              <w:t>Financial</w:t>
            </w:r>
            <w:r>
              <w:rPr>
                <w:spacing w:val="-2"/>
              </w:rPr>
              <w:t> </w:t>
            </w:r>
            <w:r>
              <w:rPr/>
              <w:t>Information</w:t>
              <w:tab/>
              <w:t>28</w:t>
            </w:r>
          </w:hyperlink>
        </w:p>
        <w:p>
          <w:pPr>
            <w:pStyle w:val="TOC1"/>
            <w:tabs>
              <w:tab w:pos="9559" w:val="right" w:leader="dot"/>
            </w:tabs>
          </w:pPr>
          <w:hyperlink w:history="true" w:anchor="_bookmark6">
            <w:r>
              <w:rPr/>
              <w:t>Graduate</w:t>
            </w:r>
            <w:r>
              <w:rPr>
                <w:spacing w:val="-1"/>
              </w:rPr>
              <w:t> </w:t>
            </w:r>
            <w:r>
              <w:rPr>
                <w:spacing w:val="-2"/>
              </w:rPr>
              <w:t>School</w:t>
            </w:r>
            <w:r>
              <w:rPr>
                <w:spacing w:val="4"/>
              </w:rPr>
              <w:t> </w:t>
            </w:r>
            <w:r>
              <w:rPr/>
              <w:t>Programs</w:t>
              <w:tab/>
              <w:t>30</w:t>
            </w:r>
          </w:hyperlink>
        </w:p>
        <w:p>
          <w:pPr>
            <w:pStyle w:val="TOC3"/>
            <w:tabs>
              <w:tab w:pos="9559" w:val="right" w:leader="dot"/>
            </w:tabs>
          </w:pPr>
          <w:hyperlink w:history="true" w:anchor="_bookmark7">
            <w:r>
              <w:rPr/>
              <w:t>Aging and</w:t>
            </w:r>
            <w:r>
              <w:rPr>
                <w:spacing w:val="-6"/>
              </w:rPr>
              <w:t> </w:t>
            </w:r>
            <w:r>
              <w:rPr/>
              <w:t>Applied</w:t>
            </w:r>
            <w:r>
              <w:rPr>
                <w:spacing w:val="-3"/>
              </w:rPr>
              <w:t> </w:t>
            </w:r>
            <w:r>
              <w:rPr/>
              <w:t>Thanatology</w:t>
              <w:tab/>
              <w:t>30</w:t>
            </w:r>
          </w:hyperlink>
        </w:p>
        <w:p>
          <w:pPr>
            <w:pStyle w:val="TOC3"/>
            <w:tabs>
              <w:tab w:pos="9560" w:val="right" w:leader="dot"/>
            </w:tabs>
            <w:spacing w:before="43"/>
          </w:pPr>
          <w:hyperlink w:history="true" w:anchor="_bookmark8">
            <w:r>
              <w:rPr/>
              <w:t>Biomedical</w:t>
            </w:r>
            <w:r>
              <w:rPr>
                <w:spacing w:val="3"/>
              </w:rPr>
              <w:t> </w:t>
            </w:r>
            <w:r>
              <w:rPr/>
              <w:t>Sciences-Dental</w:t>
            </w:r>
            <w:r>
              <w:rPr>
                <w:spacing w:val="4"/>
              </w:rPr>
              <w:t> </w:t>
            </w:r>
            <w:r>
              <w:rPr>
                <w:spacing w:val="-4"/>
              </w:rPr>
              <w:t>School</w:t>
              <w:tab/>
            </w:r>
            <w:r>
              <w:rPr/>
              <w:t>32</w:t>
            </w:r>
          </w:hyperlink>
        </w:p>
        <w:p>
          <w:pPr>
            <w:pStyle w:val="TOC3"/>
            <w:tabs>
              <w:tab w:pos="9560" w:val="right" w:leader="dot"/>
            </w:tabs>
          </w:pPr>
          <w:hyperlink w:history="true" w:anchor="_bookmark9">
            <w:r>
              <w:rPr/>
              <w:t>Clinical Aspects </w:t>
            </w:r>
            <w:r>
              <w:rPr>
                <w:spacing w:val="-3"/>
              </w:rPr>
              <w:t>of </w:t>
            </w:r>
            <w:r>
              <w:rPr/>
              <w:t>Hospice and</w:t>
            </w:r>
            <w:r>
              <w:rPr>
                <w:spacing w:val="1"/>
              </w:rPr>
              <w:t> </w:t>
            </w:r>
            <w:r>
              <w:rPr/>
              <w:t>Palliative</w:t>
            </w:r>
            <w:r>
              <w:rPr>
                <w:spacing w:val="-1"/>
              </w:rPr>
              <w:t> </w:t>
            </w:r>
            <w:r>
              <w:rPr/>
              <w:t>Care</w:t>
              <w:tab/>
              <w:t>34</w:t>
            </w:r>
          </w:hyperlink>
        </w:p>
        <w:p>
          <w:pPr>
            <w:pStyle w:val="TOC3"/>
            <w:tabs>
              <w:tab w:pos="9559" w:val="right" w:leader="dot"/>
            </w:tabs>
          </w:pPr>
          <w:hyperlink w:history="true" w:anchor="_bookmark10">
            <w:r>
              <w:rPr/>
              <w:t>Forensic</w:t>
            </w:r>
            <w:r>
              <w:rPr>
                <w:spacing w:val="-1"/>
              </w:rPr>
              <w:t> </w:t>
            </w:r>
            <w:r>
              <w:rPr/>
              <w:t>Medicine</w:t>
              <w:tab/>
              <w:t>35</w:t>
            </w:r>
          </w:hyperlink>
        </w:p>
        <w:p>
          <w:pPr>
            <w:pStyle w:val="TOC3"/>
            <w:tabs>
              <w:tab w:pos="9559" w:val="right" w:leader="dot"/>
            </w:tabs>
          </w:pPr>
          <w:hyperlink w:history="true" w:anchor="_bookmark11">
            <w:r>
              <w:rPr/>
              <w:t>Global</w:t>
            </w:r>
            <w:r>
              <w:rPr>
                <w:spacing w:val="3"/>
              </w:rPr>
              <w:t> </w:t>
            </w:r>
            <w:r>
              <w:rPr/>
              <w:t>Health</w:t>
              <w:tab/>
              <w:t>37</w:t>
            </w:r>
          </w:hyperlink>
        </w:p>
        <w:p>
          <w:pPr>
            <w:pStyle w:val="TOC3"/>
            <w:tabs>
              <w:tab w:pos="9559" w:val="right" w:leader="dot"/>
            </w:tabs>
            <w:spacing w:before="43"/>
          </w:pPr>
          <w:hyperlink w:history="true" w:anchor="_bookmark12">
            <w:r>
              <w:rPr/>
              <w:t>Global Health Systems</w:t>
            </w:r>
            <w:r>
              <w:rPr>
                <w:spacing w:val="6"/>
              </w:rPr>
              <w:t> </w:t>
            </w:r>
            <w:r>
              <w:rPr/>
              <w:t>and</w:t>
            </w:r>
            <w:r>
              <w:rPr>
                <w:spacing w:val="-2"/>
              </w:rPr>
              <w:t> </w:t>
            </w:r>
            <w:r>
              <w:rPr/>
              <w:t>Innovation</w:t>
              <w:tab/>
              <w:t>40</w:t>
            </w:r>
          </w:hyperlink>
        </w:p>
        <w:p>
          <w:pPr>
            <w:pStyle w:val="TOC3"/>
            <w:tabs>
              <w:tab w:pos="9560" w:val="right" w:leader="dot"/>
            </w:tabs>
          </w:pPr>
          <w:hyperlink w:history="true" w:anchor="_bookmark13">
            <w:r>
              <w:rPr/>
              <w:t>Graduate Program in</w:t>
            </w:r>
            <w:r>
              <w:rPr>
                <w:spacing w:val="-1"/>
              </w:rPr>
              <w:t> </w:t>
            </w:r>
            <w:r>
              <w:rPr/>
              <w:t>Life</w:t>
            </w:r>
            <w:r>
              <w:rPr>
                <w:spacing w:val="-1"/>
              </w:rPr>
              <w:t> </w:t>
            </w:r>
            <w:r>
              <w:rPr/>
              <w:t>Sciences</w:t>
              <w:tab/>
              <w:t>42</w:t>
            </w:r>
          </w:hyperlink>
        </w:p>
        <w:p>
          <w:pPr>
            <w:pStyle w:val="TOC3"/>
            <w:tabs>
              <w:tab w:pos="9560" w:val="right" w:leader="dot"/>
            </w:tabs>
          </w:pPr>
          <w:hyperlink w:history="true" w:anchor="_bookmark14">
            <w:r>
              <w:rPr/>
              <w:t>Biochemistry and</w:t>
            </w:r>
            <w:r>
              <w:rPr>
                <w:spacing w:val="-10"/>
              </w:rPr>
              <w:t> </w:t>
            </w:r>
            <w:r>
              <w:rPr/>
              <w:t>Molecular</w:t>
            </w:r>
            <w:r>
              <w:rPr>
                <w:spacing w:val="2"/>
              </w:rPr>
              <w:t> </w:t>
            </w:r>
            <w:r>
              <w:rPr/>
              <w:t>Biology</w:t>
              <w:tab/>
              <w:t>43</w:t>
            </w:r>
          </w:hyperlink>
        </w:p>
        <w:p>
          <w:pPr>
            <w:pStyle w:val="TOC3"/>
            <w:tabs>
              <w:tab w:pos="9559" w:val="right" w:leader="dot"/>
            </w:tabs>
          </w:pPr>
          <w:hyperlink w:history="true" w:anchor="_bookmark15">
            <w:r>
              <w:rPr/>
              <w:t>Cellular and Molecular</w:t>
            </w:r>
            <w:r>
              <w:rPr>
                <w:spacing w:val="6"/>
              </w:rPr>
              <w:t> </w:t>
            </w:r>
            <w:r>
              <w:rPr/>
              <w:t>Biomedical</w:t>
            </w:r>
            <w:r>
              <w:rPr>
                <w:spacing w:val="-1"/>
              </w:rPr>
              <w:t> </w:t>
            </w:r>
            <w:r>
              <w:rPr/>
              <w:t>Science</w:t>
              <w:tab/>
              <w:t>45</w:t>
            </w:r>
          </w:hyperlink>
        </w:p>
        <w:p>
          <w:pPr>
            <w:pStyle w:val="TOC3"/>
            <w:tabs>
              <w:tab w:pos="9559" w:val="right" w:leader="dot"/>
            </w:tabs>
          </w:pPr>
          <w:hyperlink w:history="true" w:anchor="_bookmark16">
            <w:r>
              <w:rPr/>
              <w:t>Epidemiology and</w:t>
            </w:r>
            <w:r>
              <w:rPr>
                <w:spacing w:val="-10"/>
              </w:rPr>
              <w:t> </w:t>
            </w:r>
            <w:r>
              <w:rPr/>
              <w:t>Human</w:t>
            </w:r>
            <w:r>
              <w:rPr>
                <w:spacing w:val="2"/>
              </w:rPr>
              <w:t> </w:t>
            </w:r>
            <w:r>
              <w:rPr/>
              <w:t>Genetics</w:t>
              <w:tab/>
              <w:t>47</w:t>
            </w:r>
          </w:hyperlink>
        </w:p>
        <w:p>
          <w:pPr>
            <w:pStyle w:val="TOC3"/>
            <w:tabs>
              <w:tab w:pos="9560" w:val="right" w:leader="dot"/>
            </w:tabs>
            <w:spacing w:before="43"/>
          </w:pPr>
          <w:hyperlink w:history="true" w:anchor="_bookmark17">
            <w:r>
              <w:rPr/>
              <w:t>Gerontology</w:t>
              <w:tab/>
              <w:t>51</w:t>
            </w:r>
          </w:hyperlink>
        </w:p>
        <w:p>
          <w:pPr>
            <w:pStyle w:val="TOC3"/>
            <w:tabs>
              <w:tab w:pos="9559" w:val="right" w:leader="dot"/>
            </w:tabs>
          </w:pPr>
          <w:hyperlink w:history="true" w:anchor="_bookmark18">
            <w:r>
              <w:rPr/>
              <w:t>Human Genetics and</w:t>
            </w:r>
            <w:r>
              <w:rPr>
                <w:spacing w:val="4"/>
              </w:rPr>
              <w:t> </w:t>
            </w:r>
            <w:r>
              <w:rPr/>
              <w:t>Genomic</w:t>
            </w:r>
            <w:r>
              <w:rPr>
                <w:spacing w:val="-1"/>
              </w:rPr>
              <w:t> </w:t>
            </w:r>
            <w:r>
              <w:rPr/>
              <w:t>Medicine</w:t>
              <w:tab/>
              <w:t>52</w:t>
            </w:r>
          </w:hyperlink>
        </w:p>
        <w:p>
          <w:pPr>
            <w:pStyle w:val="TOC3"/>
            <w:tabs>
              <w:tab w:pos="9559" w:val="right" w:leader="dot"/>
            </w:tabs>
          </w:pPr>
          <w:hyperlink w:history="true" w:anchor="_bookmark19">
            <w:r>
              <w:rPr/>
              <w:t>Molecular</w:t>
            </w:r>
            <w:r>
              <w:rPr>
                <w:spacing w:val="6"/>
              </w:rPr>
              <w:t> </w:t>
            </w:r>
            <w:r>
              <w:rPr/>
              <w:t>Medicine</w:t>
              <w:tab/>
              <w:t>53</w:t>
            </w:r>
          </w:hyperlink>
        </w:p>
        <w:p>
          <w:pPr>
            <w:pStyle w:val="TOC3"/>
            <w:tabs>
              <w:tab w:pos="9560" w:val="right" w:leader="dot"/>
            </w:tabs>
          </w:pPr>
          <w:hyperlink w:history="true" w:anchor="_bookmark20">
            <w:r>
              <w:rPr/>
              <w:t>Molecular Microbiology</w:t>
            </w:r>
            <w:r>
              <w:rPr>
                <w:spacing w:val="-1"/>
              </w:rPr>
              <w:t> </w:t>
            </w:r>
            <w:r>
              <w:rPr/>
              <w:t>and</w:t>
            </w:r>
            <w:r>
              <w:rPr>
                <w:spacing w:val="2"/>
              </w:rPr>
              <w:t> </w:t>
            </w:r>
            <w:r>
              <w:rPr/>
              <w:t>Immunology</w:t>
              <w:tab/>
              <w:t>57</w:t>
            </w:r>
          </w:hyperlink>
        </w:p>
        <w:p>
          <w:pPr>
            <w:pStyle w:val="TOC3"/>
            <w:tabs>
              <w:tab w:pos="9560" w:val="right" w:leader="dot"/>
            </w:tabs>
            <w:spacing w:before="43"/>
          </w:pPr>
          <w:hyperlink w:history="true" w:anchor="_bookmark21">
            <w:r>
              <w:rPr/>
              <w:t>Neuroscience</w:t>
              <w:tab/>
              <w:t>58</w:t>
            </w:r>
          </w:hyperlink>
        </w:p>
        <w:p>
          <w:pPr>
            <w:pStyle w:val="TOC3"/>
            <w:tabs>
              <w:tab w:pos="9559" w:val="right" w:leader="dot"/>
            </w:tabs>
          </w:pPr>
          <w:hyperlink w:history="true" w:anchor="_bookmark22">
            <w:r>
              <w:rPr/>
              <w:t>Physical</w:t>
            </w:r>
            <w:r>
              <w:rPr>
                <w:spacing w:val="3"/>
              </w:rPr>
              <w:t> </w:t>
            </w:r>
            <w:r>
              <w:rPr/>
              <w:t>Rehabilitation</w:t>
            </w:r>
            <w:r>
              <w:rPr>
                <w:spacing w:val="2"/>
              </w:rPr>
              <w:t> </w:t>
            </w:r>
            <w:r>
              <w:rPr/>
              <w:t>Science</w:t>
              <w:tab/>
              <w:t>59</w:t>
            </w:r>
          </w:hyperlink>
        </w:p>
        <w:p>
          <w:pPr>
            <w:pStyle w:val="TOC3"/>
            <w:tabs>
              <w:tab w:pos="9559" w:val="right" w:leader="dot"/>
            </w:tabs>
          </w:pPr>
          <w:hyperlink w:history="true" w:anchor="_bookmark23">
            <w:r>
              <w:rPr/>
              <w:t>Health</w:t>
            </w:r>
            <w:r>
              <w:rPr>
                <w:spacing w:val="1"/>
              </w:rPr>
              <w:t> </w:t>
            </w:r>
            <w:r>
              <w:rPr/>
              <w:t>Science</w:t>
              <w:tab/>
              <w:t>61</w:t>
            </w:r>
          </w:hyperlink>
        </w:p>
        <w:p>
          <w:pPr>
            <w:pStyle w:val="TOC3"/>
            <w:tabs>
              <w:tab w:pos="9559" w:val="right" w:leader="dot"/>
            </w:tabs>
          </w:pPr>
          <w:hyperlink w:history="true" w:anchor="_bookmark24">
            <w:r>
              <w:rPr/>
              <w:t>Health and</w:t>
            </w:r>
            <w:r>
              <w:rPr>
                <w:spacing w:val="-2"/>
              </w:rPr>
              <w:t> </w:t>
            </w:r>
            <w:r>
              <w:rPr/>
              <w:t>Social</w:t>
            </w:r>
            <w:r>
              <w:rPr>
                <w:spacing w:val="-1"/>
              </w:rPr>
              <w:t> </w:t>
            </w:r>
            <w:r>
              <w:rPr/>
              <w:t>Innovation</w:t>
              <w:tab/>
              <w:t>64</w:t>
            </w:r>
          </w:hyperlink>
        </w:p>
        <w:p>
          <w:pPr>
            <w:pStyle w:val="TOC3"/>
            <w:tabs>
              <w:tab w:pos="9559" w:val="right" w:leader="dot"/>
            </w:tabs>
            <w:spacing w:before="43"/>
          </w:pPr>
          <w:hyperlink w:history="true" w:anchor="_bookmark25">
            <w:r>
              <w:rPr/>
              <w:t>Health</w:t>
            </w:r>
            <w:r>
              <w:rPr>
                <w:spacing w:val="1"/>
              </w:rPr>
              <w:t> </w:t>
            </w:r>
            <w:r>
              <w:rPr/>
              <w:t>Professions</w:t>
            </w:r>
            <w:r>
              <w:rPr>
                <w:spacing w:val="-4"/>
              </w:rPr>
              <w:t> </w:t>
            </w:r>
            <w:r>
              <w:rPr/>
              <w:t>Education</w:t>
              <w:tab/>
              <w:t>67</w:t>
            </w:r>
          </w:hyperlink>
        </w:p>
        <w:p>
          <w:pPr>
            <w:pStyle w:val="TOC3"/>
            <w:tabs>
              <w:tab w:pos="9559" w:val="right" w:leader="dot"/>
            </w:tabs>
          </w:pPr>
          <w:hyperlink w:history="true" w:anchor="_bookmark26">
            <w:r>
              <w:rPr/>
              <w:t>Implementation and</w:t>
            </w:r>
            <w:r>
              <w:rPr>
                <w:spacing w:val="3"/>
              </w:rPr>
              <w:t> </w:t>
            </w:r>
            <w:r>
              <w:rPr/>
              <w:t>Dissemination</w:t>
            </w:r>
            <w:r>
              <w:rPr>
                <w:spacing w:val="7"/>
              </w:rPr>
              <w:t> </w:t>
            </w:r>
            <w:r>
              <w:rPr/>
              <w:t>Science</w:t>
              <w:tab/>
              <w:t>69</w:t>
            </w:r>
          </w:hyperlink>
        </w:p>
        <w:p>
          <w:pPr>
            <w:pStyle w:val="TOC3"/>
            <w:tabs>
              <w:tab w:pos="9559" w:val="right" w:leader="dot"/>
            </w:tabs>
          </w:pPr>
          <w:hyperlink w:history="true" w:anchor="_bookmark27">
            <w:r>
              <w:rPr/>
              <w:t>Integrative Health and</w:t>
            </w:r>
            <w:r>
              <w:rPr>
                <w:spacing w:val="2"/>
              </w:rPr>
              <w:t> </w:t>
            </w:r>
            <w:r>
              <w:rPr/>
              <w:t>Wellness</w:t>
              <w:tab/>
              <w:t>70</w:t>
            </w:r>
          </w:hyperlink>
        </w:p>
        <w:p>
          <w:pPr>
            <w:pStyle w:val="TOC3"/>
            <w:tabs>
              <w:tab w:pos="9560" w:val="right" w:leader="dot"/>
            </w:tabs>
          </w:pPr>
          <w:hyperlink w:history="true" w:anchor="_bookmark28">
            <w:r>
              <w:rPr/>
              <w:t>Intercultural</w:t>
            </w:r>
            <w:r>
              <w:rPr>
                <w:spacing w:val="-2"/>
              </w:rPr>
              <w:t> </w:t>
            </w:r>
            <w:r>
              <w:rPr/>
              <w:t>Leadership</w:t>
              <w:tab/>
              <w:t>72</w:t>
            </w:r>
          </w:hyperlink>
        </w:p>
        <w:p>
          <w:pPr>
            <w:pStyle w:val="TOC3"/>
            <w:tabs>
              <w:tab w:pos="9560" w:val="right" w:leader="dot"/>
            </w:tabs>
            <w:spacing w:before="43"/>
          </w:pPr>
          <w:hyperlink w:history="true" w:anchor="_bookmark29">
            <w:r>
              <w:rPr/>
              <w:t>Leadership and Administration in </w:t>
            </w:r>
            <w:r>
              <w:rPr>
                <w:spacing w:val="-3"/>
              </w:rPr>
              <w:t>Hospice </w:t>
            </w:r>
            <w:r>
              <w:rPr/>
              <w:t>and</w:t>
            </w:r>
            <w:r>
              <w:rPr>
                <w:spacing w:val="4"/>
              </w:rPr>
              <w:t> </w:t>
            </w:r>
            <w:r>
              <w:rPr/>
              <w:t>Palliative</w:t>
            </w:r>
            <w:r>
              <w:rPr>
                <w:spacing w:val="-1"/>
              </w:rPr>
              <w:t> </w:t>
            </w:r>
            <w:r>
              <w:rPr/>
              <w:t>Care</w:t>
              <w:tab/>
              <w:t>73</w:t>
            </w:r>
          </w:hyperlink>
        </w:p>
        <w:p>
          <w:pPr>
            <w:pStyle w:val="TOC3"/>
            <w:tabs>
              <w:tab w:pos="9559" w:val="right" w:leader="dot"/>
            </w:tabs>
          </w:pPr>
          <w:hyperlink w:history="true" w:anchor="_bookmark30">
            <w:r>
              <w:rPr/>
              <w:t>Marine Estuarine</w:t>
            </w:r>
            <w:r>
              <w:rPr>
                <w:spacing w:val="-13"/>
              </w:rPr>
              <w:t> </w:t>
            </w:r>
            <w:r>
              <w:rPr/>
              <w:t>Environmental</w:t>
            </w:r>
            <w:r>
              <w:rPr>
                <w:spacing w:val="-1"/>
              </w:rPr>
              <w:t> </w:t>
            </w:r>
            <w:r>
              <w:rPr/>
              <w:t>Sciences</w:t>
              <w:tab/>
              <w:t>74</w:t>
            </w:r>
          </w:hyperlink>
        </w:p>
        <w:p>
          <w:pPr>
            <w:pStyle w:val="TOC3"/>
            <w:tabs>
              <w:tab w:pos="9560" w:val="right" w:leader="dot"/>
            </w:tabs>
          </w:pPr>
          <w:hyperlink w:history="true" w:anchor="_bookmark31">
            <w:r>
              <w:rPr/>
              <w:t>Medical and</w:t>
            </w:r>
            <w:r>
              <w:rPr>
                <w:spacing w:val="-3"/>
              </w:rPr>
              <w:t> </w:t>
            </w:r>
            <w:r>
              <w:rPr/>
              <w:t>Research</w:t>
            </w:r>
            <w:r>
              <w:rPr>
                <w:spacing w:val="1"/>
              </w:rPr>
              <w:t> </w:t>
            </w:r>
            <w:r>
              <w:rPr/>
              <w:t>Technology</w:t>
              <w:tab/>
              <w:t>75</w:t>
            </w:r>
          </w:hyperlink>
        </w:p>
        <w:p>
          <w:pPr>
            <w:pStyle w:val="TOC3"/>
            <w:tabs>
              <w:tab w:pos="9559" w:val="right" w:leader="dot"/>
            </w:tabs>
          </w:pPr>
          <w:hyperlink w:history="true" w:anchor="_bookmark32">
            <w:r>
              <w:rPr/>
              <w:t>Medical Cannabis Science</w:t>
            </w:r>
            <w:r>
              <w:rPr>
                <w:spacing w:val="3"/>
              </w:rPr>
              <w:t> </w:t>
            </w:r>
            <w:r>
              <w:rPr/>
              <w:t>and</w:t>
            </w:r>
            <w:r>
              <w:rPr>
                <w:spacing w:val="-2"/>
              </w:rPr>
              <w:t> </w:t>
            </w:r>
            <w:r>
              <w:rPr/>
              <w:t>Therapeutics</w:t>
              <w:tab/>
              <w:t>77</w:t>
            </w:r>
          </w:hyperlink>
        </w:p>
        <w:p>
          <w:pPr>
            <w:pStyle w:val="TOC3"/>
            <w:tabs>
              <w:tab w:pos="9559" w:val="right" w:leader="dot"/>
            </w:tabs>
            <w:spacing w:before="43"/>
          </w:pPr>
          <w:hyperlink w:history="true" w:anchor="_bookmark33">
            <w:r>
              <w:rPr/>
              <w:t>Nursing</w:t>
              <w:tab/>
              <w:t>78</w:t>
            </w:r>
          </w:hyperlink>
        </w:p>
        <w:p>
          <w:pPr>
            <w:pStyle w:val="TOC3"/>
            <w:tabs>
              <w:tab w:pos="9560" w:val="right" w:leader="dot"/>
            </w:tabs>
          </w:pPr>
          <w:hyperlink w:history="true" w:anchor="_bookmark34">
            <w:r>
              <w:rPr/>
              <w:t>Oral and</w:t>
            </w:r>
            <w:r>
              <w:rPr>
                <w:spacing w:val="-9"/>
              </w:rPr>
              <w:t> </w:t>
            </w:r>
            <w:r>
              <w:rPr/>
              <w:t>Experimental</w:t>
            </w:r>
            <w:r>
              <w:rPr>
                <w:spacing w:val="4"/>
              </w:rPr>
              <w:t> </w:t>
            </w:r>
            <w:r>
              <w:rPr/>
              <w:t>Pathology</w:t>
              <w:tab/>
              <w:t>83</w:t>
            </w:r>
          </w:hyperlink>
        </w:p>
        <w:p>
          <w:pPr>
            <w:pStyle w:val="TOC3"/>
            <w:tabs>
              <w:tab w:pos="9559" w:val="right" w:leader="dot"/>
            </w:tabs>
          </w:pPr>
          <w:hyperlink w:history="true" w:anchor="_bookmark35">
            <w:r>
              <w:rPr/>
              <w:t>Palliative</w:t>
            </w:r>
            <w:r>
              <w:rPr>
                <w:spacing w:val="-1"/>
              </w:rPr>
              <w:t> </w:t>
            </w:r>
            <w:r>
              <w:rPr/>
              <w:t>Care</w:t>
              <w:tab/>
              <w:t>85</w:t>
            </w:r>
          </w:hyperlink>
        </w:p>
        <w:p>
          <w:pPr>
            <w:pStyle w:val="TOC3"/>
            <w:tabs>
              <w:tab w:pos="9559" w:val="right" w:leader="dot"/>
            </w:tabs>
          </w:pPr>
          <w:hyperlink w:history="true" w:anchor="_bookmark36">
            <w:r>
              <w:rPr/>
              <w:t>Pathologists’</w:t>
            </w:r>
            <w:r>
              <w:rPr>
                <w:spacing w:val="1"/>
              </w:rPr>
              <w:t> </w:t>
            </w:r>
            <w:r>
              <w:rPr/>
              <w:t>Assistant</w:t>
            </w:r>
            <w:r>
              <w:rPr>
                <w:spacing w:val="-1"/>
              </w:rPr>
              <w:t> </w:t>
            </w:r>
            <w:r>
              <w:rPr/>
              <w:t>Program</w:t>
              <w:tab/>
              <w:t>88</w:t>
            </w:r>
          </w:hyperlink>
        </w:p>
        <w:p>
          <w:pPr>
            <w:pStyle w:val="TOC3"/>
            <w:tabs>
              <w:tab w:pos="9560" w:val="right" w:leader="dot"/>
            </w:tabs>
            <w:spacing w:before="44"/>
          </w:pPr>
          <w:hyperlink w:history="true" w:anchor="_bookmark37">
            <w:r>
              <w:rPr/>
              <w:t>Pharmaceutical </w:t>
            </w:r>
            <w:r>
              <w:rPr>
                <w:spacing w:val="-2"/>
              </w:rPr>
              <w:t>Health</w:t>
            </w:r>
            <w:r>
              <w:rPr>
                <w:spacing w:val="5"/>
              </w:rPr>
              <w:t> </w:t>
            </w:r>
            <w:r>
              <w:rPr/>
              <w:t>Services</w:t>
            </w:r>
            <w:r>
              <w:rPr>
                <w:spacing w:val="1"/>
              </w:rPr>
              <w:t> </w:t>
            </w:r>
            <w:r>
              <w:rPr/>
              <w:t>Research</w:t>
              <w:tab/>
              <w:t>90</w:t>
            </w:r>
          </w:hyperlink>
        </w:p>
        <w:p>
          <w:pPr>
            <w:pStyle w:val="TOC3"/>
            <w:tabs>
              <w:tab w:pos="9559" w:val="right" w:leader="dot"/>
            </w:tabs>
            <w:spacing w:before="38"/>
          </w:pPr>
          <w:hyperlink w:history="true" w:anchor="_bookmark38">
            <w:r>
              <w:rPr/>
              <w:t>Pharmaceutical</w:t>
            </w:r>
            <w:r>
              <w:rPr>
                <w:spacing w:val="-2"/>
              </w:rPr>
              <w:t> </w:t>
            </w:r>
            <w:r>
              <w:rPr/>
              <w:t>Sciences</w:t>
              <w:tab/>
              <w:t>93</w:t>
            </w:r>
          </w:hyperlink>
        </w:p>
        <w:p>
          <w:pPr>
            <w:pStyle w:val="TOC3"/>
            <w:tabs>
              <w:tab w:pos="9559" w:val="right" w:leader="dot"/>
            </w:tabs>
          </w:pPr>
          <w:hyperlink w:history="true" w:anchor="_bookmark39">
            <w:r>
              <w:rPr/>
              <w:t>Pharmacometrics</w:t>
              <w:tab/>
              <w:t>95</w:t>
            </w:r>
          </w:hyperlink>
        </w:p>
        <w:p>
          <w:pPr>
            <w:pStyle w:val="TOC3"/>
            <w:tabs>
              <w:tab w:pos="9559" w:val="right" w:leader="dot"/>
            </w:tabs>
          </w:pPr>
          <w:hyperlink w:history="true" w:anchor="_bookmark40">
            <w:r>
              <w:rPr/>
              <w:t>Principles and Practice </w:t>
            </w:r>
            <w:r>
              <w:rPr>
                <w:spacing w:val="-3"/>
              </w:rPr>
              <w:t>of </w:t>
            </w:r>
            <w:r>
              <w:rPr/>
              <w:t>Hospice and</w:t>
            </w:r>
            <w:r>
              <w:rPr>
                <w:spacing w:val="3"/>
              </w:rPr>
              <w:t> </w:t>
            </w:r>
            <w:r>
              <w:rPr/>
              <w:t>Palliative</w:t>
            </w:r>
            <w:r>
              <w:rPr>
                <w:spacing w:val="-1"/>
              </w:rPr>
              <w:t> </w:t>
            </w:r>
            <w:r>
              <w:rPr/>
              <w:t>Care</w:t>
              <w:tab/>
              <w:t>96</w:t>
            </w:r>
          </w:hyperlink>
        </w:p>
        <w:p>
          <w:pPr>
            <w:pStyle w:val="TOC3"/>
            <w:tabs>
              <w:tab w:pos="9560" w:val="right" w:leader="dot"/>
            </w:tabs>
            <w:spacing w:before="44"/>
          </w:pPr>
          <w:hyperlink w:history="true" w:anchor="_bookmark41">
            <w:r>
              <w:rPr/>
              <w:t>Psychosocial/Spiritual Aspects </w:t>
            </w:r>
            <w:r>
              <w:rPr>
                <w:spacing w:val="-3"/>
              </w:rPr>
              <w:t>of </w:t>
            </w:r>
            <w:r>
              <w:rPr/>
              <w:t>Hospice and Palliative</w:t>
            </w:r>
            <w:r>
              <w:rPr>
                <w:spacing w:val="-1"/>
              </w:rPr>
              <w:t> </w:t>
            </w:r>
            <w:r>
              <w:rPr/>
              <w:t>Care</w:t>
              <w:tab/>
              <w:t>97</w:t>
            </w:r>
          </w:hyperlink>
        </w:p>
        <w:p>
          <w:pPr>
            <w:pStyle w:val="TOC3"/>
            <w:tabs>
              <w:tab w:pos="9560" w:val="right" w:leader="dot"/>
            </w:tabs>
            <w:spacing w:before="38"/>
          </w:pPr>
          <w:hyperlink w:history="true" w:anchor="_bookmark42">
            <w:r>
              <w:rPr/>
              <w:t>Regulatory</w:t>
            </w:r>
            <w:r>
              <w:rPr>
                <w:spacing w:val="-8"/>
              </w:rPr>
              <w:t> </w:t>
            </w:r>
            <w:r>
              <w:rPr/>
              <w:t>Science</w:t>
              <w:tab/>
              <w:t>98</w:t>
            </w:r>
          </w:hyperlink>
        </w:p>
        <w:p>
          <w:pPr>
            <w:pStyle w:val="TOC3"/>
            <w:tabs>
              <w:tab w:pos="9564" w:val="right" w:leader="dot"/>
            </w:tabs>
            <w:spacing w:after="20"/>
          </w:pPr>
          <w:hyperlink w:history="true" w:anchor="_bookmark43">
            <w:r>
              <w:rPr/>
              <w:t>Research</w:t>
            </w:r>
            <w:r>
              <w:rPr>
                <w:spacing w:val="1"/>
              </w:rPr>
              <w:t> </w:t>
            </w:r>
            <w:r>
              <w:rPr/>
              <w:t>Administration</w:t>
              <w:tab/>
              <w:t>100</w:t>
            </w:r>
          </w:hyperlink>
        </w:p>
        <w:p>
          <w:pPr>
            <w:pStyle w:val="TOC3"/>
            <w:tabs>
              <w:tab w:pos="9564" w:val="right" w:leader="dot"/>
            </w:tabs>
            <w:spacing w:before="76"/>
          </w:pPr>
          <w:hyperlink w:history="true" w:anchor="_bookmark44">
            <w:r>
              <w:rPr/>
              <w:t>Research</w:t>
            </w:r>
            <w:r>
              <w:rPr>
                <w:spacing w:val="1"/>
              </w:rPr>
              <w:t> </w:t>
            </w:r>
            <w:r>
              <w:rPr/>
              <w:t>Ethics</w:t>
              <w:tab/>
              <w:t>101</w:t>
            </w:r>
          </w:hyperlink>
        </w:p>
        <w:p>
          <w:pPr>
            <w:pStyle w:val="TOC3"/>
            <w:tabs>
              <w:tab w:pos="9564" w:val="right" w:leader="dot"/>
            </w:tabs>
          </w:pPr>
          <w:hyperlink w:history="true" w:anchor="_bookmark45">
            <w:r>
              <w:rPr/>
              <w:t>Science</w:t>
            </w:r>
            <w:r>
              <w:rPr>
                <w:spacing w:val="-2"/>
              </w:rPr>
              <w:t> </w:t>
            </w:r>
            <w:r>
              <w:rPr/>
              <w:t>Communication</w:t>
              <w:tab/>
              <w:t>102</w:t>
            </w:r>
          </w:hyperlink>
        </w:p>
        <w:p>
          <w:pPr>
            <w:pStyle w:val="TOC3"/>
            <w:tabs>
              <w:tab w:pos="9564" w:val="right" w:leader="dot"/>
            </w:tabs>
          </w:pPr>
          <w:hyperlink w:history="true" w:anchor="_bookmark46">
            <w:r>
              <w:rPr/>
              <w:t>Social</w:t>
            </w:r>
            <w:r>
              <w:rPr>
                <w:spacing w:val="3"/>
              </w:rPr>
              <w:t> </w:t>
            </w:r>
            <w:r>
              <w:rPr/>
              <w:t>Work</w:t>
              <w:tab/>
              <w:t>104</w:t>
            </w:r>
          </w:hyperlink>
        </w:p>
        <w:p>
          <w:pPr>
            <w:pStyle w:val="TOC1"/>
            <w:tabs>
              <w:tab w:pos="9564" w:val="right" w:leader="dot"/>
            </w:tabs>
          </w:pPr>
          <w:hyperlink w:history="true" w:anchor="_bookmark47">
            <w:r>
              <w:rPr/>
              <w:t>Course</w:t>
            </w:r>
            <w:r>
              <w:rPr>
                <w:spacing w:val="-1"/>
              </w:rPr>
              <w:t> </w:t>
            </w:r>
            <w:r>
              <w:rPr/>
              <w:t>Descriptions</w:t>
              <w:tab/>
              <w:t>106</w:t>
            </w:r>
          </w:hyperlink>
        </w:p>
        <w:p>
          <w:pPr>
            <w:pStyle w:val="TOC2"/>
            <w:tabs>
              <w:tab w:pos="9564" w:val="right" w:leader="dot"/>
            </w:tabs>
            <w:spacing w:before="38"/>
          </w:pPr>
          <w:hyperlink w:history="true" w:anchor="_bookmark48">
            <w:r>
              <w:rPr/>
              <w:t>CIPP</w:t>
              <w:tab/>
              <w:t>106</w:t>
            </w:r>
          </w:hyperlink>
        </w:p>
        <w:p>
          <w:pPr>
            <w:pStyle w:val="TOC2"/>
            <w:tabs>
              <w:tab w:pos="9564" w:val="right" w:leader="dot"/>
            </w:tabs>
            <w:spacing w:before="44"/>
          </w:pPr>
          <w:hyperlink w:history="true" w:anchor="_bookmark49">
            <w:r>
              <w:rPr>
                <w:spacing w:val="-3"/>
              </w:rPr>
              <w:t>DBMS</w:t>
              <w:tab/>
            </w:r>
            <w:r>
              <w:rPr/>
              <w:t>107</w:t>
            </w:r>
          </w:hyperlink>
        </w:p>
        <w:p>
          <w:pPr>
            <w:pStyle w:val="TOC2"/>
            <w:tabs>
              <w:tab w:pos="9564" w:val="right" w:leader="dot"/>
            </w:tabs>
          </w:pPr>
          <w:hyperlink w:history="true" w:anchor="_bookmark50">
            <w:r>
              <w:rPr/>
              <w:t>DPAT</w:t>
              <w:tab/>
              <w:t>110</w:t>
            </w:r>
          </w:hyperlink>
        </w:p>
        <w:p>
          <w:pPr>
            <w:pStyle w:val="TOC2"/>
            <w:tabs>
              <w:tab w:pos="9564" w:val="right" w:leader="dot"/>
            </w:tabs>
          </w:pPr>
          <w:hyperlink w:history="true" w:anchor="_bookmark51">
            <w:r>
              <w:rPr/>
              <w:t>ETHC</w:t>
              <w:tab/>
              <w:t>111</w:t>
            </w:r>
          </w:hyperlink>
        </w:p>
        <w:p>
          <w:pPr>
            <w:pStyle w:val="TOC2"/>
            <w:tabs>
              <w:tab w:pos="9564" w:val="right" w:leader="dot"/>
            </w:tabs>
          </w:pPr>
          <w:hyperlink w:history="true" w:anchor="_bookmark52">
            <w:r>
              <w:rPr/>
              <w:t>FMED</w:t>
              <w:tab/>
              <w:t>112</w:t>
            </w:r>
          </w:hyperlink>
        </w:p>
        <w:p>
          <w:pPr>
            <w:pStyle w:val="TOC2"/>
            <w:tabs>
              <w:tab w:pos="9564" w:val="right" w:leader="dot"/>
            </w:tabs>
            <w:spacing w:before="43"/>
          </w:pPr>
          <w:hyperlink w:history="true" w:anchor="_bookmark53">
            <w:r>
              <w:rPr>
                <w:spacing w:val="-3"/>
              </w:rPr>
              <w:t>GERO</w:t>
              <w:tab/>
            </w:r>
            <w:r>
              <w:rPr/>
              <w:t>113</w:t>
            </w:r>
          </w:hyperlink>
        </w:p>
        <w:p>
          <w:pPr>
            <w:pStyle w:val="TOC2"/>
            <w:tabs>
              <w:tab w:pos="9564" w:val="right" w:leader="dot"/>
            </w:tabs>
          </w:pPr>
          <w:hyperlink w:history="true" w:anchor="_bookmark54">
            <w:r>
              <w:rPr/>
              <w:t>GPLS</w:t>
              <w:tab/>
              <w:t>114</w:t>
            </w:r>
          </w:hyperlink>
        </w:p>
        <w:p>
          <w:pPr>
            <w:pStyle w:val="TOC2"/>
            <w:tabs>
              <w:tab w:pos="9564" w:val="right" w:leader="dot"/>
            </w:tabs>
          </w:pPr>
          <w:hyperlink w:history="true" w:anchor="_bookmark55">
            <w:r>
              <w:rPr/>
              <w:t>HGEN</w:t>
              <w:tab/>
              <w:t>123</w:t>
            </w:r>
          </w:hyperlink>
        </w:p>
        <w:p>
          <w:pPr>
            <w:pStyle w:val="TOC2"/>
            <w:tabs>
              <w:tab w:pos="9564" w:val="right" w:leader="dot"/>
            </w:tabs>
          </w:pPr>
          <w:hyperlink w:history="true" w:anchor="_bookmark56">
            <w:r>
              <w:rPr>
                <w:spacing w:val="-3"/>
              </w:rPr>
              <w:t>HPE</w:t>
              <w:tab/>
            </w:r>
            <w:r>
              <w:rPr/>
              <w:t>125</w:t>
            </w:r>
          </w:hyperlink>
        </w:p>
        <w:p>
          <w:pPr>
            <w:pStyle w:val="TOC2"/>
            <w:tabs>
              <w:tab w:pos="9566" w:val="right" w:leader="dot"/>
            </w:tabs>
            <w:spacing w:before="43"/>
          </w:pPr>
          <w:hyperlink w:history="true" w:anchor="_bookmark57">
            <w:r>
              <w:rPr/>
              <w:t>INCL</w:t>
              <w:tab/>
              <w:t>126</w:t>
            </w:r>
          </w:hyperlink>
        </w:p>
        <w:p>
          <w:pPr>
            <w:pStyle w:val="TOC2"/>
            <w:tabs>
              <w:tab w:pos="9564" w:val="right" w:leader="dot"/>
            </w:tabs>
          </w:pPr>
          <w:hyperlink w:history="true" w:anchor="_bookmark58">
            <w:r>
              <w:rPr/>
              <w:t>INNO</w:t>
              <w:tab/>
              <w:t>126</w:t>
            </w:r>
          </w:hyperlink>
        </w:p>
        <w:p>
          <w:pPr>
            <w:pStyle w:val="TOC2"/>
            <w:tabs>
              <w:tab w:pos="9564" w:val="right" w:leader="dot"/>
            </w:tabs>
          </w:pPr>
          <w:hyperlink w:history="true" w:anchor="_bookmark59">
            <w:r>
              <w:rPr/>
              <w:t>MANA</w:t>
              <w:tab/>
              <w:t>130</w:t>
            </w:r>
          </w:hyperlink>
        </w:p>
        <w:p>
          <w:pPr>
            <w:pStyle w:val="TOC2"/>
            <w:tabs>
              <w:tab w:pos="9564" w:val="right" w:leader="dot"/>
            </w:tabs>
          </w:pPr>
          <w:hyperlink w:history="true" w:anchor="_bookmark60">
            <w:r>
              <w:rPr/>
              <w:t>MCST</w:t>
              <w:tab/>
              <w:t>130</w:t>
            </w:r>
          </w:hyperlink>
        </w:p>
        <w:p>
          <w:pPr>
            <w:pStyle w:val="TOC2"/>
            <w:tabs>
              <w:tab w:pos="9564" w:val="right" w:leader="dot"/>
            </w:tabs>
            <w:spacing w:before="43"/>
          </w:pPr>
          <w:hyperlink w:history="true" w:anchor="_bookmark61">
            <w:r>
              <w:rPr/>
              <w:t>MEDT</w:t>
              <w:tab/>
              <w:t>131</w:t>
            </w:r>
          </w:hyperlink>
        </w:p>
        <w:p>
          <w:pPr>
            <w:pStyle w:val="TOC2"/>
            <w:tabs>
              <w:tab w:pos="9564" w:val="right" w:leader="dot"/>
            </w:tabs>
          </w:pPr>
          <w:hyperlink w:history="true" w:anchor="_bookmark62">
            <w:r>
              <w:rPr/>
              <w:t>MEES</w:t>
              <w:tab/>
              <w:t>133</w:t>
            </w:r>
          </w:hyperlink>
        </w:p>
        <w:p>
          <w:pPr>
            <w:pStyle w:val="TOC2"/>
            <w:tabs>
              <w:tab w:pos="9564" w:val="right" w:leader="dot"/>
            </w:tabs>
          </w:pPr>
          <w:hyperlink w:history="true" w:anchor="_bookmark63">
            <w:r>
              <w:rPr>
                <w:spacing w:val="-6"/>
              </w:rPr>
              <w:t>MHS</w:t>
              <w:tab/>
            </w:r>
            <w:r>
              <w:rPr/>
              <w:t>133</w:t>
            </w:r>
          </w:hyperlink>
        </w:p>
        <w:p>
          <w:pPr>
            <w:pStyle w:val="TOC2"/>
            <w:tabs>
              <w:tab w:pos="9564" w:val="right" w:leader="dot"/>
            </w:tabs>
          </w:pPr>
          <w:hyperlink w:history="true" w:anchor="_bookmark64">
            <w:r>
              <w:rPr>
                <w:spacing w:val="-4"/>
              </w:rPr>
              <w:t>MLL</w:t>
              <w:tab/>
            </w:r>
            <w:r>
              <w:rPr/>
              <w:t>138</w:t>
            </w:r>
          </w:hyperlink>
        </w:p>
        <w:p>
          <w:pPr>
            <w:pStyle w:val="TOC2"/>
            <w:tabs>
              <w:tab w:pos="9564" w:val="right" w:leader="dot"/>
            </w:tabs>
            <w:spacing w:before="43"/>
          </w:pPr>
          <w:hyperlink w:history="true" w:anchor="_bookmark65">
            <w:r>
              <w:rPr>
                <w:spacing w:val="-3"/>
              </w:rPr>
              <w:t>NURS</w:t>
              <w:tab/>
            </w:r>
            <w:r>
              <w:rPr/>
              <w:t>138</w:t>
            </w:r>
          </w:hyperlink>
        </w:p>
        <w:p>
          <w:pPr>
            <w:pStyle w:val="TOC2"/>
            <w:tabs>
              <w:tab w:pos="9564" w:val="right" w:leader="dot"/>
            </w:tabs>
          </w:pPr>
          <w:hyperlink w:history="true" w:anchor="_bookmark66">
            <w:r>
              <w:rPr/>
              <w:t>PALC</w:t>
              <w:tab/>
              <w:t>142</w:t>
            </w:r>
          </w:hyperlink>
        </w:p>
        <w:p>
          <w:pPr>
            <w:pStyle w:val="TOC2"/>
            <w:tabs>
              <w:tab w:pos="9564" w:val="right" w:leader="dot"/>
            </w:tabs>
          </w:pPr>
          <w:hyperlink w:history="true" w:anchor="_bookmark67">
            <w:r>
              <w:rPr/>
              <w:t>PATH</w:t>
              <w:tab/>
              <w:t>144</w:t>
            </w:r>
          </w:hyperlink>
        </w:p>
        <w:p>
          <w:pPr>
            <w:pStyle w:val="TOC2"/>
            <w:tabs>
              <w:tab w:pos="9564" w:val="right" w:leader="dot"/>
            </w:tabs>
          </w:pPr>
          <w:hyperlink w:history="true" w:anchor="_bookmark68">
            <w:r>
              <w:rPr/>
              <w:t>PHAR</w:t>
              <w:tab/>
              <w:t>145</w:t>
            </w:r>
          </w:hyperlink>
        </w:p>
        <w:p>
          <w:pPr>
            <w:pStyle w:val="TOC2"/>
            <w:tabs>
              <w:tab w:pos="9564" w:val="right" w:leader="dot"/>
            </w:tabs>
            <w:spacing w:before="43"/>
          </w:pPr>
          <w:hyperlink w:history="true" w:anchor="_bookmark69">
            <w:r>
              <w:rPr>
                <w:spacing w:val="-4"/>
              </w:rPr>
              <w:t>PHMX</w:t>
              <w:tab/>
            </w:r>
            <w:r>
              <w:rPr/>
              <w:t>148</w:t>
            </w:r>
          </w:hyperlink>
        </w:p>
        <w:p>
          <w:pPr>
            <w:pStyle w:val="TOC2"/>
            <w:tabs>
              <w:tab w:pos="9564" w:val="right" w:leader="dot"/>
            </w:tabs>
          </w:pPr>
          <w:hyperlink w:history="true" w:anchor="_bookmark70">
            <w:r>
              <w:rPr/>
              <w:t>PHSR</w:t>
              <w:tab/>
              <w:t>149</w:t>
            </w:r>
          </w:hyperlink>
        </w:p>
        <w:p>
          <w:pPr>
            <w:pStyle w:val="TOC2"/>
            <w:tabs>
              <w:tab w:pos="9564" w:val="right" w:leader="dot"/>
            </w:tabs>
          </w:pPr>
          <w:hyperlink w:history="true" w:anchor="_bookmark71">
            <w:r>
              <w:rPr/>
              <w:t>PREV</w:t>
              <w:tab/>
              <w:t>151</w:t>
            </w:r>
          </w:hyperlink>
        </w:p>
        <w:p>
          <w:pPr>
            <w:pStyle w:val="TOC2"/>
            <w:tabs>
              <w:tab w:pos="9564" w:val="right" w:leader="dot"/>
            </w:tabs>
          </w:pPr>
          <w:hyperlink w:history="true" w:anchor="_bookmark72">
            <w:r>
              <w:rPr>
                <w:spacing w:val="-3"/>
              </w:rPr>
              <w:t>PTRS</w:t>
              <w:tab/>
            </w:r>
            <w:r>
              <w:rPr/>
              <w:t>158</w:t>
            </w:r>
          </w:hyperlink>
        </w:p>
        <w:p>
          <w:pPr>
            <w:pStyle w:val="TOC2"/>
            <w:tabs>
              <w:tab w:pos="9564" w:val="right" w:leader="dot"/>
            </w:tabs>
            <w:spacing w:before="44"/>
          </w:pPr>
          <w:hyperlink w:history="true" w:anchor="_bookmark73">
            <w:r>
              <w:rPr/>
              <w:t>REGS</w:t>
              <w:tab/>
              <w:t>159</w:t>
            </w:r>
          </w:hyperlink>
        </w:p>
        <w:p>
          <w:pPr>
            <w:pStyle w:val="TOC2"/>
            <w:tabs>
              <w:tab w:pos="9564" w:val="right" w:leader="dot"/>
            </w:tabs>
            <w:spacing w:before="38"/>
          </w:pPr>
          <w:hyperlink w:history="true" w:anchor="_bookmark74">
            <w:r>
              <w:rPr/>
              <w:t>SOWK</w:t>
              <w:tab/>
              <w:t>160</w:t>
            </w:r>
          </w:hyperlink>
        </w:p>
        <w:p>
          <w:pPr>
            <w:pStyle w:val="TOC2"/>
            <w:tabs>
              <w:tab w:pos="9564" w:val="right" w:leader="dot"/>
            </w:tabs>
          </w:pPr>
          <w:hyperlink w:history="true" w:anchor="_bookmark75">
            <w:r>
              <w:rPr/>
              <w:t>THAN</w:t>
              <w:tab/>
              <w:t>166</w:t>
            </w:r>
          </w:hyperlink>
        </w:p>
        <w:p>
          <w:pPr>
            <w:pStyle w:val="TOC2"/>
            <w:tabs>
              <w:tab w:pos="9564" w:val="right" w:leader="dot"/>
            </w:tabs>
          </w:pPr>
          <w:hyperlink w:history="true" w:anchor="_bookmark76">
            <w:r>
              <w:rPr/>
              <w:t>TOXI</w:t>
              <w:tab/>
              <w:t>167</w:t>
            </w:r>
          </w:hyperlink>
        </w:p>
        <w:p>
          <w:pPr>
            <w:pStyle w:val="TOC1"/>
            <w:tabs>
              <w:tab w:pos="9565" w:val="right" w:leader="dot"/>
            </w:tabs>
            <w:spacing w:before="44"/>
          </w:pPr>
          <w:hyperlink w:history="true" w:anchor="_bookmark77">
            <w:r>
              <w:rPr/>
              <w:t>Administration</w:t>
              <w:tab/>
              <w:t>169</w:t>
            </w:r>
          </w:hyperlink>
        </w:p>
        <w:p>
          <w:pPr>
            <w:pStyle w:val="TOC1"/>
            <w:tabs>
              <w:tab w:pos="9565" w:val="right" w:leader="dot"/>
            </w:tabs>
            <w:spacing w:before="38"/>
          </w:pPr>
          <w:hyperlink w:history="true" w:anchor="_bookmark78">
            <w:r>
              <w:rPr/>
              <w:t>Faculty</w:t>
              <w:tab/>
              <w:t>171</w:t>
            </w:r>
          </w:hyperlink>
        </w:p>
        <w:p>
          <w:pPr>
            <w:pStyle w:val="TOC1"/>
            <w:tabs>
              <w:tab w:pos="9565" w:val="right" w:leader="dot"/>
            </w:tabs>
          </w:pPr>
          <w:hyperlink w:history="true" w:anchor="_bookmark79">
            <w:r>
              <w:rPr/>
              <w:t>Policies</w:t>
              <w:tab/>
              <w:t>248</w:t>
            </w:r>
          </w:hyperlink>
        </w:p>
        <w:p>
          <w:pPr/>
          <w:r>
            <w:fldChar w:fldCharType="end"/>
          </w:r>
        </w:p>
      </w:sdtContent>
    </w:sdt>
    <w:p>
      <w:pPr>
        <w:spacing w:after="0"/>
        <w:sectPr>
          <w:type w:val="continuous"/>
          <w:pgSz w:w="12240" w:h="15840"/>
          <w:pgMar w:top="1340" w:bottom="1890" w:left="880" w:right="300"/>
        </w:sectPr>
      </w:pPr>
    </w:p>
    <w:p>
      <w:pPr>
        <w:pStyle w:val="Heading1"/>
        <w:ind w:right="1373"/>
      </w:pPr>
      <w:bookmarkStart w:name="Mission and Vision Statements, Accredita" w:id="1"/>
      <w:bookmarkEnd w:id="1"/>
      <w:r>
        <w:rPr>
          <w:b w:val="0"/>
        </w:rPr>
      </w:r>
      <w:bookmarkStart w:name="_bookmark0" w:id="2"/>
      <w:bookmarkEnd w:id="2"/>
      <w:r>
        <w:rPr>
          <w:b w:val="0"/>
        </w:rPr>
      </w:r>
      <w:r>
        <w:rPr/>
        <w:t>Mission and Vision Statements, Accreditation, State Authorization, and Disclaimers</w:t>
      </w:r>
    </w:p>
    <w:p>
      <w:pPr>
        <w:spacing w:after="0"/>
        <w:sectPr>
          <w:headerReference w:type="even" r:id="rId10"/>
          <w:headerReference w:type="default" r:id="rId11"/>
          <w:pgSz w:w="12240" w:h="15840"/>
          <w:pgMar w:header="746" w:footer="0" w:top="1320" w:bottom="280" w:left="880" w:right="300"/>
          <w:pgNumType w:start="6"/>
        </w:sectPr>
      </w:pPr>
    </w:p>
    <w:p>
      <w:pPr>
        <w:pStyle w:val="BodyText"/>
        <w:spacing w:before="4"/>
        <w:ind w:left="0"/>
        <w:rPr>
          <w:b/>
          <w:sz w:val="27"/>
        </w:rPr>
      </w:pPr>
    </w:p>
    <w:p>
      <w:pPr>
        <w:pStyle w:val="Heading4"/>
        <w:spacing w:before="0"/>
      </w:pPr>
      <w:r>
        <w:rPr/>
        <w:t>Mission</w:t>
      </w:r>
    </w:p>
    <w:p>
      <w:pPr>
        <w:pStyle w:val="BodyText"/>
        <w:spacing w:line="249" w:lineRule="auto" w:before="183"/>
        <w:ind w:right="45"/>
      </w:pPr>
      <w:r>
        <w:rPr/>
        <w:t>The mission </w:t>
      </w:r>
      <w:r>
        <w:rPr>
          <w:spacing w:val="-3"/>
        </w:rPr>
        <w:t>of </w:t>
      </w:r>
      <w:r>
        <w:rPr/>
        <w:t>the Graduate </w:t>
      </w:r>
      <w:r>
        <w:rPr>
          <w:spacing w:val="-3"/>
        </w:rPr>
        <w:t>School </w:t>
      </w:r>
      <w:r>
        <w:rPr/>
        <w:t>is to </w:t>
      </w:r>
      <w:r>
        <w:rPr>
          <w:spacing w:val="-3"/>
        </w:rPr>
        <w:t>empower </w:t>
      </w:r>
      <w:r>
        <w:rPr/>
        <w:t>scholars, practitioners, and researchers to become agents </w:t>
      </w:r>
      <w:r>
        <w:rPr>
          <w:spacing w:val="-3"/>
        </w:rPr>
        <w:t>of </w:t>
      </w:r>
      <w:r>
        <w:rPr/>
        <w:t>innovation and leaders </w:t>
      </w:r>
      <w:r>
        <w:rPr>
          <w:spacing w:val="-3"/>
        </w:rPr>
        <w:t>of </w:t>
      </w:r>
      <w:r>
        <w:rPr/>
        <w:t>change through distinctive, relevant, and rigorous</w:t>
      </w:r>
      <w:r>
        <w:rPr>
          <w:spacing w:val="-8"/>
        </w:rPr>
        <w:t> </w:t>
      </w:r>
      <w:r>
        <w:rPr/>
        <w:t>education.</w:t>
      </w:r>
    </w:p>
    <w:p>
      <w:pPr>
        <w:pStyle w:val="Heading4"/>
        <w:spacing w:before="167"/>
      </w:pPr>
      <w:r>
        <w:rPr/>
        <w:t>Vision</w:t>
      </w:r>
    </w:p>
    <w:p>
      <w:pPr>
        <w:pStyle w:val="BodyText"/>
        <w:spacing w:line="249" w:lineRule="auto" w:before="184"/>
        <w:ind w:right="139"/>
      </w:pPr>
      <w:r>
        <w:rPr/>
        <w:t>The Graduate School aspires to be the global leader in health and biomedical graduate education and research by cultivating students who solve critical world problems.</w:t>
      </w:r>
    </w:p>
    <w:p>
      <w:pPr>
        <w:pStyle w:val="Heading4"/>
        <w:spacing w:before="166"/>
      </w:pPr>
      <w:r>
        <w:rPr/>
        <w:t>Accreditation</w:t>
      </w:r>
    </w:p>
    <w:p>
      <w:pPr>
        <w:pStyle w:val="BodyText"/>
        <w:spacing w:line="249" w:lineRule="auto" w:before="183"/>
        <w:ind w:right="27"/>
      </w:pPr>
      <w:r>
        <w:rPr/>
        <w:t>The University of Maryland, Baltimore is accredited by the Middle States Commission on Higher Education. The Middle States Commission on Higher Education is an institutional accrediting agency recognized by the U.S. Secretary of Education and the Council for Higher Education Accreditation.</w:t>
      </w:r>
    </w:p>
    <w:p>
      <w:pPr>
        <w:pStyle w:val="BodyText"/>
        <w:spacing w:line="249" w:lineRule="auto" w:before="187"/>
        <w:ind w:left="199" w:right="894"/>
      </w:pPr>
      <w:r>
        <w:rPr/>
        <w:t>Middle States Commission on Higher Education 3624 Market St</w:t>
      </w:r>
    </w:p>
    <w:p>
      <w:pPr>
        <w:pStyle w:val="BodyText"/>
        <w:spacing w:before="1"/>
        <w:ind w:left="199"/>
      </w:pPr>
      <w:r>
        <w:rPr/>
        <w:t>Philadelphia, PA 19104</w:t>
      </w:r>
    </w:p>
    <w:p>
      <w:pPr>
        <w:pStyle w:val="BodyText"/>
        <w:spacing w:before="10"/>
        <w:ind w:left="199"/>
      </w:pPr>
      <w:r>
        <w:rPr/>
        <w:t>267-284-5000</w:t>
      </w:r>
    </w:p>
    <w:p>
      <w:pPr>
        <w:pStyle w:val="BodyText"/>
        <w:spacing w:before="10"/>
        <w:ind w:left="199"/>
      </w:pPr>
      <w:hyperlink r:id="rId12">
        <w:r>
          <w:rPr/>
          <w:t>www.msche.org</w:t>
        </w:r>
      </w:hyperlink>
    </w:p>
    <w:p>
      <w:pPr>
        <w:pStyle w:val="Heading4"/>
        <w:spacing w:before="170"/>
      </w:pPr>
      <w:r>
        <w:rPr/>
        <w:t>State Authorization</w:t>
      </w:r>
    </w:p>
    <w:p>
      <w:pPr>
        <w:pStyle w:val="BodyText"/>
        <w:spacing w:line="249" w:lineRule="auto" w:before="188"/>
        <w:ind w:right="60"/>
      </w:pPr>
      <w:r>
        <w:rPr/>
        <w:t>The Graduate School at the University of Maryland, Baltimore is authorized by the Maryland Higher Education Commission (MHEC), the State Licensing Authority, to confer degrees.</w:t>
      </w:r>
    </w:p>
    <w:p>
      <w:pPr>
        <w:pStyle w:val="BodyText"/>
        <w:spacing w:before="181"/>
      </w:pPr>
      <w:r>
        <w:rPr/>
        <w:t>Maryland Higher Education Commission</w:t>
      </w:r>
    </w:p>
    <w:p>
      <w:pPr>
        <w:pStyle w:val="BodyText"/>
        <w:spacing w:line="249" w:lineRule="auto" w:before="10"/>
        <w:ind w:right="507"/>
      </w:pPr>
      <w:r>
        <w:rPr/>
        <w:t>6 North Liberty St., 10th Floor Baltimore, MD 21201 410-767-3300; 410-332-0270 (fax)</w:t>
      </w:r>
    </w:p>
    <w:p>
      <w:pPr>
        <w:pStyle w:val="BodyText"/>
        <w:spacing w:before="1"/>
      </w:pPr>
      <w:hyperlink r:id="rId13">
        <w:r>
          <w:rPr/>
          <w:t>www.mhec.state.md.us</w:t>
        </w:r>
      </w:hyperlink>
    </w:p>
    <w:p>
      <w:pPr>
        <w:pStyle w:val="BodyText"/>
        <w:spacing w:before="0"/>
        <w:ind w:left="0"/>
        <w:rPr>
          <w:sz w:val="22"/>
        </w:rPr>
      </w:pPr>
    </w:p>
    <w:p>
      <w:pPr>
        <w:pStyle w:val="BodyText"/>
        <w:spacing w:line="249" w:lineRule="auto" w:before="179"/>
        <w:ind w:left="199" w:right="294"/>
      </w:pPr>
      <w:r>
        <w:rPr/>
        <w:t>Disclaimer: Every effort is made to ensure that the information in this publication is accurate; however, information including phone numbers, web addresses, policies, and fees is subject to change subsequent to publishing. If you need this publication in an alternative form, please contact the Graduate School.</w:t>
      </w:r>
    </w:p>
    <w:p>
      <w:pPr>
        <w:pStyle w:val="BodyText"/>
        <w:spacing w:before="0"/>
        <w:ind w:left="0"/>
        <w:rPr>
          <w:sz w:val="29"/>
        </w:rPr>
      </w:pPr>
      <w:r>
        <w:rPr/>
        <w:br w:type="column"/>
      </w:r>
      <w:r>
        <w:rPr>
          <w:sz w:val="29"/>
        </w:rPr>
      </w:r>
    </w:p>
    <w:p>
      <w:pPr>
        <w:spacing w:line="249" w:lineRule="auto" w:before="0"/>
        <w:ind w:left="200" w:right="903" w:firstLine="0"/>
        <w:jc w:val="left"/>
        <w:rPr>
          <w:sz w:val="20"/>
        </w:rPr>
      </w:pPr>
      <w:r>
        <w:rPr>
          <w:sz w:val="20"/>
        </w:rPr>
        <w:t>See UMB’s </w:t>
      </w:r>
      <w:r>
        <w:rPr>
          <w:i/>
          <w:sz w:val="20"/>
        </w:rPr>
        <w:t>Notice of Nondiscrimination </w:t>
      </w:r>
      <w:r>
        <w:rPr>
          <w:sz w:val="20"/>
        </w:rPr>
        <w:t>in the </w:t>
      </w:r>
      <w:r>
        <w:rPr>
          <w:sz w:val="20"/>
          <w:u w:val="single"/>
        </w:rPr>
        <w:t>Policies</w:t>
      </w:r>
      <w:r>
        <w:rPr>
          <w:sz w:val="20"/>
        </w:rPr>
        <w:t> section of this catalog.</w:t>
      </w:r>
    </w:p>
    <w:p>
      <w:pPr>
        <w:pStyle w:val="BodyText"/>
        <w:spacing w:before="0"/>
        <w:ind w:left="0"/>
        <w:rPr>
          <w:sz w:val="22"/>
        </w:rPr>
      </w:pPr>
    </w:p>
    <w:p>
      <w:pPr>
        <w:pStyle w:val="BodyText"/>
        <w:spacing w:before="3"/>
        <w:ind w:left="0"/>
        <w:rPr>
          <w:sz w:val="30"/>
        </w:rPr>
      </w:pPr>
    </w:p>
    <w:p>
      <w:pPr>
        <w:pStyle w:val="BodyText"/>
        <w:spacing w:line="249" w:lineRule="auto" w:before="0"/>
        <w:ind w:right="628"/>
      </w:pPr>
      <w:r>
        <w:rPr>
          <w:b/>
        </w:rPr>
        <w:t>Special Note regarding delivery </w:t>
      </w:r>
      <w:r>
        <w:rPr>
          <w:b/>
          <w:spacing w:val="-3"/>
        </w:rPr>
        <w:t>of </w:t>
      </w:r>
      <w:r>
        <w:rPr>
          <w:b/>
        </w:rPr>
        <w:t>instruction: </w:t>
      </w:r>
      <w:r>
        <w:rPr>
          <w:spacing w:val="-3"/>
        </w:rPr>
        <w:t>In </w:t>
      </w:r>
      <w:r>
        <w:rPr/>
        <w:t>the summer session </w:t>
      </w:r>
      <w:r>
        <w:rPr>
          <w:spacing w:val="-3"/>
        </w:rPr>
        <w:t>of </w:t>
      </w:r>
      <w:r>
        <w:rPr/>
        <w:t>2020, </w:t>
      </w:r>
      <w:r>
        <w:rPr>
          <w:spacing w:val="-3"/>
        </w:rPr>
        <w:t>UMB </w:t>
      </w:r>
      <w:r>
        <w:rPr/>
        <w:t>schools will deliver didactic curriculum on-line. This innovative method </w:t>
      </w:r>
      <w:r>
        <w:rPr>
          <w:spacing w:val="-5"/>
        </w:rPr>
        <w:t>of </w:t>
      </w:r>
      <w:r>
        <w:rPr/>
        <w:t>delivering didactic instruction responds to the COVID 19 pandemic and decisions made to maintain social distancing in the interest </w:t>
      </w:r>
      <w:r>
        <w:rPr>
          <w:spacing w:val="-3"/>
        </w:rPr>
        <w:t>of </w:t>
      </w:r>
      <w:r>
        <w:rPr/>
        <w:t>the personal safety of all </w:t>
      </w:r>
      <w:r>
        <w:rPr>
          <w:spacing w:val="-3"/>
        </w:rPr>
        <w:t>involved </w:t>
      </w:r>
      <w:r>
        <w:rPr/>
        <w:t>in the education </w:t>
      </w:r>
      <w:r>
        <w:rPr>
          <w:spacing w:val="-3"/>
        </w:rPr>
        <w:t>of UMB</w:t>
      </w:r>
      <w:r>
        <w:rPr>
          <w:spacing w:val="4"/>
        </w:rPr>
        <w:t> </w:t>
      </w:r>
      <w:r>
        <w:rPr/>
        <w:t>students.</w:t>
      </w:r>
    </w:p>
    <w:p>
      <w:pPr>
        <w:pStyle w:val="BodyText"/>
        <w:spacing w:line="249" w:lineRule="auto" w:before="183"/>
        <w:ind w:left="199" w:right="682"/>
      </w:pPr>
      <w:r>
        <w:rPr/>
        <w:t>In the academic year 2020-2021, UMB expects it will return to some classroom and on-campus didactic instruction, consistent with safety standards, local and regional health conditions, and guidance of public authorities. The ability to offer courses on campus may be delayed or intermittent. UMB may supplement on-campus instruction with online and virtual learning opportunities.</w:t>
      </w:r>
    </w:p>
    <w:p>
      <w:pPr>
        <w:pStyle w:val="BodyText"/>
        <w:spacing w:line="249" w:lineRule="auto" w:before="188"/>
        <w:ind w:right="625"/>
      </w:pPr>
      <w:r>
        <w:rPr/>
        <w:t>Selected labs, research assignments, experiential learning activities and Performance Based Assessments (PBAs) must be done in-person and will be scheduled (or rescheduled) as permitted by circumstances and UMB policies. Most clinical experiential rotations scheduled for the summer 2020 are postponed until fall 2020 when UMB will work in consultation with affiliates to determine the best ways for students to engage in academic work at affiliates’ facilities after appropriate safety precautions are identified and implemented.</w:t>
      </w:r>
    </w:p>
    <w:p>
      <w:pPr>
        <w:pStyle w:val="BodyText"/>
        <w:spacing w:line="249" w:lineRule="auto" w:before="184"/>
        <w:ind w:right="682" w:hanging="1"/>
      </w:pPr>
      <w:r>
        <w:rPr/>
        <w:t>For on-line learning, UMB will reformat the curriculum materials and teaching techniques as necessary to assure that coursework continues to meet the high standards set by UMB and to assure that all learning outcomes are achieved in accordance with accreditation standards and expectations.</w:t>
      </w:r>
    </w:p>
    <w:p>
      <w:pPr>
        <w:spacing w:after="0" w:line="249" w:lineRule="auto"/>
        <w:sectPr>
          <w:type w:val="continuous"/>
          <w:pgSz w:w="12240" w:h="15840"/>
          <w:pgMar w:top="1500" w:bottom="280" w:left="880" w:right="300"/>
          <w:cols w:num="2" w:equalWidth="0">
            <w:col w:w="4996" w:space="491"/>
            <w:col w:w="5573"/>
          </w:cols>
        </w:sectPr>
      </w:pPr>
    </w:p>
    <w:p>
      <w:pPr>
        <w:pStyle w:val="Heading1"/>
      </w:pPr>
      <w:bookmarkStart w:name="General Information" w:id="3"/>
      <w:bookmarkEnd w:id="3"/>
      <w:r>
        <w:rPr>
          <w:b w:val="0"/>
        </w:rPr>
      </w:r>
      <w:bookmarkStart w:name="_bookmark1" w:id="4"/>
      <w:bookmarkEnd w:id="4"/>
      <w:r>
        <w:rPr>
          <w:b w:val="0"/>
        </w:rPr>
      </w:r>
      <w:r>
        <w:rPr/>
        <w:t>General Information</w:t>
      </w:r>
    </w:p>
    <w:p>
      <w:pPr>
        <w:pStyle w:val="Heading4"/>
        <w:spacing w:before="315"/>
      </w:pPr>
      <w:r>
        <w:rPr/>
        <w:t>Degrees Offered</w:t>
      </w:r>
    </w:p>
    <w:p>
      <w:pPr>
        <w:pStyle w:val="BodyText"/>
        <w:spacing w:before="183"/>
      </w:pPr>
      <w:r>
        <w:rPr/>
        <w:t>PhD, MS, Postbaccalaureate</w:t>
      </w:r>
      <w:r>
        <w:rPr>
          <w:spacing w:val="-18"/>
        </w:rPr>
        <w:t> </w:t>
      </w:r>
      <w:r>
        <w:rPr/>
        <w:t>Certificates</w:t>
      </w:r>
    </w:p>
    <w:p>
      <w:pPr>
        <w:pStyle w:val="Heading4"/>
        <w:spacing w:before="174"/>
      </w:pPr>
      <w:r>
        <w:rPr/>
        <w:t>Location and Contact</w:t>
      </w:r>
      <w:r>
        <w:rPr>
          <w:spacing w:val="-10"/>
        </w:rPr>
        <w:t> </w:t>
      </w:r>
      <w:r>
        <w:rPr/>
        <w:t>Information</w:t>
      </w:r>
    </w:p>
    <w:p>
      <w:pPr>
        <w:pStyle w:val="BodyText"/>
        <w:spacing w:before="183"/>
      </w:pPr>
      <w:r>
        <w:rPr/>
        <w:t>Graduate School</w:t>
      </w:r>
    </w:p>
    <w:p>
      <w:pPr>
        <w:pStyle w:val="BodyText"/>
        <w:spacing w:line="249" w:lineRule="auto" w:before="10"/>
        <w:ind w:right="168"/>
      </w:pPr>
      <w:r>
        <w:rPr/>
        <w:t>University of Maryland, Baltimore 620 W. Lexington St., Suite 5110</w:t>
      </w:r>
    </w:p>
    <w:p>
      <w:pPr>
        <w:pStyle w:val="BodyText"/>
        <w:spacing w:before="1"/>
        <w:ind w:left="199"/>
      </w:pPr>
      <w:r>
        <w:rPr/>
        <w:t>Baltimore, MD 21201</w:t>
      </w:r>
    </w:p>
    <w:p>
      <w:pPr>
        <w:pStyle w:val="BodyText"/>
        <w:spacing w:before="10"/>
        <w:ind w:left="199"/>
      </w:pPr>
      <w:r>
        <w:rPr/>
        <w:t>410-706-7131; 410-706-3473 (fax)</w:t>
      </w:r>
    </w:p>
    <w:p>
      <w:pPr>
        <w:pStyle w:val="BodyText"/>
        <w:spacing w:before="10"/>
        <w:ind w:left="199"/>
      </w:pPr>
      <w:hyperlink r:id="rId14">
        <w:r>
          <w:rPr/>
          <w:t>gradinfo@umaryland.edu</w:t>
        </w:r>
      </w:hyperlink>
    </w:p>
    <w:p>
      <w:pPr>
        <w:pStyle w:val="Heading4"/>
        <w:spacing w:before="174"/>
      </w:pPr>
      <w:r>
        <w:rPr/>
        <w:t>The Graduate School</w:t>
      </w:r>
    </w:p>
    <w:p>
      <w:pPr>
        <w:pStyle w:val="BodyText"/>
        <w:spacing w:line="249" w:lineRule="auto" w:before="184"/>
        <w:ind w:right="107"/>
      </w:pPr>
      <w:r>
        <w:rPr/>
        <w:t>The Graduate School works in concert with the University of Maryland schools of dentistry, medicine, nursing, pharmacy, and social work by developing and applying Universitywide standards and policies for graduate programs, faculty, and students.</w:t>
      </w:r>
    </w:p>
    <w:p>
      <w:pPr>
        <w:pStyle w:val="BodyText"/>
        <w:spacing w:line="249" w:lineRule="auto" w:before="186"/>
        <w:ind w:right="29"/>
      </w:pPr>
      <w:r>
        <w:rPr/>
        <w:t>Graduate studies began at the Baltimore campus of the University of Maryland in 1918. Today, the Graduate School offers 40 postbaccalaureate certificate (PBC), Master of Science (MS) and Doctor of Philosophy (PhD) degree programs in biomedical, health, human service, and life sciences. The Graduate School also offers formal dual- degree programs with the University’s professional schools and facilitates interinstitutional studies and cooperative degree programs in several fields with other University System of Maryland (USM) campuses and graduate programs.</w:t>
      </w:r>
    </w:p>
    <w:p>
      <w:pPr>
        <w:pStyle w:val="BodyText"/>
        <w:spacing w:line="249" w:lineRule="auto"/>
        <w:ind w:left="199" w:right="58"/>
      </w:pPr>
      <w:r>
        <w:rPr/>
        <w:t>Our website, </w:t>
      </w:r>
      <w:hyperlink r:id="rId15">
        <w:r>
          <w:rPr/>
          <w:t>www.graduate.umaryland.edu</w:t>
        </w:r>
        <w:r>
          <w:rPr>
            <w:i/>
          </w:rPr>
          <w:t>,</w:t>
        </w:r>
      </w:hyperlink>
      <w:r>
        <w:rPr>
          <w:i/>
        </w:rPr>
        <w:t> </w:t>
      </w:r>
      <w:r>
        <w:rPr/>
        <w:t>includes the </w:t>
      </w:r>
      <w:r>
        <w:rPr>
          <w:i/>
        </w:rPr>
        <w:t>Graduate School Catalog, </w:t>
      </w:r>
      <w:r>
        <w:rPr/>
        <w:t>program information, links to program and school web pages and email addresses, the online application for admission, and forms and polices for current graduate students.</w:t>
      </w:r>
    </w:p>
    <w:p>
      <w:pPr>
        <w:pStyle w:val="Heading4"/>
        <w:spacing w:line="228" w:lineRule="auto" w:before="180"/>
      </w:pPr>
      <w:r>
        <w:rPr/>
        <w:t>The University of Maryland Graduate School, Baltimore (UMGSB)</w:t>
      </w:r>
    </w:p>
    <w:p>
      <w:pPr>
        <w:pStyle w:val="BodyText"/>
        <w:spacing w:line="249" w:lineRule="auto"/>
        <w:ind w:right="38"/>
      </w:pPr>
      <w:r>
        <w:rPr/>
        <w:t>Created in 1985, </w:t>
      </w:r>
      <w:r>
        <w:rPr>
          <w:spacing w:val="-3"/>
        </w:rPr>
        <w:t>UMGSB </w:t>
      </w:r>
      <w:r>
        <w:rPr/>
        <w:t>represents the combined graduate and research programs at the University of Maryland, Baltimore County (UMBC) and </w:t>
      </w:r>
      <w:r>
        <w:rPr>
          <w:spacing w:val="-3"/>
        </w:rPr>
        <w:t>UMB </w:t>
      </w:r>
      <w:r>
        <w:rPr/>
        <w:t>— the University System </w:t>
      </w:r>
      <w:r>
        <w:rPr>
          <w:spacing w:val="-3"/>
        </w:rPr>
        <w:t>of </w:t>
      </w:r>
      <w:r>
        <w:rPr/>
        <w:t>Maryland </w:t>
      </w:r>
      <w:r>
        <w:rPr>
          <w:spacing w:val="-3"/>
        </w:rPr>
        <w:t>(USM) </w:t>
      </w:r>
      <w:r>
        <w:rPr/>
        <w:t>doctoral research campuses in the Baltimore area. Several joint programs with </w:t>
      </w:r>
      <w:r>
        <w:rPr>
          <w:spacing w:val="-4"/>
        </w:rPr>
        <w:t>UMBC </w:t>
      </w:r>
      <w:r>
        <w:rPr/>
        <w:t>permit </w:t>
      </w:r>
      <w:r>
        <w:rPr>
          <w:spacing w:val="-3"/>
        </w:rPr>
        <w:t>UMB </w:t>
      </w:r>
      <w:r>
        <w:rPr/>
        <w:t>graduate students to take advantage </w:t>
      </w:r>
      <w:r>
        <w:rPr>
          <w:spacing w:val="-3"/>
        </w:rPr>
        <w:t>of </w:t>
      </w:r>
      <w:r>
        <w:rPr/>
        <w:t>the association </w:t>
      </w:r>
      <w:r>
        <w:rPr>
          <w:spacing w:val="-3"/>
        </w:rPr>
        <w:t>of </w:t>
      </w:r>
      <w:r>
        <w:rPr/>
        <w:t>faculty and the wide variety of courses offered at </w:t>
      </w:r>
      <w:r>
        <w:rPr>
          <w:spacing w:val="-3"/>
        </w:rPr>
        <w:t>UMBC. </w:t>
      </w:r>
      <w:r>
        <w:rPr>
          <w:spacing w:val="-2"/>
        </w:rPr>
        <w:t>All </w:t>
      </w:r>
      <w:r>
        <w:rPr>
          <w:spacing w:val="-3"/>
        </w:rPr>
        <w:t>UMB </w:t>
      </w:r>
      <w:r>
        <w:rPr/>
        <w:t>and </w:t>
      </w:r>
      <w:r>
        <w:rPr>
          <w:spacing w:val="-4"/>
        </w:rPr>
        <w:t>UMBC </w:t>
      </w:r>
      <w:r>
        <w:rPr/>
        <w:t>graduate programs are reviewed by a joint</w:t>
      </w:r>
      <w:r>
        <w:rPr>
          <w:spacing w:val="-9"/>
        </w:rPr>
        <w:t> </w:t>
      </w:r>
      <w:r>
        <w:rPr/>
        <w:t>Graduate</w:t>
      </w:r>
    </w:p>
    <w:p>
      <w:pPr>
        <w:pStyle w:val="BodyText"/>
        <w:spacing w:before="0"/>
        <w:ind w:left="0"/>
        <w:rPr>
          <w:sz w:val="22"/>
        </w:rPr>
      </w:pPr>
      <w:r>
        <w:rPr/>
        <w:br w:type="column"/>
      </w:r>
      <w:r>
        <w:rPr>
          <w:sz w:val="22"/>
        </w:rPr>
      </w:r>
    </w:p>
    <w:p>
      <w:pPr>
        <w:pStyle w:val="BodyText"/>
        <w:spacing w:before="0"/>
        <w:ind w:left="0"/>
        <w:rPr>
          <w:sz w:val="22"/>
        </w:rPr>
      </w:pPr>
    </w:p>
    <w:p>
      <w:pPr>
        <w:pStyle w:val="BodyText"/>
        <w:spacing w:before="1"/>
        <w:ind w:left="0"/>
        <w:rPr>
          <w:sz w:val="25"/>
        </w:rPr>
      </w:pPr>
    </w:p>
    <w:p>
      <w:pPr>
        <w:pStyle w:val="BodyText"/>
        <w:spacing w:before="1"/>
        <w:ind w:left="199"/>
      </w:pPr>
      <w:r>
        <w:rPr/>
        <w:t>Council of the UMGSB.</w:t>
      </w:r>
    </w:p>
    <w:p>
      <w:pPr>
        <w:pStyle w:val="Heading4"/>
        <w:spacing w:line="228" w:lineRule="auto" w:before="184"/>
        <w:ind w:right="628" w:hanging="1"/>
      </w:pPr>
      <w:r>
        <w:rPr/>
        <w:t>University of Maryland — Downtown Baltimore Campus</w:t>
      </w:r>
    </w:p>
    <w:p>
      <w:pPr>
        <w:pStyle w:val="BodyText"/>
        <w:spacing w:line="249" w:lineRule="auto" w:before="186"/>
        <w:ind w:left="199" w:right="615"/>
      </w:pPr>
      <w:r>
        <w:rPr/>
        <w:t>The University of Maryland, Baltimore </w:t>
      </w:r>
      <w:r>
        <w:rPr>
          <w:spacing w:val="-3"/>
        </w:rPr>
        <w:t>(UMB) </w:t>
      </w:r>
      <w:r>
        <w:rPr/>
        <w:t>is the state’s public health, </w:t>
      </w:r>
      <w:r>
        <w:rPr>
          <w:spacing w:val="-3"/>
        </w:rPr>
        <w:t>law, </w:t>
      </w:r>
      <w:r>
        <w:rPr/>
        <w:t>and human services university devoted to excellence in professional and graduate education, research, patient care, and public service. As a diverse community of outstanding faculty, staff, and students, and using state-of-the-art technological support, we educate leaders in health care </w:t>
      </w:r>
      <w:r>
        <w:rPr>
          <w:spacing w:val="-3"/>
        </w:rPr>
        <w:t>delivery, </w:t>
      </w:r>
      <w:r>
        <w:rPr/>
        <w:t>biomedical science, global health, social work, and the law. </w:t>
      </w:r>
      <w:r>
        <w:rPr>
          <w:spacing w:val="-3"/>
        </w:rPr>
        <w:t>We </w:t>
      </w:r>
      <w:r>
        <w:rPr/>
        <w:t>emphasize interdisciplinary education and research in an atmosphere that explicitly values civility, diversity, collaboration, teamwork, and accountability. By conducting internationally recognized research to cure disease and to improve the health, social functioning, and just treatment </w:t>
      </w:r>
      <w:r>
        <w:rPr>
          <w:spacing w:val="-3"/>
        </w:rPr>
        <w:t>of </w:t>
      </w:r>
      <w:r>
        <w:rPr/>
        <w:t>the people </w:t>
      </w:r>
      <w:r>
        <w:rPr>
          <w:spacing w:val="-4"/>
        </w:rPr>
        <w:t>we </w:t>
      </w:r>
      <w:r>
        <w:rPr/>
        <w:t>serve, we foster economic development in the </w:t>
      </w:r>
      <w:r>
        <w:rPr>
          <w:spacing w:val="-4"/>
        </w:rPr>
        <w:t>city, </w:t>
      </w:r>
      <w:r>
        <w:rPr/>
        <w:t>state, and nation. We are committed to ensuring that the knowledge </w:t>
      </w:r>
      <w:r>
        <w:rPr>
          <w:spacing w:val="-4"/>
        </w:rPr>
        <w:t>we </w:t>
      </w:r>
      <w:r>
        <w:rPr/>
        <w:t>generate provides maximum benefit to society and directly</w:t>
      </w:r>
      <w:r>
        <w:rPr>
          <w:spacing w:val="-22"/>
        </w:rPr>
        <w:t> </w:t>
      </w:r>
      <w:r>
        <w:rPr/>
        <w:t>enhances our</w:t>
      </w:r>
      <w:r>
        <w:rPr>
          <w:spacing w:val="6"/>
        </w:rPr>
        <w:t> </w:t>
      </w:r>
      <w:r>
        <w:rPr/>
        <w:t>communities.</w:t>
      </w:r>
    </w:p>
    <w:p>
      <w:pPr>
        <w:pStyle w:val="BodyText"/>
        <w:spacing w:line="249" w:lineRule="auto" w:before="195"/>
        <w:ind w:left="199" w:right="660"/>
      </w:pPr>
      <w:r>
        <w:rPr/>
        <w:t>With 6,703 students, 2,743 faculty members, and 4,460 staff, UMB is an economic engine yielding more than $13 for every general fund dollar appropriated by the state of Maryland. In addition to UMB’s mandates of teaching and research, members of the University community donate more than 2 million hours each year in service to the public. More than $497.5 million in grants and contracts was awarded in Fiscal Year 2016, and faculty contributed to important advances in basic science and applied research. Located in Baltimore, the campus consists of 71 acres with almost 7.5 million gross square feet of space in 67 buildings.</w:t>
      </w:r>
    </w:p>
    <w:p>
      <w:pPr>
        <w:pStyle w:val="Heading4"/>
        <w:ind w:left="199"/>
      </w:pPr>
      <w:r>
        <w:rPr/>
        <w:t>Baltimore and Surrounding Area</w:t>
      </w:r>
    </w:p>
    <w:p>
      <w:pPr>
        <w:pStyle w:val="BodyText"/>
        <w:spacing w:line="249" w:lineRule="auto" w:before="188"/>
        <w:ind w:left="199" w:right="642"/>
      </w:pPr>
      <w:r>
        <w:rPr/>
        <w:t>Beyond offering outstanding professional opportunities, Baltimore is a great place to live. </w:t>
      </w:r>
      <w:r>
        <w:rPr>
          <w:spacing w:val="-3"/>
        </w:rPr>
        <w:t>In </w:t>
      </w:r>
      <w:r>
        <w:rPr/>
        <w:t>addition to a diversity of affordable housing, Baltimore’s world-renowned Inner Harbor area, lively entertainment, world-class museums, fine music, and professional theater make city living exciting and culturally rewarding. </w:t>
      </w:r>
      <w:r>
        <w:rPr>
          <w:spacing w:val="-3"/>
        </w:rPr>
        <w:t>For </w:t>
      </w:r>
      <w:r>
        <w:rPr/>
        <w:t>sports lovers, Orioles baseball and Ravens football are </w:t>
      </w:r>
      <w:r>
        <w:rPr>
          <w:spacing w:val="-3"/>
        </w:rPr>
        <w:t>within </w:t>
      </w:r>
      <w:r>
        <w:rPr/>
        <w:t>walking distance </w:t>
      </w:r>
      <w:r>
        <w:rPr>
          <w:spacing w:val="-3"/>
        </w:rPr>
        <w:t>of </w:t>
      </w:r>
      <w:r>
        <w:rPr/>
        <w:t>the campus. The city also offers access to the Chesapeake Bay and Atlantic </w:t>
      </w:r>
      <w:r>
        <w:rPr>
          <w:spacing w:val="-3"/>
        </w:rPr>
        <w:t>Ocean </w:t>
      </w:r>
      <w:r>
        <w:rPr/>
        <w:t>beaches, </w:t>
      </w:r>
      <w:r>
        <w:rPr>
          <w:spacing w:val="-3"/>
        </w:rPr>
        <w:t>ski </w:t>
      </w:r>
      <w:r>
        <w:rPr/>
        <w:t>resorts in Western Maryland and Pennsylvania, and the nation’s capital, Washington,</w:t>
      </w:r>
      <w:r>
        <w:rPr>
          <w:spacing w:val="4"/>
        </w:rPr>
        <w:t> </w:t>
      </w:r>
      <w:r>
        <w:rPr/>
        <w:t>D.C.</w:t>
      </w:r>
    </w:p>
    <w:p>
      <w:pPr>
        <w:spacing w:after="0" w:line="249" w:lineRule="auto"/>
        <w:sectPr>
          <w:pgSz w:w="12240" w:h="15840"/>
          <w:pgMar w:header="746" w:footer="0" w:top="1320" w:bottom="280" w:left="880" w:right="300"/>
          <w:cols w:num="2" w:equalWidth="0">
            <w:col w:w="5004" w:space="483"/>
            <w:col w:w="5573"/>
          </w:cols>
        </w:sectPr>
      </w:pPr>
    </w:p>
    <w:p>
      <w:pPr>
        <w:pStyle w:val="Heading1"/>
      </w:pPr>
      <w:bookmarkStart w:name="Admissions" w:id="5"/>
      <w:bookmarkEnd w:id="5"/>
      <w:r>
        <w:rPr>
          <w:b w:val="0"/>
        </w:rPr>
      </w:r>
      <w:bookmarkStart w:name="_bookmark2" w:id="6"/>
      <w:bookmarkEnd w:id="6"/>
      <w:r>
        <w:rPr>
          <w:b w:val="0"/>
        </w:rPr>
      </w:r>
      <w:r>
        <w:rPr/>
        <w:t>Admissions</w:t>
      </w:r>
    </w:p>
    <w:p>
      <w:pPr>
        <w:pStyle w:val="Heading4"/>
        <w:spacing w:before="315"/>
      </w:pPr>
      <w:r>
        <w:rPr/>
        <w:t>Determination of Admissibility</w:t>
      </w:r>
    </w:p>
    <w:p>
      <w:pPr>
        <w:pStyle w:val="BodyText"/>
        <w:spacing w:line="249" w:lineRule="auto" w:before="183"/>
        <w:ind w:right="41"/>
      </w:pPr>
      <w:r>
        <w:rPr/>
        <w:t>Responsibility for admission to graduate study at the University of Maryland, Baltimore resides </w:t>
      </w:r>
      <w:r>
        <w:rPr>
          <w:spacing w:val="-3"/>
        </w:rPr>
        <w:t>with </w:t>
      </w:r>
      <w:r>
        <w:rPr/>
        <w:t>the </w:t>
      </w:r>
      <w:r>
        <w:rPr>
          <w:spacing w:val="-3"/>
        </w:rPr>
        <w:t>Office </w:t>
      </w:r>
      <w:r>
        <w:rPr/>
        <w:t>of the Dean, Graduate School. The Graduate School relies </w:t>
      </w:r>
      <w:r>
        <w:rPr>
          <w:spacing w:val="-3"/>
        </w:rPr>
        <w:t>on </w:t>
      </w:r>
      <w:r>
        <w:rPr/>
        <w:t>recommendations </w:t>
      </w:r>
      <w:r>
        <w:rPr>
          <w:spacing w:val="-3"/>
        </w:rPr>
        <w:t>from </w:t>
      </w:r>
      <w:r>
        <w:rPr/>
        <w:t>the degree-granting programs to determine the admissibility of applicants. The University of Maryland, Baltimore </w:t>
      </w:r>
      <w:r>
        <w:rPr>
          <w:spacing w:val="-3"/>
        </w:rPr>
        <w:t>does </w:t>
      </w:r>
      <w:r>
        <w:rPr/>
        <w:t>not discriminate in its admissions, educational services, </w:t>
      </w:r>
      <w:r>
        <w:rPr>
          <w:spacing w:val="-3"/>
        </w:rPr>
        <w:t>or </w:t>
      </w:r>
      <w:r>
        <w:rPr/>
        <w:t>supporting services because of race, religion, age, national origin, </w:t>
      </w:r>
      <w:r>
        <w:rPr>
          <w:spacing w:val="-3"/>
        </w:rPr>
        <w:t>sex, </w:t>
      </w:r>
      <w:r>
        <w:rPr/>
        <w:t>sexual orientation, </w:t>
      </w:r>
      <w:r>
        <w:rPr>
          <w:spacing w:val="-3"/>
        </w:rPr>
        <w:t>or</w:t>
      </w:r>
      <w:r>
        <w:rPr>
          <w:spacing w:val="1"/>
        </w:rPr>
        <w:t> </w:t>
      </w:r>
      <w:r>
        <w:rPr/>
        <w:t>disability.</w:t>
      </w:r>
    </w:p>
    <w:p>
      <w:pPr>
        <w:pStyle w:val="Heading4"/>
      </w:pPr>
      <w:r>
        <w:rPr/>
        <w:t>Minimum Standards and Requirements</w:t>
      </w:r>
    </w:p>
    <w:p>
      <w:pPr>
        <w:pStyle w:val="BodyText"/>
        <w:spacing w:line="249" w:lineRule="auto" w:before="183"/>
        <w:ind w:right="18"/>
      </w:pPr>
      <w:r>
        <w:rPr/>
        <w:t>The minimum academic standard for full admission to the Graduate School is a B average, or 3.0 on a 4.0 scale, in a program resulting in the award of a bachelor’s degree from a regionally accredited college or university, or an equivalent degree and standing from a comparable foreign institution. Standards for admission to a PhD program are generally higher than those for admission to a certificate or an MS program. Applicants also must document successful completion of undergraduate prerequisites for graduate study in the chosen field. Applicants must meet the minimum requirements set by the Graduate School and must meet departmental and/or program-specific requirements that may exceed the minimum.</w:t>
      </w:r>
    </w:p>
    <w:p>
      <w:pPr>
        <w:pStyle w:val="Heading4"/>
        <w:spacing w:before="175"/>
      </w:pPr>
      <w:r>
        <w:rPr/>
        <w:t>Application Procedures and Required Items</w:t>
      </w:r>
    </w:p>
    <w:p>
      <w:pPr>
        <w:pStyle w:val="BodyText"/>
        <w:spacing w:line="249" w:lineRule="auto" w:before="183"/>
      </w:pPr>
      <w:r>
        <w:rPr/>
        <w:t>The Graduate School requires a completed application for admission and transcripts of all prior undergraduate and graduate study. Additional, supplemental items are also required depending upon the degree level and the degree program:</w:t>
      </w:r>
    </w:p>
    <w:p>
      <w:pPr>
        <w:pStyle w:val="BodyText"/>
        <w:spacing w:line="249" w:lineRule="auto" w:before="186"/>
        <w:ind w:right="35"/>
      </w:pPr>
      <w:r>
        <w:rPr/>
        <w:t>In addition to the application for admission and transcripts, applicants to post-baccalaureate certificate programs must provide an essay/statement of goals, and curriculum vitae (CV) or resume. International applicants must provide acceptable results of the Test of English as a Foreign Language (TOEFL) or the International English Language Testing System (IELTS) exam.</w:t>
      </w:r>
    </w:p>
    <w:p>
      <w:pPr>
        <w:pStyle w:val="BodyText"/>
        <w:spacing w:line="249" w:lineRule="auto" w:before="183"/>
        <w:ind w:right="35"/>
      </w:pPr>
      <w:r>
        <w:rPr/>
        <w:t>In addition to the application for admission and transcripts, applicants to master of science degree programs must provide an essay/statement of goals, a curriculum vitae (CV) or resume, and three recommendations. Some MS programs also require results of the Graduate Record Examination (GRE) general aptitude test. International applicants must provide acceptable results of the Test of</w:t>
      </w:r>
    </w:p>
    <w:p>
      <w:pPr>
        <w:pStyle w:val="BodyText"/>
        <w:spacing w:before="0"/>
        <w:ind w:left="0"/>
        <w:rPr>
          <w:sz w:val="22"/>
        </w:rPr>
      </w:pPr>
      <w:r>
        <w:rPr/>
        <w:br w:type="column"/>
      </w:r>
      <w:r>
        <w:rPr>
          <w:sz w:val="22"/>
        </w:rPr>
      </w:r>
    </w:p>
    <w:p>
      <w:pPr>
        <w:pStyle w:val="BodyText"/>
        <w:spacing w:before="0"/>
        <w:ind w:left="0"/>
        <w:rPr>
          <w:sz w:val="22"/>
        </w:rPr>
      </w:pPr>
    </w:p>
    <w:p>
      <w:pPr>
        <w:pStyle w:val="BodyText"/>
        <w:spacing w:before="1"/>
        <w:ind w:left="0"/>
        <w:rPr>
          <w:sz w:val="25"/>
        </w:rPr>
      </w:pPr>
    </w:p>
    <w:p>
      <w:pPr>
        <w:pStyle w:val="BodyText"/>
        <w:spacing w:line="249" w:lineRule="auto" w:before="0"/>
        <w:ind w:right="815"/>
      </w:pPr>
      <w:r>
        <w:rPr/>
        <w:t>English as a Foreign Language (TOEFL) or the International English Language Testing System (IELTS) exam.</w:t>
      </w:r>
    </w:p>
    <w:p>
      <w:pPr>
        <w:pStyle w:val="BodyText"/>
        <w:spacing w:line="249" w:lineRule="auto" w:before="184"/>
        <w:ind w:right="642"/>
      </w:pPr>
      <w:r>
        <w:rPr/>
        <w:t>In addition to the application </w:t>
      </w:r>
      <w:r>
        <w:rPr>
          <w:spacing w:val="-4"/>
        </w:rPr>
        <w:t>for </w:t>
      </w:r>
      <w:r>
        <w:rPr/>
        <w:t>admission and transcripts, applicants to doctoral research/PhD degree programs must provide an essay/statement </w:t>
      </w:r>
      <w:r>
        <w:rPr>
          <w:spacing w:val="-3"/>
        </w:rPr>
        <w:t>of </w:t>
      </w:r>
      <w:r>
        <w:rPr/>
        <w:t>goals, a curriculum vitae (CV) </w:t>
      </w:r>
      <w:r>
        <w:rPr>
          <w:spacing w:val="-3"/>
        </w:rPr>
        <w:t>or </w:t>
      </w:r>
      <w:r>
        <w:rPr/>
        <w:t>resume, and three recommendations. Some PhD programs also require results </w:t>
      </w:r>
      <w:r>
        <w:rPr>
          <w:spacing w:val="-3"/>
        </w:rPr>
        <w:t>of </w:t>
      </w:r>
      <w:r>
        <w:rPr/>
        <w:t>the Graduate Record Examination (GRE) general aptitude test, and an interview.  International applicants must provide acceptable results </w:t>
      </w:r>
      <w:r>
        <w:rPr>
          <w:spacing w:val="-3"/>
        </w:rPr>
        <w:t>of </w:t>
      </w:r>
      <w:r>
        <w:rPr/>
        <w:t>the Test </w:t>
      </w:r>
      <w:r>
        <w:rPr>
          <w:spacing w:val="-3"/>
        </w:rPr>
        <w:t>of </w:t>
      </w:r>
      <w:r>
        <w:rPr/>
        <w:t>English as a Foreign Language (TOEFL) </w:t>
      </w:r>
      <w:r>
        <w:rPr>
          <w:spacing w:val="-3"/>
        </w:rPr>
        <w:t>or </w:t>
      </w:r>
      <w:r>
        <w:rPr/>
        <w:t>the International English Language Testing System (IELTS)</w:t>
      </w:r>
      <w:r>
        <w:rPr>
          <w:spacing w:val="-1"/>
        </w:rPr>
        <w:t> </w:t>
      </w:r>
      <w:r>
        <w:rPr/>
        <w:t>exam.</w:t>
      </w:r>
    </w:p>
    <w:p>
      <w:pPr>
        <w:pStyle w:val="BodyText"/>
        <w:spacing w:line="249" w:lineRule="auto"/>
        <w:ind w:right="697"/>
      </w:pPr>
      <w:r>
        <w:rPr/>
        <w:t>Some programs require additional evidence of ability to succeed before granting admission. </w:t>
      </w:r>
      <w:r>
        <w:rPr>
          <w:spacing w:val="-3"/>
        </w:rPr>
        <w:t>Such </w:t>
      </w:r>
      <w:r>
        <w:rPr/>
        <w:t>evidence may include an interview, an additional writing sample, </w:t>
      </w:r>
      <w:r>
        <w:rPr>
          <w:spacing w:val="-3"/>
        </w:rPr>
        <w:t>or </w:t>
      </w:r>
      <w:r>
        <w:rPr/>
        <w:t>a </w:t>
      </w:r>
      <w:r>
        <w:rPr>
          <w:spacing w:val="-3"/>
        </w:rPr>
        <w:t>GRE </w:t>
      </w:r>
      <w:r>
        <w:rPr/>
        <w:t>subject test, </w:t>
      </w:r>
      <w:r>
        <w:rPr>
          <w:spacing w:val="-4"/>
        </w:rPr>
        <w:t>for </w:t>
      </w:r>
      <w:r>
        <w:rPr/>
        <w:t>example. Applicants should contact the </w:t>
      </w:r>
      <w:r>
        <w:rPr>
          <w:spacing w:val="-3"/>
        </w:rPr>
        <w:t>office </w:t>
      </w:r>
      <w:r>
        <w:rPr/>
        <w:t>of the program to which they are applying about additional admission</w:t>
      </w:r>
      <w:r>
        <w:rPr>
          <w:spacing w:val="-5"/>
        </w:rPr>
        <w:t> </w:t>
      </w:r>
      <w:r>
        <w:rPr/>
        <w:t>requirements.</w:t>
      </w:r>
    </w:p>
    <w:p>
      <w:pPr>
        <w:pStyle w:val="BodyText"/>
        <w:spacing w:line="249" w:lineRule="auto" w:before="187"/>
        <w:ind w:right="609"/>
      </w:pPr>
      <w:r>
        <w:rPr/>
        <w:t>The completed application form must </w:t>
      </w:r>
      <w:r>
        <w:rPr>
          <w:spacing w:val="-3"/>
        </w:rPr>
        <w:t>be </w:t>
      </w:r>
      <w:r>
        <w:rPr/>
        <w:t>signed (hand signature </w:t>
      </w:r>
      <w:r>
        <w:rPr>
          <w:spacing w:val="-3"/>
        </w:rPr>
        <w:t>or </w:t>
      </w:r>
      <w:r>
        <w:rPr/>
        <w:t>electronic certification) by the candidate </w:t>
      </w:r>
      <w:r>
        <w:rPr>
          <w:spacing w:val="-4"/>
        </w:rPr>
        <w:t>for </w:t>
      </w:r>
      <w:r>
        <w:rPr/>
        <w:t>admission to receive consideration. A completed application file includes the application </w:t>
      </w:r>
      <w:r>
        <w:rPr>
          <w:spacing w:val="-4"/>
        </w:rPr>
        <w:t>for </w:t>
      </w:r>
      <w:r>
        <w:rPr/>
        <w:t>admission and all accompanying documents/supplemental items required for the given degree program </w:t>
      </w:r>
      <w:r>
        <w:rPr>
          <w:spacing w:val="-3"/>
        </w:rPr>
        <w:t>or </w:t>
      </w:r>
      <w:r>
        <w:rPr/>
        <w:t>status. It is the applicant’s responsibility to ensure that the Graduate </w:t>
      </w:r>
      <w:r>
        <w:rPr>
          <w:spacing w:val="-2"/>
        </w:rPr>
        <w:t>School </w:t>
      </w:r>
      <w:r>
        <w:rPr/>
        <w:t>receives all required application materials. </w:t>
      </w:r>
      <w:r>
        <w:rPr>
          <w:spacing w:val="-4"/>
        </w:rPr>
        <w:t>An </w:t>
      </w:r>
      <w:r>
        <w:rPr/>
        <w:t>incomplete application </w:t>
      </w:r>
      <w:r>
        <w:rPr>
          <w:spacing w:val="-3"/>
        </w:rPr>
        <w:t>file, or </w:t>
      </w:r>
      <w:r>
        <w:rPr/>
        <w:t>applications </w:t>
      </w:r>
      <w:r>
        <w:rPr>
          <w:spacing w:val="-4"/>
        </w:rPr>
        <w:t>for </w:t>
      </w:r>
      <w:r>
        <w:rPr>
          <w:spacing w:val="-3"/>
        </w:rPr>
        <w:t>which </w:t>
      </w:r>
      <w:r>
        <w:rPr/>
        <w:t>there is no decision rendered following the start </w:t>
      </w:r>
      <w:r>
        <w:rPr>
          <w:spacing w:val="-3"/>
        </w:rPr>
        <w:t>of </w:t>
      </w:r>
      <w:r>
        <w:rPr/>
        <w:t>application term, will </w:t>
      </w:r>
      <w:r>
        <w:rPr>
          <w:spacing w:val="-3"/>
        </w:rPr>
        <w:t>be </w:t>
      </w:r>
      <w:r>
        <w:rPr/>
        <w:t>inactivated </w:t>
      </w:r>
      <w:r>
        <w:rPr>
          <w:spacing w:val="-4"/>
        </w:rPr>
        <w:t>for </w:t>
      </w:r>
      <w:r>
        <w:rPr/>
        <w:t>the desired entry term. Failure to comply with all Graduate </w:t>
      </w:r>
      <w:r>
        <w:rPr>
          <w:spacing w:val="-3"/>
        </w:rPr>
        <w:t>School </w:t>
      </w:r>
      <w:r>
        <w:rPr/>
        <w:t>and departmental </w:t>
      </w:r>
      <w:r>
        <w:rPr>
          <w:spacing w:val="-5"/>
        </w:rPr>
        <w:t>or </w:t>
      </w:r>
      <w:r>
        <w:rPr/>
        <w:t>program requirements </w:t>
      </w:r>
      <w:r>
        <w:rPr>
          <w:spacing w:val="-4"/>
        </w:rPr>
        <w:t>for </w:t>
      </w:r>
      <w:r>
        <w:rPr/>
        <w:t>admission, </w:t>
      </w:r>
      <w:r>
        <w:rPr>
          <w:spacing w:val="-3"/>
        </w:rPr>
        <w:t>or </w:t>
      </w:r>
      <w:r>
        <w:rPr/>
        <w:t>failure to provide a completed application file by the published application deadline date, may result in the application being denied admission </w:t>
      </w:r>
      <w:r>
        <w:rPr>
          <w:spacing w:val="-3"/>
        </w:rPr>
        <w:t>or </w:t>
      </w:r>
      <w:r>
        <w:rPr/>
        <w:t>not being</w:t>
      </w:r>
      <w:r>
        <w:rPr>
          <w:spacing w:val="3"/>
        </w:rPr>
        <w:t> </w:t>
      </w:r>
      <w:r>
        <w:rPr/>
        <w:t>considered.</w:t>
      </w:r>
    </w:p>
    <w:p>
      <w:pPr>
        <w:pStyle w:val="Heading4"/>
        <w:spacing w:before="175"/>
      </w:pPr>
      <w:r>
        <w:rPr/>
        <w:t>Application Deadline Dates</w:t>
      </w:r>
    </w:p>
    <w:p>
      <w:pPr>
        <w:pStyle w:val="BodyText"/>
        <w:spacing w:line="249" w:lineRule="auto" w:before="188"/>
        <w:ind w:right="649"/>
      </w:pPr>
      <w:r>
        <w:rPr/>
        <w:t>Each graduate program has its </w:t>
      </w:r>
      <w:r>
        <w:rPr>
          <w:spacing w:val="-4"/>
        </w:rPr>
        <w:t>own </w:t>
      </w:r>
      <w:r>
        <w:rPr/>
        <w:t>deadline date </w:t>
      </w:r>
      <w:r>
        <w:rPr>
          <w:spacing w:val="-5"/>
        </w:rPr>
        <w:t>for </w:t>
      </w:r>
      <w:r>
        <w:rPr/>
        <w:t>submission </w:t>
      </w:r>
      <w:r>
        <w:rPr>
          <w:spacing w:val="-3"/>
        </w:rPr>
        <w:t>of </w:t>
      </w:r>
      <w:r>
        <w:rPr/>
        <w:t>the completed application and accompanying documents. These dates are posted </w:t>
      </w:r>
      <w:r>
        <w:rPr>
          <w:spacing w:val="-3"/>
        </w:rPr>
        <w:t>on </w:t>
      </w:r>
      <w:r>
        <w:rPr/>
        <w:t>the Graduate School website and are regularly published by the graduate programs. Students applying to programs that do not </w:t>
      </w:r>
      <w:r>
        <w:rPr>
          <w:spacing w:val="-3"/>
        </w:rPr>
        <w:t>publish </w:t>
      </w:r>
      <w:r>
        <w:rPr/>
        <w:t>program-specific deadlines must adhere to the Graduate School’s deadline dates. The Graduate </w:t>
      </w:r>
      <w:r>
        <w:rPr>
          <w:spacing w:val="-2"/>
        </w:rPr>
        <w:t>School </w:t>
      </w:r>
      <w:r>
        <w:rPr/>
        <w:t>deadlines </w:t>
      </w:r>
      <w:r>
        <w:rPr>
          <w:spacing w:val="-4"/>
        </w:rPr>
        <w:t>for </w:t>
      </w:r>
      <w:r>
        <w:rPr/>
        <w:t>the receipt </w:t>
      </w:r>
      <w:r>
        <w:rPr>
          <w:spacing w:val="-3"/>
        </w:rPr>
        <w:t>of </w:t>
      </w:r>
      <w:r>
        <w:rPr/>
        <w:t>all application materials are to </w:t>
      </w:r>
      <w:r>
        <w:rPr>
          <w:spacing w:val="-3"/>
        </w:rPr>
        <w:t>be</w:t>
      </w:r>
      <w:r>
        <w:rPr>
          <w:spacing w:val="-4"/>
        </w:rPr>
        <w:t> </w:t>
      </w:r>
      <w:r>
        <w:rPr/>
        <w:t>followed:</w:t>
      </w:r>
    </w:p>
    <w:p>
      <w:pPr>
        <w:spacing w:after="0" w:line="249" w:lineRule="auto"/>
        <w:sectPr>
          <w:pgSz w:w="12240" w:h="15840"/>
          <w:pgMar w:header="746" w:footer="0" w:top="1320" w:bottom="280" w:left="880" w:right="300"/>
          <w:cols w:num="2" w:equalWidth="0">
            <w:col w:w="4982" w:space="505"/>
            <w:col w:w="5573"/>
          </w:cols>
        </w:sectPr>
      </w:pPr>
    </w:p>
    <w:p>
      <w:pPr>
        <w:pStyle w:val="ListParagraph"/>
        <w:numPr>
          <w:ilvl w:val="0"/>
          <w:numId w:val="1"/>
        </w:numPr>
        <w:tabs>
          <w:tab w:pos="632" w:val="left" w:leader="none"/>
        </w:tabs>
        <w:spacing w:line="249" w:lineRule="auto" w:before="100" w:after="0"/>
        <w:ind w:left="631" w:right="106" w:hanging="215"/>
        <w:jc w:val="left"/>
        <w:rPr>
          <w:sz w:val="20"/>
        </w:rPr>
      </w:pPr>
      <w:r>
        <w:rPr>
          <w:sz w:val="20"/>
        </w:rPr>
        <w:t>U.S. citizens and U.S.-educated permanent residents: July 1 for Fall semester and </w:t>
      </w:r>
      <w:r>
        <w:rPr>
          <w:spacing w:val="-3"/>
          <w:sz w:val="20"/>
        </w:rPr>
        <w:t>December </w:t>
      </w:r>
      <w:r>
        <w:rPr>
          <w:sz w:val="20"/>
        </w:rPr>
        <w:t>1 </w:t>
      </w:r>
      <w:r>
        <w:rPr>
          <w:spacing w:val="-4"/>
          <w:sz w:val="20"/>
        </w:rPr>
        <w:t>for </w:t>
      </w:r>
      <w:r>
        <w:rPr>
          <w:sz w:val="20"/>
        </w:rPr>
        <w:t>Spring semester.</w:t>
      </w:r>
    </w:p>
    <w:p>
      <w:pPr>
        <w:pStyle w:val="ListParagraph"/>
        <w:numPr>
          <w:ilvl w:val="0"/>
          <w:numId w:val="1"/>
        </w:numPr>
        <w:tabs>
          <w:tab w:pos="632" w:val="left" w:leader="none"/>
        </w:tabs>
        <w:spacing w:line="249" w:lineRule="auto" w:before="180" w:after="0"/>
        <w:ind w:left="631" w:right="259" w:hanging="216"/>
        <w:jc w:val="left"/>
        <w:rPr>
          <w:sz w:val="20"/>
        </w:rPr>
      </w:pPr>
      <w:r>
        <w:rPr>
          <w:sz w:val="20"/>
        </w:rPr>
        <w:t>International students: January 15 </w:t>
      </w:r>
      <w:r>
        <w:rPr>
          <w:spacing w:val="-4"/>
          <w:sz w:val="20"/>
        </w:rPr>
        <w:t>for </w:t>
      </w:r>
      <w:r>
        <w:rPr>
          <w:sz w:val="20"/>
        </w:rPr>
        <w:t>Fall semester and May 1 </w:t>
      </w:r>
      <w:r>
        <w:rPr>
          <w:spacing w:val="-3"/>
          <w:sz w:val="20"/>
        </w:rPr>
        <w:t>of </w:t>
      </w:r>
      <w:r>
        <w:rPr>
          <w:sz w:val="20"/>
        </w:rPr>
        <w:t>the prior year </w:t>
      </w:r>
      <w:r>
        <w:rPr>
          <w:spacing w:val="-4"/>
          <w:sz w:val="20"/>
        </w:rPr>
        <w:t>for </w:t>
      </w:r>
      <w:r>
        <w:rPr>
          <w:sz w:val="20"/>
        </w:rPr>
        <w:t>Spring</w:t>
      </w:r>
      <w:r>
        <w:rPr>
          <w:spacing w:val="7"/>
          <w:sz w:val="20"/>
        </w:rPr>
        <w:t> </w:t>
      </w:r>
      <w:r>
        <w:rPr>
          <w:sz w:val="20"/>
        </w:rPr>
        <w:t>semester.</w:t>
      </w:r>
    </w:p>
    <w:p>
      <w:pPr>
        <w:pStyle w:val="ListParagraph"/>
        <w:numPr>
          <w:ilvl w:val="0"/>
          <w:numId w:val="1"/>
        </w:numPr>
        <w:tabs>
          <w:tab w:pos="632" w:val="left" w:leader="none"/>
        </w:tabs>
        <w:spacing w:line="249" w:lineRule="auto" w:before="183" w:after="0"/>
        <w:ind w:left="631" w:right="506" w:hanging="216"/>
        <w:jc w:val="left"/>
        <w:rPr>
          <w:sz w:val="20"/>
        </w:rPr>
      </w:pPr>
      <w:r>
        <w:rPr>
          <w:sz w:val="20"/>
        </w:rPr>
        <w:t>Non-degree applicants: No later than two</w:t>
      </w:r>
      <w:r>
        <w:rPr>
          <w:spacing w:val="-18"/>
          <w:sz w:val="20"/>
        </w:rPr>
        <w:t> </w:t>
      </w:r>
      <w:r>
        <w:rPr>
          <w:sz w:val="20"/>
        </w:rPr>
        <w:t>weeks before the start </w:t>
      </w:r>
      <w:r>
        <w:rPr>
          <w:spacing w:val="-3"/>
          <w:sz w:val="20"/>
        </w:rPr>
        <w:t>of </w:t>
      </w:r>
      <w:r>
        <w:rPr>
          <w:sz w:val="20"/>
        </w:rPr>
        <w:t>the respective</w:t>
      </w:r>
      <w:r>
        <w:rPr>
          <w:spacing w:val="-10"/>
          <w:sz w:val="20"/>
        </w:rPr>
        <w:t> </w:t>
      </w:r>
      <w:r>
        <w:rPr>
          <w:sz w:val="20"/>
        </w:rPr>
        <w:t>semester.</w:t>
      </w:r>
    </w:p>
    <w:p>
      <w:pPr>
        <w:pStyle w:val="BodyText"/>
        <w:spacing w:line="249" w:lineRule="auto" w:before="179"/>
        <w:ind w:left="199" w:right="51"/>
      </w:pPr>
      <w:r>
        <w:rPr/>
        <w:t>Admission to our graduate programs is highly competitive. For best consideration, applicants should submit accurate and complete credentials by the specified</w:t>
      </w:r>
    </w:p>
    <w:p>
      <w:pPr>
        <w:pStyle w:val="BodyText"/>
        <w:spacing w:line="249" w:lineRule="auto" w:before="3"/>
        <w:ind w:left="199" w:right="63"/>
      </w:pPr>
      <w:r>
        <w:rPr/>
        <w:t>deadline. Applicants are encouraged to begin preparing their application files (collecting recommendations, obtaining transcripts, and taking standardized tests) well in advance of the published deadline dates.</w:t>
      </w:r>
    </w:p>
    <w:p>
      <w:pPr>
        <w:pStyle w:val="Heading4"/>
        <w:spacing w:before="168"/>
      </w:pPr>
      <w:r>
        <w:rPr/>
        <w:t>Transcripts</w:t>
      </w:r>
    </w:p>
    <w:p>
      <w:pPr>
        <w:pStyle w:val="BodyText"/>
        <w:spacing w:line="249" w:lineRule="auto" w:before="183"/>
        <w:ind w:right="51"/>
      </w:pPr>
      <w:r>
        <w:rPr/>
        <w:t>Applicants must submit transcripts from each college/university attended, including coursework in progress at time of application. Unofficial copies may be provided for the application review process.</w:t>
      </w:r>
    </w:p>
    <w:p>
      <w:pPr>
        <w:pStyle w:val="BodyText"/>
        <w:spacing w:line="249" w:lineRule="auto"/>
        <w:ind w:right="38"/>
      </w:pPr>
      <w:r>
        <w:rPr/>
        <w:t>Admitted students must provide official transcripts </w:t>
      </w:r>
      <w:r>
        <w:rPr>
          <w:spacing w:val="-3"/>
        </w:rPr>
        <w:t>from </w:t>
      </w:r>
      <w:r>
        <w:rPr/>
        <w:t>each college/university from which a degree was earned upon notification </w:t>
      </w:r>
      <w:r>
        <w:rPr>
          <w:spacing w:val="-3"/>
        </w:rPr>
        <w:t>of </w:t>
      </w:r>
      <w:r>
        <w:rPr/>
        <w:t>admission. The transcript must </w:t>
      </w:r>
      <w:r>
        <w:rPr>
          <w:spacing w:val="-3"/>
        </w:rPr>
        <w:t>be </w:t>
      </w:r>
      <w:r>
        <w:rPr/>
        <w:t>provided to the Graduate </w:t>
      </w:r>
      <w:r>
        <w:rPr>
          <w:spacing w:val="-3"/>
        </w:rPr>
        <w:t>School </w:t>
      </w:r>
      <w:r>
        <w:rPr/>
        <w:t>directly from the prior, degree-granting institution in a sealed </w:t>
      </w:r>
      <w:r>
        <w:rPr>
          <w:spacing w:val="-3"/>
        </w:rPr>
        <w:t>envelope </w:t>
      </w:r>
      <w:r>
        <w:rPr/>
        <w:t>in order </w:t>
      </w:r>
      <w:r>
        <w:rPr>
          <w:spacing w:val="-4"/>
        </w:rPr>
        <w:t>for </w:t>
      </w:r>
      <w:r>
        <w:rPr/>
        <w:t>that document to </w:t>
      </w:r>
      <w:r>
        <w:rPr>
          <w:spacing w:val="-3"/>
        </w:rPr>
        <w:t>be </w:t>
      </w:r>
      <w:r>
        <w:rPr/>
        <w:t>considered official. Alternatively, it may </w:t>
      </w:r>
      <w:r>
        <w:rPr>
          <w:spacing w:val="-3"/>
        </w:rPr>
        <w:t>be </w:t>
      </w:r>
      <w:r>
        <w:rPr/>
        <w:t>provided to the Graduate </w:t>
      </w:r>
      <w:r>
        <w:rPr>
          <w:spacing w:val="-3"/>
        </w:rPr>
        <w:t>School </w:t>
      </w:r>
      <w:r>
        <w:rPr/>
        <w:t>electronically by way of a secure, encrypted platform. Each transcript should </w:t>
      </w:r>
      <w:r>
        <w:rPr>
          <w:spacing w:val="-3"/>
        </w:rPr>
        <w:t>bear </w:t>
      </w:r>
      <w:r>
        <w:rPr/>
        <w:t>the signature </w:t>
      </w:r>
      <w:r>
        <w:rPr>
          <w:spacing w:val="-3"/>
        </w:rPr>
        <w:t>of </w:t>
      </w:r>
      <w:r>
        <w:rPr/>
        <w:t>the registrar and the </w:t>
      </w:r>
      <w:r>
        <w:rPr>
          <w:spacing w:val="-3"/>
        </w:rPr>
        <w:t>seal of </w:t>
      </w:r>
      <w:r>
        <w:rPr/>
        <w:t>the granting</w:t>
      </w:r>
      <w:r>
        <w:rPr>
          <w:spacing w:val="-3"/>
        </w:rPr>
        <w:t> </w:t>
      </w:r>
      <w:r>
        <w:rPr/>
        <w:t>institution.</w:t>
      </w:r>
    </w:p>
    <w:p>
      <w:pPr>
        <w:pStyle w:val="BodyText"/>
        <w:spacing w:line="249" w:lineRule="auto"/>
        <w:ind w:right="40"/>
      </w:pPr>
      <w:r>
        <w:rPr/>
        <w:t>Admitted students must provide all required official documents including official transcripts from each college/university from which a degree was earned no later than the first day of the first term of enrollment at</w:t>
      </w:r>
    </w:p>
    <w:p>
      <w:pPr>
        <w:pStyle w:val="BodyText"/>
        <w:spacing w:line="249" w:lineRule="auto" w:before="3"/>
        <w:ind w:right="229"/>
      </w:pPr>
      <w:r>
        <w:rPr/>
        <w:t>UMB. The UMB Graduate School reserves the right to rescind any offer of admission if discrepancies are found between uploaded/unofficial documents and the official documents, including test scores and transcripts.</w:t>
      </w:r>
    </w:p>
    <w:p>
      <w:pPr>
        <w:pStyle w:val="BodyText"/>
        <w:spacing w:before="0"/>
        <w:ind w:left="0"/>
        <w:rPr>
          <w:sz w:val="22"/>
        </w:rPr>
      </w:pPr>
    </w:p>
    <w:p>
      <w:pPr>
        <w:pStyle w:val="BodyText"/>
        <w:spacing w:before="0"/>
        <w:ind w:left="0"/>
        <w:rPr>
          <w:sz w:val="29"/>
        </w:rPr>
      </w:pPr>
    </w:p>
    <w:p>
      <w:pPr>
        <w:pStyle w:val="Heading4"/>
        <w:spacing w:before="0"/>
      </w:pPr>
      <w:r>
        <w:rPr/>
        <w:t>Letters of Recommendation</w:t>
      </w:r>
    </w:p>
    <w:p>
      <w:pPr>
        <w:pStyle w:val="BodyText"/>
        <w:spacing w:line="249" w:lineRule="auto" w:before="188"/>
        <w:ind w:right="261"/>
      </w:pPr>
      <w:r>
        <w:rPr/>
        <w:t>Applicants to MS and PhD programs must provide three recommendations, preferably from professors or others who can attest to the quality of the applicant’s academic performance and scholastic potential.</w:t>
      </w:r>
    </w:p>
    <w:p>
      <w:pPr>
        <w:pStyle w:val="BodyText"/>
        <w:spacing w:before="180"/>
      </w:pPr>
      <w:r>
        <w:rPr/>
        <w:t>Recommendations are not required for applicants to</w:t>
      </w:r>
    </w:p>
    <w:p>
      <w:pPr>
        <w:pStyle w:val="BodyText"/>
        <w:spacing w:line="249" w:lineRule="auto" w:before="99"/>
        <w:ind w:left="199" w:right="807"/>
      </w:pPr>
      <w:r>
        <w:rPr/>
        <w:br w:type="column"/>
      </w:r>
      <w:r>
        <w:rPr/>
        <w:t>postbaccalaureate certificate programs and those seeking approval to enroll on a nondegree or coursework-only basis.</w:t>
      </w:r>
    </w:p>
    <w:p>
      <w:pPr>
        <w:pStyle w:val="Heading4"/>
        <w:spacing w:before="162"/>
        <w:ind w:left="199"/>
      </w:pPr>
      <w:r>
        <w:rPr/>
        <w:t>Essay/Statement of Goals and</w:t>
      </w:r>
      <w:r>
        <w:rPr>
          <w:spacing w:val="-17"/>
        </w:rPr>
        <w:t> </w:t>
      </w:r>
      <w:r>
        <w:rPr/>
        <w:t>Objectives</w:t>
      </w:r>
    </w:p>
    <w:p>
      <w:pPr>
        <w:pStyle w:val="BodyText"/>
        <w:spacing w:line="249" w:lineRule="auto" w:before="188"/>
        <w:ind w:left="199" w:right="1006"/>
      </w:pPr>
      <w:r>
        <w:rPr/>
        <w:t>Applicants must write and submit a 300- to 500-word statement outlining their academic and/or professional goals and objectives in pursuing graduate</w:t>
      </w:r>
      <w:r>
        <w:rPr>
          <w:spacing w:val="-8"/>
        </w:rPr>
        <w:t> </w:t>
      </w:r>
      <w:r>
        <w:rPr/>
        <w:t>study.</w:t>
      </w:r>
    </w:p>
    <w:p>
      <w:pPr>
        <w:pStyle w:val="Heading4"/>
        <w:spacing w:before="162"/>
        <w:ind w:left="199"/>
      </w:pPr>
      <w:r>
        <w:rPr/>
        <w:t>Standardized Test Scores</w:t>
      </w:r>
    </w:p>
    <w:p>
      <w:pPr>
        <w:pStyle w:val="BodyText"/>
        <w:spacing w:line="249" w:lineRule="auto" w:before="188"/>
        <w:ind w:left="199" w:right="712"/>
      </w:pPr>
      <w:r>
        <w:rPr/>
        <w:t>Some graduate programs require the submission of scores earned on the Graduate Record Examinations (GREs) general aptitude test. Information about registering for the GREs is available from the testing agency:</w:t>
      </w:r>
    </w:p>
    <w:p>
      <w:pPr>
        <w:pStyle w:val="BodyText"/>
        <w:spacing w:line="249" w:lineRule="auto" w:before="180"/>
        <w:ind w:left="199" w:right="1189"/>
      </w:pPr>
      <w:r>
        <w:rPr/>
        <w:t>Graduate Record Examinations Educational Testing Service Princeton, NJ 08540</w:t>
      </w:r>
    </w:p>
    <w:p>
      <w:pPr>
        <w:pStyle w:val="BodyText"/>
        <w:spacing w:before="2"/>
        <w:ind w:left="199"/>
      </w:pPr>
      <w:r>
        <w:rPr/>
        <w:t>609-771-7670</w:t>
      </w:r>
    </w:p>
    <w:p>
      <w:pPr>
        <w:pStyle w:val="BodyText"/>
        <w:spacing w:before="10"/>
        <w:ind w:left="199"/>
      </w:pPr>
      <w:hyperlink r:id="rId18">
        <w:r>
          <w:rPr/>
          <w:t>www.gre.org</w:t>
        </w:r>
      </w:hyperlink>
    </w:p>
    <w:p>
      <w:pPr>
        <w:pStyle w:val="BodyText"/>
        <w:spacing w:line="249" w:lineRule="auto" w:before="193"/>
        <w:ind w:left="199" w:right="605"/>
      </w:pPr>
      <w:r>
        <w:rPr/>
        <w:t>The UMB Graduate School’s GRE institution code number </w:t>
      </w:r>
      <w:r>
        <w:rPr>
          <w:u w:val="single"/>
        </w:rPr>
        <w:t>5848</w:t>
      </w:r>
      <w:r>
        <w:rPr/>
        <w:t>. GRE department codes are published by ETS.</w:t>
      </w:r>
    </w:p>
    <w:p>
      <w:pPr>
        <w:pStyle w:val="Heading4"/>
        <w:spacing w:line="228" w:lineRule="auto"/>
        <w:ind w:left="199" w:right="931"/>
      </w:pPr>
      <w:r>
        <w:rPr/>
        <w:t>Official Score Reports and Time Limitations of Standardized Tests</w:t>
      </w:r>
    </w:p>
    <w:p>
      <w:pPr>
        <w:pStyle w:val="BodyText"/>
        <w:spacing w:line="249" w:lineRule="auto" w:before="190"/>
        <w:ind w:left="199" w:right="651"/>
      </w:pPr>
      <w:r>
        <w:rPr/>
        <w:t>Applicants for admission must have the respective testing agency — Educational Testing Service or the International English Language Testing System (IELTS) — provide the Graduate School with official score reports to be considered for admission. Candidates are encouraged to verify the identification of the correct University of Maryland campus (UMB) upon selection of score routing.</w:t>
      </w:r>
    </w:p>
    <w:p>
      <w:pPr>
        <w:pStyle w:val="BodyText"/>
        <w:spacing w:line="249" w:lineRule="auto" w:before="182"/>
        <w:ind w:left="199" w:right="621"/>
      </w:pPr>
      <w:r>
        <w:rPr/>
        <w:t>Graduate Record Examinations must have been taken within </w:t>
      </w:r>
      <w:r>
        <w:rPr>
          <w:spacing w:val="-3"/>
        </w:rPr>
        <w:t>five </w:t>
      </w:r>
      <w:r>
        <w:rPr/>
        <w:t>years </w:t>
      </w:r>
      <w:r>
        <w:rPr>
          <w:spacing w:val="-3"/>
        </w:rPr>
        <w:t>of </w:t>
      </w:r>
      <w:r>
        <w:rPr/>
        <w:t>the start </w:t>
      </w:r>
      <w:r>
        <w:rPr>
          <w:spacing w:val="-3"/>
        </w:rPr>
        <w:t>of </w:t>
      </w:r>
      <w:r>
        <w:rPr/>
        <w:t>the desired admission term, and English language proficiency exams — Test </w:t>
      </w:r>
      <w:r>
        <w:rPr>
          <w:spacing w:val="-5"/>
        </w:rPr>
        <w:t>of  </w:t>
      </w:r>
      <w:r>
        <w:rPr/>
        <w:t>English as a Foreign Language (TOEFL) </w:t>
      </w:r>
      <w:r>
        <w:rPr>
          <w:spacing w:val="-3"/>
        </w:rPr>
        <w:t>or </w:t>
      </w:r>
      <w:r>
        <w:rPr/>
        <w:t>the IELTS exam — must have been </w:t>
      </w:r>
      <w:r>
        <w:rPr>
          <w:spacing w:val="-3"/>
        </w:rPr>
        <w:t>taken </w:t>
      </w:r>
      <w:r>
        <w:rPr/>
        <w:t>within two years </w:t>
      </w:r>
      <w:r>
        <w:rPr>
          <w:spacing w:val="-3"/>
        </w:rPr>
        <w:t>of </w:t>
      </w:r>
      <w:r>
        <w:rPr/>
        <w:t>the start of the desired admission term to </w:t>
      </w:r>
      <w:r>
        <w:rPr>
          <w:spacing w:val="-3"/>
        </w:rPr>
        <w:t>be </w:t>
      </w:r>
      <w:r>
        <w:rPr/>
        <w:t>considered valid scores for admission</w:t>
      </w:r>
      <w:r>
        <w:rPr>
          <w:spacing w:val="3"/>
        </w:rPr>
        <w:t> </w:t>
      </w:r>
      <w:r>
        <w:rPr/>
        <w:t>consideration.</w:t>
      </w:r>
    </w:p>
    <w:p>
      <w:pPr>
        <w:pStyle w:val="Heading4"/>
        <w:spacing w:before="170"/>
        <w:ind w:left="199"/>
      </w:pPr>
      <w:r>
        <w:rPr/>
        <w:t>Transfer of Credit</w:t>
      </w:r>
    </w:p>
    <w:p>
      <w:pPr>
        <w:pStyle w:val="BodyText"/>
        <w:spacing w:line="249" w:lineRule="auto" w:before="184"/>
        <w:ind w:left="199" w:right="646"/>
      </w:pPr>
      <w:r>
        <w:rPr/>
        <w:t>No more than 6 credits (or two courses) of graduate-level coursework taken from </w:t>
      </w:r>
      <w:r>
        <w:rPr>
          <w:spacing w:val="-3"/>
        </w:rPr>
        <w:t>other </w:t>
      </w:r>
      <w:r>
        <w:rPr/>
        <w:t>regionally accredited institutions may apply toward a master’s degree at </w:t>
      </w:r>
      <w:r>
        <w:rPr>
          <w:spacing w:val="-4"/>
        </w:rPr>
        <w:t>UMB. </w:t>
      </w:r>
      <w:r>
        <w:rPr/>
        <w:t>The courses being requested </w:t>
      </w:r>
      <w:r>
        <w:rPr>
          <w:spacing w:val="-4"/>
        </w:rPr>
        <w:t>for </w:t>
      </w:r>
      <w:r>
        <w:rPr/>
        <w:t>transfer must have </w:t>
      </w:r>
      <w:r>
        <w:rPr>
          <w:spacing w:val="-4"/>
        </w:rPr>
        <w:t>been </w:t>
      </w:r>
      <w:r>
        <w:rPr/>
        <w:t>completed within the five-year limit </w:t>
      </w:r>
      <w:r>
        <w:rPr>
          <w:spacing w:val="-4"/>
        </w:rPr>
        <w:t>for </w:t>
      </w:r>
      <w:r>
        <w:rPr/>
        <w:t>completing the master’s degree at </w:t>
      </w:r>
      <w:r>
        <w:rPr>
          <w:spacing w:val="-4"/>
        </w:rPr>
        <w:t>UMB. </w:t>
      </w:r>
      <w:r>
        <w:rPr/>
        <w:t>The </w:t>
      </w:r>
      <w:r>
        <w:rPr>
          <w:spacing w:val="-3"/>
        </w:rPr>
        <w:t>UMB </w:t>
      </w:r>
      <w:r>
        <w:rPr/>
        <w:t>graduate program must agree (approve and certify) that the requested</w:t>
      </w:r>
      <w:r>
        <w:rPr>
          <w:spacing w:val="-26"/>
        </w:rPr>
        <w:t> </w:t>
      </w:r>
      <w:r>
        <w:rPr/>
        <w:t>transfer credit is appropriate to, and acceptable in, the student’s program. Students must have earned grades </w:t>
      </w:r>
      <w:r>
        <w:rPr>
          <w:spacing w:val="-3"/>
        </w:rPr>
        <w:t>of </w:t>
      </w:r>
      <w:r>
        <w:rPr/>
        <w:t>B </w:t>
      </w:r>
      <w:r>
        <w:rPr>
          <w:spacing w:val="-3"/>
        </w:rPr>
        <w:t>or</w:t>
      </w:r>
      <w:r>
        <w:rPr>
          <w:spacing w:val="-9"/>
        </w:rPr>
        <w:t> </w:t>
      </w:r>
      <w:r>
        <w:rPr/>
        <w:t>better</w:t>
      </w:r>
    </w:p>
    <w:p>
      <w:pPr>
        <w:spacing w:after="0" w:line="249" w:lineRule="auto"/>
        <w:sectPr>
          <w:headerReference w:type="default" r:id="rId16"/>
          <w:headerReference w:type="even" r:id="rId17"/>
          <w:pgSz w:w="12240" w:h="15840"/>
          <w:pgMar w:header="746" w:footer="0" w:top="1320" w:bottom="280" w:left="880" w:right="300"/>
          <w:pgNumType w:start="9"/>
          <w:cols w:num="2" w:equalWidth="0">
            <w:col w:w="4992" w:space="494"/>
            <w:col w:w="5574"/>
          </w:cols>
        </w:sectPr>
      </w:pPr>
    </w:p>
    <w:p>
      <w:pPr>
        <w:pStyle w:val="BodyText"/>
        <w:spacing w:line="249" w:lineRule="auto" w:before="100"/>
        <w:ind w:right="86"/>
      </w:pPr>
      <w:r>
        <w:rPr/>
        <w:t>in such courses to be considered for transfer, and the course(s) may not have been used to complete a prior degree. Approved courses and related credits are transferred, grades are not.</w:t>
      </w:r>
    </w:p>
    <w:p>
      <w:pPr>
        <w:pStyle w:val="BodyText"/>
        <w:spacing w:line="249" w:lineRule="auto" w:before="180"/>
        <w:ind w:left="199" w:right="86"/>
      </w:pPr>
      <w:r>
        <w:rPr/>
        <w:t>The Graduate School does not require or accept transfer of credit for courses taken at other institutions for doctoral students. Courses taken at other regionally accredited institutions that are approved by the UMB graduate program are listed on the Application for Admission to PhD Candidacy at the time of admission to candidacy.</w:t>
      </w:r>
    </w:p>
    <w:p>
      <w:pPr>
        <w:pStyle w:val="BodyText"/>
        <w:spacing w:line="249" w:lineRule="auto" w:before="5"/>
        <w:ind w:left="199" w:right="152"/>
      </w:pPr>
      <w:r>
        <w:rPr/>
        <w:t>These courses do not appear on the University of Maryland, Baltimore transcript but, if approved by the program or department, may be used as partial fulfillment of the doctoral student’s degree program completion requirements.</w:t>
      </w:r>
    </w:p>
    <w:p>
      <w:pPr>
        <w:pStyle w:val="BodyText"/>
        <w:spacing w:line="249" w:lineRule="auto" w:before="186"/>
        <w:ind w:left="199" w:right="86"/>
      </w:pPr>
      <w:r>
        <w:rPr/>
        <w:t>The Graduate School does not accept transfer credit for postbaccalaureate certificate programs at UMB.</w:t>
      </w:r>
    </w:p>
    <w:p>
      <w:pPr>
        <w:pStyle w:val="Heading4"/>
        <w:spacing w:before="162"/>
      </w:pPr>
      <w:r>
        <w:rPr/>
        <w:t>International Applicants</w:t>
      </w:r>
    </w:p>
    <w:p>
      <w:pPr>
        <w:pStyle w:val="BodyText"/>
        <w:spacing w:line="249" w:lineRule="auto" w:before="188"/>
        <w:ind w:left="199" w:right="39"/>
      </w:pPr>
      <w:r>
        <w:rPr/>
        <w:t>International applicants must adhere to application deadline dates and submit all required documents as early as possible. The Graduate </w:t>
      </w:r>
      <w:r>
        <w:rPr>
          <w:spacing w:val="-3"/>
        </w:rPr>
        <w:t>School or </w:t>
      </w:r>
      <w:r>
        <w:rPr/>
        <w:t>an individual graduate program may request that a credential evaluation </w:t>
      </w:r>
      <w:r>
        <w:rPr>
          <w:spacing w:val="-3"/>
        </w:rPr>
        <w:t>be </w:t>
      </w:r>
      <w:r>
        <w:rPr/>
        <w:t>done by an outside agency. </w:t>
      </w:r>
      <w:r>
        <w:rPr>
          <w:spacing w:val="-3"/>
        </w:rPr>
        <w:t>In </w:t>
      </w:r>
      <w:r>
        <w:rPr/>
        <w:t>addition to meeting the requirements </w:t>
      </w:r>
      <w:r>
        <w:rPr>
          <w:spacing w:val="-4"/>
        </w:rPr>
        <w:t>for </w:t>
      </w:r>
      <w:r>
        <w:rPr/>
        <w:t>all applicants cited previously, international applicants must: (1) hold a degree that is equivalent </w:t>
      </w:r>
      <w:r>
        <w:rPr>
          <w:spacing w:val="-3"/>
        </w:rPr>
        <w:t>or </w:t>
      </w:r>
      <w:r>
        <w:rPr/>
        <w:t>comparable to a four-year U.S. bachelor’s degree and have a cumulative grade-point average equivalent to a B </w:t>
      </w:r>
      <w:r>
        <w:rPr>
          <w:spacing w:val="-3"/>
        </w:rPr>
        <w:t>or </w:t>
      </w:r>
      <w:r>
        <w:rPr/>
        <w:t>GPA, </w:t>
      </w:r>
      <w:r>
        <w:rPr>
          <w:spacing w:val="-3"/>
        </w:rPr>
        <w:t>or </w:t>
      </w:r>
      <w:r>
        <w:rPr/>
        <w:t>the first- </w:t>
      </w:r>
      <w:r>
        <w:rPr>
          <w:spacing w:val="-3"/>
        </w:rPr>
        <w:t>or </w:t>
      </w:r>
      <w:r>
        <w:rPr/>
        <w:t>high-second division </w:t>
      </w:r>
      <w:r>
        <w:rPr>
          <w:spacing w:val="-5"/>
        </w:rPr>
        <w:t>or </w:t>
      </w:r>
      <w:r>
        <w:rPr/>
        <w:t>comparable class ranking, and (2) provide proof of financial sponsorship </w:t>
      </w:r>
      <w:r>
        <w:rPr>
          <w:spacing w:val="-4"/>
        </w:rPr>
        <w:t>for </w:t>
      </w:r>
      <w:r>
        <w:rPr/>
        <w:t>immigration and visa status purposes.</w:t>
      </w:r>
    </w:p>
    <w:p>
      <w:pPr>
        <w:pStyle w:val="Heading4"/>
        <w:spacing w:before="169"/>
      </w:pPr>
      <w:r>
        <w:rPr/>
        <w:t>Transcripts, Academic Records, Mark Sheets</w:t>
      </w:r>
    </w:p>
    <w:p>
      <w:pPr>
        <w:pStyle w:val="BodyText"/>
        <w:spacing w:line="249" w:lineRule="auto" w:before="188"/>
        <w:ind w:right="24"/>
      </w:pPr>
      <w:r>
        <w:rPr/>
        <w:t>International applicants must provide their full post- secondary (college/university) transcripts or academic record(s) translated into English. You must submit transcripts from each college/university attended, including work in progress at time of application. Unofficial copies may be provided for the application review process.</w:t>
      </w:r>
    </w:p>
    <w:p>
      <w:pPr>
        <w:pStyle w:val="BodyText"/>
        <w:spacing w:line="249" w:lineRule="auto" w:before="182"/>
        <w:ind w:right="85"/>
      </w:pPr>
      <w:r>
        <w:rPr/>
        <w:t>The Graduate Programs in Life Sciences (GPILS) requires international applicants to provide a transcript evaluation from a credentials evaluation agency such as WES or ECE (or any NACES member evaluation agency) in addition to official transcripts or academic records.</w:t>
      </w:r>
    </w:p>
    <w:p>
      <w:pPr>
        <w:pStyle w:val="Heading4"/>
        <w:spacing w:before="169"/>
      </w:pPr>
      <w:r>
        <w:rPr/>
        <w:t>English Language Proficiency</w:t>
      </w:r>
    </w:p>
    <w:p>
      <w:pPr>
        <w:pStyle w:val="BodyText"/>
        <w:spacing w:line="249" w:lineRule="auto" w:before="183"/>
        <w:ind w:right="46"/>
      </w:pPr>
      <w:r>
        <w:rPr/>
        <w:t>Applicants whose native language or language of the home is not English must take the Test of English as a Foreign</w:t>
      </w:r>
    </w:p>
    <w:p>
      <w:pPr>
        <w:pStyle w:val="BodyText"/>
        <w:spacing w:line="249" w:lineRule="auto" w:before="100"/>
        <w:ind w:left="199" w:right="606"/>
      </w:pPr>
      <w:r>
        <w:rPr/>
        <w:br w:type="column"/>
      </w:r>
      <w:r>
        <w:rPr/>
        <w:t>Language (TOEFL) </w:t>
      </w:r>
      <w:r>
        <w:rPr>
          <w:spacing w:val="-3"/>
        </w:rPr>
        <w:t>or </w:t>
      </w:r>
      <w:r>
        <w:rPr/>
        <w:t>the International English Language Testing System (IELTS) exam. The TOEFL and the IELTS exam are the only measures </w:t>
      </w:r>
      <w:r>
        <w:rPr>
          <w:spacing w:val="-3"/>
        </w:rPr>
        <w:t>of </w:t>
      </w:r>
      <w:r>
        <w:rPr/>
        <w:t>English language proficiency accepted by the Graduate </w:t>
      </w:r>
      <w:r>
        <w:rPr>
          <w:spacing w:val="-3"/>
        </w:rPr>
        <w:t>School. </w:t>
      </w:r>
      <w:r>
        <w:rPr/>
        <w:t>The minimum acceptable TOEFL score </w:t>
      </w:r>
      <w:r>
        <w:rPr>
          <w:spacing w:val="-4"/>
        </w:rPr>
        <w:t>for </w:t>
      </w:r>
      <w:r>
        <w:rPr/>
        <w:t>admission is 80 </w:t>
      </w:r>
      <w:r>
        <w:rPr>
          <w:spacing w:val="-4"/>
        </w:rPr>
        <w:t>for </w:t>
      </w:r>
      <w:r>
        <w:rPr/>
        <w:t>the Internet-based test (IBT). IELTS test takers must score no less than Band 7 (total). Some graduate programs have higher minimum score requirements. The same IBT TOEFL and IELTS requirements apply for applicants to online, hybrid, and campus-based</w:t>
      </w:r>
      <w:r>
        <w:rPr>
          <w:spacing w:val="-8"/>
        </w:rPr>
        <w:t> </w:t>
      </w:r>
      <w:r>
        <w:rPr/>
        <w:t>programs.</w:t>
      </w:r>
    </w:p>
    <w:p>
      <w:pPr>
        <w:pStyle w:val="BodyText"/>
      </w:pPr>
      <w:r>
        <w:rPr/>
        <w:t>TOEFL registration information is available from:</w:t>
      </w:r>
    </w:p>
    <w:p>
      <w:pPr>
        <w:pStyle w:val="BodyText"/>
        <w:spacing w:line="249" w:lineRule="auto" w:before="192"/>
        <w:ind w:right="2264"/>
      </w:pPr>
      <w:r>
        <w:rPr/>
        <w:t>Test of English as a Foreign Language Educational Testing Service</w:t>
      </w:r>
    </w:p>
    <w:p>
      <w:pPr>
        <w:pStyle w:val="BodyText"/>
        <w:spacing w:line="249" w:lineRule="auto" w:before="1"/>
        <w:ind w:right="3714"/>
      </w:pPr>
      <w:r>
        <w:rPr/>
        <w:t>P.O. Box 899 Princeton, NJ 08540 </w:t>
      </w:r>
      <w:hyperlink r:id="rId19">
        <w:r>
          <w:rPr/>
          <w:t>www.toefl.org</w:t>
        </w:r>
      </w:hyperlink>
    </w:p>
    <w:p>
      <w:pPr>
        <w:pStyle w:val="BodyText"/>
        <w:spacing w:line="249" w:lineRule="auto" w:before="182"/>
        <w:ind w:left="199" w:right="810"/>
      </w:pPr>
      <w:r>
        <w:rPr/>
        <w:t>The UMB Graduate School’s TOEFL institution code number is </w:t>
      </w:r>
      <w:r>
        <w:rPr>
          <w:u w:val="single"/>
        </w:rPr>
        <w:t>5848</w:t>
      </w:r>
      <w:r>
        <w:rPr/>
        <w:t>. TOEFL department codes are published by ETS.</w:t>
      </w:r>
    </w:p>
    <w:p>
      <w:pPr>
        <w:pStyle w:val="BodyText"/>
        <w:spacing w:line="249" w:lineRule="auto"/>
        <w:ind w:left="199" w:right="1205"/>
      </w:pPr>
      <w:r>
        <w:rPr/>
        <w:t>IELTS test center, exam, and scoring information is available from:</w:t>
      </w:r>
    </w:p>
    <w:p>
      <w:pPr>
        <w:pStyle w:val="BodyText"/>
        <w:spacing w:before="179"/>
        <w:ind w:left="199"/>
      </w:pPr>
      <w:r>
        <w:rPr/>
        <w:t>IELTS International</w:t>
      </w:r>
    </w:p>
    <w:p>
      <w:pPr>
        <w:pStyle w:val="BodyText"/>
        <w:spacing w:before="10"/>
        <w:ind w:left="199"/>
      </w:pPr>
      <w:r>
        <w:rPr/>
        <w:t>100 E. Corson St., Suite 200</w:t>
      </w:r>
    </w:p>
    <w:p>
      <w:pPr>
        <w:pStyle w:val="BodyText"/>
        <w:spacing w:before="9"/>
        <w:ind w:left="199"/>
      </w:pPr>
      <w:r>
        <w:rPr/>
        <w:t>Pasadena, CA 91103</w:t>
      </w:r>
    </w:p>
    <w:p>
      <w:pPr>
        <w:pStyle w:val="BodyText"/>
        <w:spacing w:before="10"/>
        <w:ind w:left="199"/>
      </w:pPr>
      <w:r>
        <w:rPr/>
        <w:t>626-564-2954; 626-564-2981 (fax)</w:t>
      </w:r>
    </w:p>
    <w:p>
      <w:pPr>
        <w:pStyle w:val="BodyText"/>
        <w:spacing w:before="10"/>
        <w:ind w:left="199"/>
      </w:pPr>
      <w:hyperlink r:id="rId20">
        <w:r>
          <w:rPr/>
          <w:t>www.ielts.org</w:t>
        </w:r>
      </w:hyperlink>
    </w:p>
    <w:p>
      <w:pPr>
        <w:pStyle w:val="BodyText"/>
        <w:spacing w:line="249" w:lineRule="auto" w:before="193"/>
        <w:ind w:left="199" w:right="682"/>
      </w:pPr>
      <w:r>
        <w:rPr/>
        <w:t>Candidates are encouraged to verify the identification of the correct University of Maryland campus (UMB) upon selection of score routing. Graduate students whose work suggests English language deficiencies may need to take remedial English courses at their own expense.</w:t>
      </w:r>
    </w:p>
    <w:p>
      <w:pPr>
        <w:pStyle w:val="BodyText"/>
        <w:spacing w:line="249" w:lineRule="auto" w:before="181"/>
        <w:ind w:left="199" w:right="594"/>
      </w:pPr>
      <w:r>
        <w:rPr/>
        <w:t>Students who have received a degree from an accredited institution in the United States or who completed their studies in another approved English-speaking country may be exempt from providing TOEFL IBT or IELTS scores. The candidate must have studied in the country and not at a foreign branch campus to be granted an exemption. The Graduate School maintains a list of countries from which such a candidate may be TOEFL or IELTS exempt.</w:t>
      </w:r>
    </w:p>
    <w:p>
      <w:pPr>
        <w:pStyle w:val="Heading4"/>
        <w:ind w:left="199"/>
      </w:pPr>
      <w:r>
        <w:rPr/>
        <w:t>Nondegree (Coursework Only) Student Status</w:t>
      </w:r>
    </w:p>
    <w:p>
      <w:pPr>
        <w:pStyle w:val="BodyText"/>
        <w:spacing w:line="249" w:lineRule="auto" w:before="184"/>
        <w:ind w:left="199" w:right="628"/>
      </w:pPr>
      <w:r>
        <w:rPr/>
        <w:t>Students who desire to take graduate-level courses for personal or professional enrichment but who do not necessarily want to enter a graduate degree program at UMB may apply to enroll as a nondegree (coursework only) student. Students must complete an application for nondegree admission accompanied by unofficial</w:t>
      </w:r>
    </w:p>
    <w:p>
      <w:pPr>
        <w:spacing w:after="0" w:line="249" w:lineRule="auto"/>
        <w:sectPr>
          <w:pgSz w:w="12240" w:h="15840"/>
          <w:pgMar w:header="746" w:footer="0" w:top="1320" w:bottom="280" w:left="880" w:right="300"/>
          <w:cols w:num="2" w:equalWidth="0">
            <w:col w:w="4998" w:space="489"/>
            <w:col w:w="5573"/>
          </w:cols>
        </w:sectPr>
      </w:pPr>
    </w:p>
    <w:p>
      <w:pPr>
        <w:pStyle w:val="BodyText"/>
        <w:spacing w:line="249" w:lineRule="auto" w:before="100"/>
        <w:ind w:right="127"/>
      </w:pPr>
      <w:r>
        <w:rPr/>
        <w:t>transcripts, a professional vita/resume, and the application fee. Official transcripts, letters of recommendation, and GRE score reports are not required.</w:t>
      </w:r>
    </w:p>
    <w:p>
      <w:pPr>
        <w:pStyle w:val="BodyText"/>
        <w:spacing w:line="249" w:lineRule="auto" w:before="180"/>
        <w:ind w:left="199" w:right="45"/>
      </w:pPr>
      <w:r>
        <w:rPr/>
        <w:t>Applicants for admission for nondegree status must hold a bachelor’s degree from a regionally accredited institution and have a B or 3.0 grade-point average or hold equivalent education and training from a foreign college or university. International applicants in the United States whose immigration status permits them to enroll on a nondegree basis must meet the language proficiency requirements of the Graduate School (i.e., the TOEFL or IELTS exam).</w:t>
      </w:r>
    </w:p>
    <w:p>
      <w:pPr>
        <w:pStyle w:val="BodyText"/>
        <w:spacing w:line="249" w:lineRule="auto" w:before="5"/>
        <w:ind w:left="199" w:right="168"/>
      </w:pPr>
      <w:r>
        <w:rPr/>
        <w:t>Students applying for nondegree status also must obtain approval to enroll from the graduate program offering the applicant’s desired course(s). Some degree and certificate programs do not permit students to enroll in program courses as nondegree students.</w:t>
      </w:r>
    </w:p>
    <w:p>
      <w:pPr>
        <w:pStyle w:val="BodyText"/>
        <w:spacing w:line="249" w:lineRule="auto" w:before="186"/>
        <w:ind w:left="199" w:right="28"/>
      </w:pPr>
      <w:r>
        <w:rPr/>
        <w:t>Students admitted under this status may enroll for and complete a maximum of two graduate-level courses, or one course if the course is affiliated with a certificate program. Exceptions to this two-course limit may be considered only by the Graduate School and the program/department in which the student desires to study.</w:t>
      </w:r>
    </w:p>
    <w:p>
      <w:pPr>
        <w:pStyle w:val="BodyText"/>
        <w:spacing w:line="249" w:lineRule="auto" w:before="182"/>
        <w:ind w:left="199" w:right="49"/>
      </w:pPr>
      <w:r>
        <w:rPr/>
        <w:t>Enrollment </w:t>
      </w:r>
      <w:r>
        <w:rPr>
          <w:spacing w:val="-4"/>
        </w:rPr>
        <w:t>for </w:t>
      </w:r>
      <w:r>
        <w:rPr/>
        <w:t>nondegree status </w:t>
      </w:r>
      <w:r>
        <w:rPr>
          <w:spacing w:val="-3"/>
        </w:rPr>
        <w:t>does </w:t>
      </w:r>
      <w:r>
        <w:rPr/>
        <w:t>not guarantee future admission into a degree program. </w:t>
      </w:r>
      <w:r>
        <w:rPr>
          <w:spacing w:val="-3"/>
        </w:rPr>
        <w:t>In </w:t>
      </w:r>
      <w:r>
        <w:rPr/>
        <w:t>the event that a student is admitted to a Graduate </w:t>
      </w:r>
      <w:r>
        <w:rPr>
          <w:spacing w:val="-3"/>
        </w:rPr>
        <w:t>School </w:t>
      </w:r>
      <w:r>
        <w:rPr/>
        <w:t>degree program at a later date, courses completed in the nondegree status may </w:t>
      </w:r>
      <w:r>
        <w:rPr>
          <w:spacing w:val="-3"/>
        </w:rPr>
        <w:t>be </w:t>
      </w:r>
      <w:r>
        <w:rPr/>
        <w:t>applied to the degree program contingent </w:t>
      </w:r>
      <w:r>
        <w:rPr>
          <w:spacing w:val="-3"/>
        </w:rPr>
        <w:t>upon </w:t>
      </w:r>
      <w:r>
        <w:rPr/>
        <w:t>program approval. Nondegree students must maintain a 3.0 GPA and abide by UMB rules, regulations, and policies related to academic and student conduct. Students in this status are not eligible </w:t>
      </w:r>
      <w:r>
        <w:rPr>
          <w:spacing w:val="-4"/>
        </w:rPr>
        <w:t>for </w:t>
      </w:r>
      <w:r>
        <w:rPr/>
        <w:t>financial aid, fellowships, </w:t>
      </w:r>
      <w:r>
        <w:rPr>
          <w:spacing w:val="-5"/>
        </w:rPr>
        <w:t>or </w:t>
      </w:r>
      <w:r>
        <w:rPr/>
        <w:t>appointments as graduate teaching </w:t>
      </w:r>
      <w:r>
        <w:rPr>
          <w:spacing w:val="-3"/>
        </w:rPr>
        <w:t>or </w:t>
      </w:r>
      <w:r>
        <w:rPr/>
        <w:t>research assistants. Other services, such as parking and library privileges, are the same as those accorded to other graduate students. Enrollment in this status may continue </w:t>
      </w:r>
      <w:r>
        <w:rPr>
          <w:spacing w:val="-4"/>
        </w:rPr>
        <w:t>for </w:t>
      </w:r>
      <w:r>
        <w:rPr>
          <w:spacing w:val="-3"/>
        </w:rPr>
        <w:t>five </w:t>
      </w:r>
      <w:r>
        <w:rPr/>
        <w:t>years. If there is </w:t>
      </w:r>
      <w:r>
        <w:rPr>
          <w:spacing w:val="4"/>
        </w:rPr>
        <w:t>no </w:t>
      </w:r>
      <w:r>
        <w:rPr/>
        <w:t>enrollment </w:t>
      </w:r>
      <w:r>
        <w:rPr>
          <w:spacing w:val="-4"/>
        </w:rPr>
        <w:t>for </w:t>
      </w:r>
      <w:r>
        <w:rPr/>
        <w:t>two consecutive semesters the student must request permission to re-enroll. This request should </w:t>
      </w:r>
      <w:r>
        <w:rPr>
          <w:spacing w:val="-3"/>
        </w:rPr>
        <w:t>be </w:t>
      </w:r>
      <w:r>
        <w:rPr/>
        <w:t>made in writing at least two weeks prior to the start </w:t>
      </w:r>
      <w:r>
        <w:rPr>
          <w:spacing w:val="-3"/>
        </w:rPr>
        <w:t>of </w:t>
      </w:r>
      <w:r>
        <w:rPr/>
        <w:t>desired re-entry term. Students that wish to </w:t>
      </w:r>
      <w:r>
        <w:rPr>
          <w:spacing w:val="-3"/>
        </w:rPr>
        <w:t>be </w:t>
      </w:r>
      <w:r>
        <w:rPr/>
        <w:t>considered for a degree program at a later date must complete a new application </w:t>
      </w:r>
      <w:r>
        <w:rPr>
          <w:spacing w:val="-4"/>
        </w:rPr>
        <w:t>for</w:t>
      </w:r>
      <w:r>
        <w:rPr>
          <w:spacing w:val="8"/>
        </w:rPr>
        <w:t> </w:t>
      </w:r>
      <w:r>
        <w:rPr/>
        <w:t>admission.</w:t>
      </w:r>
    </w:p>
    <w:p>
      <w:pPr>
        <w:pStyle w:val="BodyText"/>
        <w:spacing w:line="249" w:lineRule="auto" w:before="197"/>
        <w:ind w:left="199" w:right="95"/>
      </w:pPr>
      <w:r>
        <w:rPr/>
        <w:t>The nondegree status includes the subcategory of “visiting students.” Visiting students are degree-seeking graduate students at other universities. Besides the application for nondegree admission and the fee, visiting students must provide written certification from their home institution’s graduate dean that they are in good standing in a graduate- degree program. This certification must accompany the application form.</w:t>
      </w:r>
    </w:p>
    <w:p>
      <w:pPr>
        <w:pStyle w:val="Heading4"/>
        <w:spacing w:before="81"/>
        <w:ind w:left="199"/>
      </w:pPr>
      <w:r>
        <w:rPr>
          <w:b w:val="0"/>
        </w:rPr>
        <w:br w:type="column"/>
      </w:r>
      <w:r>
        <w:rPr/>
        <w:t>Fraudulent Reporting</w:t>
      </w:r>
    </w:p>
    <w:p>
      <w:pPr>
        <w:pStyle w:val="BodyText"/>
        <w:spacing w:line="249" w:lineRule="auto" w:before="183"/>
        <w:ind w:left="199" w:right="619"/>
      </w:pPr>
      <w:r>
        <w:rPr/>
        <w:t>Applicants must provide accurate and complete information </w:t>
      </w:r>
      <w:r>
        <w:rPr>
          <w:spacing w:val="-3"/>
        </w:rPr>
        <w:t>on </w:t>
      </w:r>
      <w:r>
        <w:rPr/>
        <w:t>all application documents. Intentional omission </w:t>
      </w:r>
      <w:r>
        <w:rPr>
          <w:spacing w:val="-3"/>
        </w:rPr>
        <w:t>or </w:t>
      </w:r>
      <w:r>
        <w:rPr/>
        <w:t>falsification </w:t>
      </w:r>
      <w:r>
        <w:rPr>
          <w:spacing w:val="-3"/>
        </w:rPr>
        <w:t>of </w:t>
      </w:r>
      <w:r>
        <w:rPr/>
        <w:t>information during the application </w:t>
      </w:r>
      <w:r>
        <w:rPr>
          <w:spacing w:val="-3"/>
        </w:rPr>
        <w:t>process </w:t>
      </w:r>
      <w:r>
        <w:rPr/>
        <w:t>will result in the immediate rejection </w:t>
      </w:r>
      <w:r>
        <w:rPr>
          <w:spacing w:val="-3"/>
        </w:rPr>
        <w:t>of </w:t>
      </w:r>
      <w:r>
        <w:rPr/>
        <w:t>the application and dismissal </w:t>
      </w:r>
      <w:r>
        <w:rPr>
          <w:spacing w:val="-3"/>
        </w:rPr>
        <w:t>of </w:t>
      </w:r>
      <w:r>
        <w:rPr/>
        <w:t>the student if they have enrolled at </w:t>
      </w:r>
      <w:r>
        <w:rPr>
          <w:spacing w:val="-4"/>
        </w:rPr>
        <w:t>UMB. </w:t>
      </w:r>
      <w:r>
        <w:rPr/>
        <w:t>Application misrepresentation includes, but is not limited to: (1) false, omitted, </w:t>
      </w:r>
      <w:r>
        <w:rPr>
          <w:spacing w:val="-3"/>
        </w:rPr>
        <w:t>or </w:t>
      </w:r>
      <w:r>
        <w:rPr/>
        <w:t>misleading information </w:t>
      </w:r>
      <w:r>
        <w:rPr>
          <w:spacing w:val="-3"/>
        </w:rPr>
        <w:t>on </w:t>
      </w:r>
      <w:r>
        <w:rPr/>
        <w:t>the application, medical </w:t>
      </w:r>
      <w:r>
        <w:rPr>
          <w:spacing w:val="-5"/>
        </w:rPr>
        <w:t>or </w:t>
      </w:r>
      <w:r>
        <w:rPr/>
        <w:t>immunization forms, financial aid disclosures, </w:t>
      </w:r>
      <w:r>
        <w:rPr>
          <w:spacing w:val="-3"/>
        </w:rPr>
        <w:t>or </w:t>
      </w:r>
      <w:r>
        <w:rPr/>
        <w:t>information provided during the personal </w:t>
      </w:r>
      <w:r>
        <w:rPr>
          <w:spacing w:val="-3"/>
        </w:rPr>
        <w:t>interview, </w:t>
      </w:r>
      <w:r>
        <w:rPr/>
        <w:t>(2) fake, forged, </w:t>
      </w:r>
      <w:r>
        <w:rPr>
          <w:spacing w:val="-3"/>
        </w:rPr>
        <w:t>or </w:t>
      </w:r>
      <w:r>
        <w:rPr/>
        <w:t>altered transcripts, standardized test scores, </w:t>
      </w:r>
      <w:r>
        <w:rPr>
          <w:spacing w:val="-5"/>
        </w:rPr>
        <w:t>or </w:t>
      </w:r>
      <w:r>
        <w:rPr/>
        <w:t>letters </w:t>
      </w:r>
      <w:r>
        <w:rPr>
          <w:spacing w:val="-3"/>
        </w:rPr>
        <w:t>of </w:t>
      </w:r>
      <w:r>
        <w:rPr/>
        <w:t>recommendation.</w:t>
      </w:r>
    </w:p>
    <w:p>
      <w:pPr>
        <w:pStyle w:val="Heading4"/>
        <w:spacing w:before="174"/>
        <w:ind w:left="199"/>
      </w:pPr>
      <w:r>
        <w:rPr/>
        <w:t>Offers of Admission</w:t>
      </w:r>
    </w:p>
    <w:p>
      <w:pPr>
        <w:pStyle w:val="BodyText"/>
        <w:spacing w:line="249" w:lineRule="auto" w:before="183"/>
        <w:ind w:left="199" w:right="684"/>
      </w:pPr>
      <w:r>
        <w:rPr/>
        <w:t>The Graduate School offers admission based on program recommendations. Each offer specifies the time (semester and year) and program of admittance. Each offer requires an immediate, written response. The applicant may accept or decline the offer, or request to change the effective date of the offer. Failure to respond to the Graduate School’s offer before the first day of class, or failure to register for the authorized semester or session, voids the offer of admission. The applicant must then submit a written request to be considered for a subsequent semester or session and may need to submit additional credentials.</w:t>
      </w:r>
    </w:p>
    <w:p>
      <w:pPr>
        <w:pStyle w:val="BodyText"/>
        <w:spacing w:line="249" w:lineRule="auto" w:before="8"/>
        <w:ind w:right="754"/>
      </w:pPr>
      <w:r>
        <w:rPr/>
        <w:t>Students are admitted only to a specified academic program and only for the specified objective — i.e., certificate, or Master of Science, or Doctor of Philosophy degree. Students who are offered admission to more than one program must notify the Graduate School of their choice. Students may matriculate in only one graduate program at a time unless admitted to an approved dual- degree program or admitted to programs that permit dual enrollment. Students who accept the admission offer and enroll agree to abide by the rules and regulations of the University of Maryland, Baltimore.</w:t>
      </w:r>
    </w:p>
    <w:p>
      <w:pPr>
        <w:pStyle w:val="BodyText"/>
        <w:spacing w:line="249" w:lineRule="auto" w:before="191"/>
        <w:ind w:right="566"/>
      </w:pPr>
      <w:r>
        <w:rPr/>
        <w:t>An offer of admission made to students enrolled in their final semester of work toward a bachelor’s degree is contingent upon their completion of that degree at or above their academic standing at the time the offer was made.</w:t>
      </w:r>
    </w:p>
    <w:p>
      <w:pPr>
        <w:pStyle w:val="BodyText"/>
        <w:spacing w:line="249" w:lineRule="auto" w:before="3"/>
        <w:ind w:right="693"/>
      </w:pPr>
      <w:r>
        <w:rPr/>
        <w:t>The offer may be rescinded if the student’s final academic standing is below the standing at the time the offer of admission was made, or the student may be admitted on a probationary basis. Applicants engaged in graduate study at another institution also are subject to this</w:t>
      </w:r>
    </w:p>
    <w:p>
      <w:pPr>
        <w:pStyle w:val="BodyText"/>
        <w:spacing w:line="249" w:lineRule="auto" w:before="3"/>
        <w:ind w:right="628"/>
      </w:pPr>
      <w:r>
        <w:rPr/>
        <w:t>policy. Students admitted pending receipt of a bachelor’s degree must submit an official transcript reflecting all coursework and award of the degree before their first semester of enrollment at UMB.</w:t>
      </w:r>
    </w:p>
    <w:p>
      <w:pPr>
        <w:spacing w:after="0" w:line="249" w:lineRule="auto"/>
        <w:sectPr>
          <w:pgSz w:w="12240" w:h="15840"/>
          <w:pgMar w:header="746" w:footer="0" w:top="1320" w:bottom="280" w:left="880" w:right="300"/>
          <w:cols w:num="2" w:equalWidth="0">
            <w:col w:w="5002" w:space="485"/>
            <w:col w:w="5573"/>
          </w:cols>
        </w:sectPr>
      </w:pPr>
    </w:p>
    <w:p>
      <w:pPr>
        <w:pStyle w:val="BodyText"/>
        <w:spacing w:line="249" w:lineRule="auto" w:before="100"/>
        <w:ind w:right="91"/>
      </w:pPr>
      <w:r>
        <w:rPr/>
        <w:t>Admitted students who supplied unofficial documents and credentials for review must provide official versions of all academic documents (i.e., transcripts, test score reports) before their first semester of enrollment. These items become part of the student’s permanent record at the University, and the student’s continued matriculation is contingent upon having these items on file.</w:t>
      </w:r>
    </w:p>
    <w:p>
      <w:pPr>
        <w:pStyle w:val="Heading4"/>
        <w:spacing w:before="164"/>
      </w:pPr>
      <w:r>
        <w:rPr/>
        <w:t>Regular Admission Status</w:t>
      </w:r>
    </w:p>
    <w:p>
      <w:pPr>
        <w:pStyle w:val="BodyText"/>
        <w:spacing w:line="249" w:lineRule="auto" w:before="189"/>
        <w:ind w:right="41"/>
      </w:pPr>
      <w:r>
        <w:rPr/>
        <w:t>Students admitted to full or regular graduate status must have submitted official documents showing a completed bachelor’s degree from a regionally accredited institution and must qualify without terms or conditions in the judgment of admissions officials of the individual program and the Graduate School.</w:t>
      </w:r>
    </w:p>
    <w:p>
      <w:pPr>
        <w:pStyle w:val="Heading4"/>
        <w:spacing w:before="163"/>
      </w:pPr>
      <w:r>
        <w:rPr/>
        <w:t>Provisional Admission</w:t>
      </w:r>
    </w:p>
    <w:p>
      <w:pPr>
        <w:pStyle w:val="BodyText"/>
        <w:spacing w:line="249" w:lineRule="auto" w:before="188"/>
        <w:ind w:left="199" w:right="20"/>
      </w:pPr>
      <w:r>
        <w:rPr/>
        <w:t>The offer of admission stipulates, upon the student’s enrollment, a specific academic requirement or requirements that must be met to progress in a degree program. The offer will stipulate a defined time period (typically the first semester of study) in which the requirement(s) must be met. Essentially, the candidate is admitted on academic probation. The Graduate School grants regular status to the student when they satisfy the provision(s) stated in their admission letter. Failure to meet the stated stipulations within the defined time period will result in academic dismissal.</w:t>
      </w:r>
    </w:p>
    <w:p>
      <w:pPr>
        <w:pStyle w:val="Heading4"/>
        <w:spacing w:before="168"/>
      </w:pPr>
      <w:r>
        <w:rPr/>
        <w:t>Conditional Admission</w:t>
      </w:r>
    </w:p>
    <w:p>
      <w:pPr>
        <w:pStyle w:val="BodyText"/>
        <w:spacing w:line="249" w:lineRule="auto" w:before="188"/>
        <w:ind w:right="53"/>
      </w:pPr>
      <w:r>
        <w:rPr/>
        <w:t>The </w:t>
      </w:r>
      <w:r>
        <w:rPr>
          <w:spacing w:val="-3"/>
        </w:rPr>
        <w:t>offer of </w:t>
      </w:r>
      <w:r>
        <w:rPr/>
        <w:t>admission stipulates conditions, terms, requirements, etc., that must </w:t>
      </w:r>
      <w:r>
        <w:rPr>
          <w:spacing w:val="-3"/>
        </w:rPr>
        <w:t>be </w:t>
      </w:r>
      <w:r>
        <w:rPr/>
        <w:t>satisfied </w:t>
      </w:r>
      <w:r>
        <w:rPr>
          <w:spacing w:val="-3"/>
        </w:rPr>
        <w:t>or </w:t>
      </w:r>
      <w:r>
        <w:rPr/>
        <w:t>met before the student’s enrollment at </w:t>
      </w:r>
      <w:r>
        <w:rPr>
          <w:spacing w:val="-4"/>
        </w:rPr>
        <w:t>UMB. </w:t>
      </w:r>
      <w:r>
        <w:rPr/>
        <w:t>The Graduate </w:t>
      </w:r>
      <w:r>
        <w:rPr>
          <w:spacing w:val="-2"/>
        </w:rPr>
        <w:t>School </w:t>
      </w:r>
      <w:r>
        <w:rPr/>
        <w:t>grants regular status to the student </w:t>
      </w:r>
      <w:r>
        <w:rPr>
          <w:spacing w:val="-3"/>
        </w:rPr>
        <w:t>when </w:t>
      </w:r>
      <w:r>
        <w:rPr/>
        <w:t>they satisfy the conditions stated in their admission letter. The student must present evidence </w:t>
      </w:r>
      <w:r>
        <w:rPr>
          <w:spacing w:val="-3"/>
        </w:rPr>
        <w:t>or </w:t>
      </w:r>
      <w:r>
        <w:rPr/>
        <w:t>verification </w:t>
      </w:r>
      <w:r>
        <w:rPr>
          <w:spacing w:val="-3"/>
        </w:rPr>
        <w:t>of </w:t>
      </w:r>
      <w:r>
        <w:rPr/>
        <w:t>having satisfied the stated condition(s) before their enrollment at </w:t>
      </w:r>
      <w:r>
        <w:rPr>
          <w:spacing w:val="-4"/>
        </w:rPr>
        <w:t>UMB. </w:t>
      </w:r>
      <w:r>
        <w:rPr/>
        <w:t>If the conditions are not met, the admission </w:t>
      </w:r>
      <w:r>
        <w:rPr>
          <w:spacing w:val="-3"/>
        </w:rPr>
        <w:t>offer </w:t>
      </w:r>
      <w:r>
        <w:rPr/>
        <w:t>is rescinded and the student is not eligible to</w:t>
      </w:r>
      <w:r>
        <w:rPr>
          <w:spacing w:val="-18"/>
        </w:rPr>
        <w:t> </w:t>
      </w:r>
      <w:r>
        <w:rPr/>
        <w:t>enroll.</w:t>
      </w:r>
    </w:p>
    <w:p>
      <w:pPr>
        <w:pStyle w:val="Heading4"/>
        <w:spacing w:line="228" w:lineRule="auto" w:before="177"/>
        <w:ind w:right="546"/>
      </w:pPr>
      <w:r>
        <w:rPr/>
        <w:t>Immigration Requirements for International Students</w:t>
      </w:r>
    </w:p>
    <w:p>
      <w:pPr>
        <w:pStyle w:val="BodyText"/>
        <w:spacing w:line="249" w:lineRule="auto" w:before="190"/>
        <w:ind w:right="219"/>
      </w:pPr>
      <w:r>
        <w:rPr/>
        <w:t>International students who receive an offer of admission must obtain the immigration form required for the appropriate visa. Accordingly, each international student must certify that they have sufficient funds (exclusive of travel expenses) for University tuition, fees, books, supplies, and living expenses. The total amount required for educational and living expenses (based on current tuition and fees) is available from the campus Office of International Services (OIS). Acceptable sources of and</w:t>
      </w:r>
    </w:p>
    <w:p>
      <w:pPr>
        <w:pStyle w:val="BodyText"/>
        <w:spacing w:line="249" w:lineRule="auto" w:before="99"/>
        <w:ind w:right="611"/>
      </w:pPr>
      <w:r>
        <w:rPr/>
        <w:br w:type="column"/>
      </w:r>
      <w:r>
        <w:rPr/>
        <w:t>documents </w:t>
      </w:r>
      <w:r>
        <w:rPr>
          <w:spacing w:val="-4"/>
        </w:rPr>
        <w:t>for </w:t>
      </w:r>
      <w:r>
        <w:rPr/>
        <w:t>certifying financial support include: a notarized letter </w:t>
      </w:r>
      <w:r>
        <w:rPr>
          <w:spacing w:val="-3"/>
        </w:rPr>
        <w:t>with </w:t>
      </w:r>
      <w:r>
        <w:rPr/>
        <w:t>the full name, occupation, and address of a parent </w:t>
      </w:r>
      <w:r>
        <w:rPr>
          <w:spacing w:val="-5"/>
        </w:rPr>
        <w:t>or </w:t>
      </w:r>
      <w:r>
        <w:rPr>
          <w:spacing w:val="-3"/>
        </w:rPr>
        <w:t>sponsor </w:t>
      </w:r>
      <w:r>
        <w:rPr/>
        <w:t>who will assume the financial responsibility for the applicant’s education and living expenses; an original, current statement from a bank confirming that sufficient funds are available to </w:t>
      </w:r>
      <w:r>
        <w:rPr>
          <w:spacing w:val="-3"/>
        </w:rPr>
        <w:t>cover </w:t>
      </w:r>
      <w:r>
        <w:rPr/>
        <w:t>educational and living expenses; </w:t>
      </w:r>
      <w:r>
        <w:rPr>
          <w:spacing w:val="-3"/>
        </w:rPr>
        <w:t>or </w:t>
      </w:r>
      <w:r>
        <w:rPr/>
        <w:t>official notification </w:t>
      </w:r>
      <w:r>
        <w:rPr>
          <w:spacing w:val="-3"/>
        </w:rPr>
        <w:t>of </w:t>
      </w:r>
      <w:r>
        <w:rPr/>
        <w:t>grant, loan, </w:t>
      </w:r>
      <w:r>
        <w:rPr>
          <w:spacing w:val="-3"/>
        </w:rPr>
        <w:t>or </w:t>
      </w:r>
      <w:r>
        <w:rPr/>
        <w:t>scholarship funds showing the name and address </w:t>
      </w:r>
      <w:r>
        <w:rPr>
          <w:spacing w:val="-3"/>
        </w:rPr>
        <w:t>of </w:t>
      </w:r>
      <w:r>
        <w:rPr/>
        <w:t>the awarding institution, amount </w:t>
      </w:r>
      <w:r>
        <w:rPr>
          <w:spacing w:val="-3"/>
        </w:rPr>
        <w:t>of </w:t>
      </w:r>
      <w:r>
        <w:rPr/>
        <w:t>funds,  extent </w:t>
      </w:r>
      <w:r>
        <w:rPr>
          <w:spacing w:val="-3"/>
        </w:rPr>
        <w:t>of </w:t>
      </w:r>
      <w:r>
        <w:rPr/>
        <w:t>expenses covered, and number </w:t>
      </w:r>
      <w:r>
        <w:rPr>
          <w:spacing w:val="-3"/>
        </w:rPr>
        <w:t>of </w:t>
      </w:r>
      <w:r>
        <w:rPr/>
        <w:t>years the grant runs. </w:t>
      </w:r>
      <w:r>
        <w:rPr>
          <w:spacing w:val="-2"/>
        </w:rPr>
        <w:t>New </w:t>
      </w:r>
      <w:r>
        <w:rPr/>
        <w:t>international students at </w:t>
      </w:r>
      <w:r>
        <w:rPr>
          <w:spacing w:val="-3"/>
        </w:rPr>
        <w:t>UMB </w:t>
      </w:r>
      <w:r>
        <w:rPr/>
        <w:t>must report to the OIS upon</w:t>
      </w:r>
      <w:r>
        <w:rPr>
          <w:spacing w:val="2"/>
        </w:rPr>
        <w:t> </w:t>
      </w:r>
      <w:r>
        <w:rPr/>
        <w:t>arrival.</w:t>
      </w:r>
    </w:p>
    <w:p>
      <w:pPr>
        <w:pStyle w:val="Heading6"/>
        <w:spacing w:before="186"/>
      </w:pPr>
      <w:r>
        <w:rPr/>
        <w:t>Visiting International Students</w:t>
      </w:r>
    </w:p>
    <w:p>
      <w:pPr>
        <w:pStyle w:val="BodyText"/>
        <w:spacing w:line="249" w:lineRule="auto" w:before="193"/>
        <w:ind w:right="615"/>
      </w:pPr>
      <w:r>
        <w:rPr/>
        <w:t>A visiting international student is a non-U.S. citizen who is pursuing a graduate degree at a university outside the United States and has been invited to UMB to conduct research with a UMB faculty member. A visiting international student must submit the following documents in addition to the application:</w:t>
      </w:r>
    </w:p>
    <w:p>
      <w:pPr>
        <w:pStyle w:val="ListParagraph"/>
        <w:numPr>
          <w:ilvl w:val="0"/>
          <w:numId w:val="2"/>
        </w:numPr>
        <w:tabs>
          <w:tab w:pos="633" w:val="left" w:leader="none"/>
        </w:tabs>
        <w:spacing w:line="249" w:lineRule="auto" w:before="182" w:after="0"/>
        <w:ind w:left="632" w:right="950" w:hanging="216"/>
        <w:jc w:val="left"/>
        <w:rPr>
          <w:sz w:val="20"/>
        </w:rPr>
      </w:pPr>
      <w:r>
        <w:rPr>
          <w:sz w:val="20"/>
        </w:rPr>
        <w:t>A signed memorandum </w:t>
      </w:r>
      <w:r>
        <w:rPr>
          <w:spacing w:val="-3"/>
          <w:sz w:val="20"/>
        </w:rPr>
        <w:t>of </w:t>
      </w:r>
      <w:r>
        <w:rPr>
          <w:sz w:val="20"/>
        </w:rPr>
        <w:t>understanding </w:t>
      </w:r>
      <w:r>
        <w:rPr>
          <w:spacing w:val="-3"/>
          <w:sz w:val="20"/>
        </w:rPr>
        <w:t>between UMB, </w:t>
      </w:r>
      <w:r>
        <w:rPr>
          <w:sz w:val="20"/>
        </w:rPr>
        <w:t>the international university, the visiting student, and the </w:t>
      </w:r>
      <w:r>
        <w:rPr>
          <w:spacing w:val="-3"/>
          <w:sz w:val="20"/>
        </w:rPr>
        <w:t>UMB</w:t>
      </w:r>
      <w:r>
        <w:rPr>
          <w:spacing w:val="-6"/>
          <w:sz w:val="20"/>
        </w:rPr>
        <w:t> </w:t>
      </w:r>
      <w:r>
        <w:rPr>
          <w:sz w:val="20"/>
        </w:rPr>
        <w:t>mentor.</w:t>
      </w:r>
    </w:p>
    <w:p>
      <w:pPr>
        <w:pStyle w:val="ListParagraph"/>
        <w:numPr>
          <w:ilvl w:val="0"/>
          <w:numId w:val="2"/>
        </w:numPr>
        <w:tabs>
          <w:tab w:pos="633" w:val="left" w:leader="none"/>
        </w:tabs>
        <w:spacing w:line="249" w:lineRule="auto" w:before="184" w:after="0"/>
        <w:ind w:left="632" w:right="1200" w:hanging="216"/>
        <w:jc w:val="left"/>
        <w:rPr>
          <w:sz w:val="20"/>
        </w:rPr>
      </w:pPr>
      <w:r>
        <w:rPr>
          <w:sz w:val="20"/>
        </w:rPr>
        <w:t>Evidence </w:t>
      </w:r>
      <w:r>
        <w:rPr>
          <w:spacing w:val="-3"/>
          <w:sz w:val="20"/>
        </w:rPr>
        <w:t>of </w:t>
      </w:r>
      <w:r>
        <w:rPr>
          <w:sz w:val="20"/>
        </w:rPr>
        <w:t>English language proficiency. </w:t>
      </w:r>
      <w:r>
        <w:rPr>
          <w:spacing w:val="-3"/>
          <w:sz w:val="20"/>
        </w:rPr>
        <w:t>See </w:t>
      </w:r>
      <w:r>
        <w:rPr>
          <w:sz w:val="20"/>
        </w:rPr>
        <w:t>Language Requirements </w:t>
      </w:r>
      <w:r>
        <w:rPr>
          <w:spacing w:val="-3"/>
          <w:sz w:val="20"/>
        </w:rPr>
        <w:t>on </w:t>
      </w:r>
      <w:r>
        <w:rPr>
          <w:sz w:val="20"/>
        </w:rPr>
        <w:t>Page</w:t>
      </w:r>
      <w:r>
        <w:rPr>
          <w:spacing w:val="3"/>
          <w:sz w:val="20"/>
        </w:rPr>
        <w:t> </w:t>
      </w:r>
      <w:r>
        <w:rPr>
          <w:spacing w:val="-3"/>
          <w:sz w:val="20"/>
        </w:rPr>
        <w:t>7.</w:t>
      </w:r>
    </w:p>
    <w:p>
      <w:pPr>
        <w:pStyle w:val="ListParagraph"/>
        <w:numPr>
          <w:ilvl w:val="0"/>
          <w:numId w:val="2"/>
        </w:numPr>
        <w:tabs>
          <w:tab w:pos="633" w:val="left" w:leader="none"/>
        </w:tabs>
        <w:spacing w:line="249" w:lineRule="auto" w:before="179" w:after="0"/>
        <w:ind w:left="632" w:right="711" w:hanging="216"/>
        <w:jc w:val="left"/>
        <w:rPr>
          <w:sz w:val="20"/>
        </w:rPr>
      </w:pPr>
      <w:r>
        <w:rPr>
          <w:sz w:val="20"/>
        </w:rPr>
        <w:t>Written certification from the student’s home institution’s graduate dean that the student is in </w:t>
      </w:r>
      <w:r>
        <w:rPr>
          <w:spacing w:val="-3"/>
          <w:sz w:val="20"/>
        </w:rPr>
        <w:t>good </w:t>
      </w:r>
      <w:r>
        <w:rPr>
          <w:sz w:val="20"/>
        </w:rPr>
        <w:t>standing in a graduate-degree</w:t>
      </w:r>
      <w:r>
        <w:rPr>
          <w:spacing w:val="-4"/>
          <w:sz w:val="20"/>
        </w:rPr>
        <w:t> </w:t>
      </w:r>
      <w:r>
        <w:rPr>
          <w:sz w:val="20"/>
        </w:rPr>
        <w:t>program.</w:t>
      </w:r>
    </w:p>
    <w:p>
      <w:pPr>
        <w:pStyle w:val="BodyText"/>
        <w:spacing w:line="249" w:lineRule="auto"/>
        <w:ind w:right="689"/>
      </w:pPr>
      <w:r>
        <w:rPr/>
        <w:t>Upon the student’s admission to the UMB Graduate School, the student will be enrolled and billed for 1 research credit. The Office of International Services (OIS) will communicate directly with the student regarding required documents for the visa process.</w:t>
      </w:r>
    </w:p>
    <w:p>
      <w:pPr>
        <w:pStyle w:val="BodyText"/>
        <w:spacing w:line="249" w:lineRule="auto" w:before="181"/>
        <w:ind w:right="638"/>
      </w:pPr>
      <w:r>
        <w:rPr/>
        <w:t>Students will be required to show sufficient funds to support their tuition, fees, and living expenses to receive J- 1 visa sponsorship.</w:t>
      </w:r>
    </w:p>
    <w:p>
      <w:pPr>
        <w:pStyle w:val="BodyText"/>
        <w:spacing w:line="249" w:lineRule="auto"/>
        <w:ind w:right="1167"/>
        <w:jc w:val="both"/>
      </w:pPr>
      <w:r>
        <w:rPr/>
        <w:t>Once issued visa documents by the </w:t>
      </w:r>
      <w:r>
        <w:rPr>
          <w:spacing w:val="-3"/>
        </w:rPr>
        <w:t>OIS, </w:t>
      </w:r>
      <w:r>
        <w:rPr/>
        <w:t>the visiting student will apply for a J-1 visa at a U.S. embassy </w:t>
      </w:r>
      <w:r>
        <w:rPr>
          <w:spacing w:val="-5"/>
        </w:rPr>
        <w:t>or </w:t>
      </w:r>
      <w:r>
        <w:rPr/>
        <w:t>consulate overseas. </w:t>
      </w:r>
      <w:r>
        <w:rPr>
          <w:spacing w:val="-3"/>
        </w:rPr>
        <w:t>Upon </w:t>
      </w:r>
      <w:r>
        <w:rPr/>
        <w:t>arrival, the student </w:t>
      </w:r>
      <w:r>
        <w:rPr>
          <w:spacing w:val="-3"/>
        </w:rPr>
        <w:t>will be </w:t>
      </w:r>
      <w:r>
        <w:rPr/>
        <w:t>required to check in </w:t>
      </w:r>
      <w:r>
        <w:rPr>
          <w:spacing w:val="-3"/>
        </w:rPr>
        <w:t>with </w:t>
      </w:r>
      <w:r>
        <w:rPr/>
        <w:t>the OIS.</w:t>
      </w:r>
    </w:p>
    <w:p>
      <w:pPr>
        <w:pStyle w:val="BodyText"/>
        <w:spacing w:line="249" w:lineRule="auto" w:before="180"/>
        <w:ind w:right="704"/>
      </w:pPr>
      <w:r>
        <w:rPr/>
        <w:t>If the student is paid by UMB, the hiring department must submit a student contract to the Office of Student Employment. Visiting international graduate students are limited to 20 hours per week of employment during the academic year and 29 hours per week of employment during the summer.</w:t>
      </w:r>
    </w:p>
    <w:p>
      <w:pPr>
        <w:spacing w:after="0" w:line="249" w:lineRule="auto"/>
        <w:sectPr>
          <w:pgSz w:w="12240" w:h="15840"/>
          <w:pgMar w:header="746" w:footer="0" w:top="1320" w:bottom="280" w:left="880" w:right="300"/>
          <w:cols w:num="2" w:equalWidth="0">
            <w:col w:w="4977" w:space="509"/>
            <w:col w:w="5574"/>
          </w:cols>
        </w:sectPr>
      </w:pPr>
    </w:p>
    <w:p>
      <w:pPr>
        <w:pStyle w:val="Heading4"/>
        <w:spacing w:before="81"/>
      </w:pPr>
      <w:r>
        <w:rPr/>
        <w:t>Other Enrollment Programs</w:t>
      </w:r>
    </w:p>
    <w:p>
      <w:pPr>
        <w:pStyle w:val="Heading6"/>
        <w:spacing w:before="183"/>
      </w:pPr>
      <w:r>
        <w:rPr/>
        <w:t>Golden ID Program</w:t>
      </w:r>
    </w:p>
    <w:p>
      <w:pPr>
        <w:pStyle w:val="BodyText"/>
        <w:spacing w:line="249" w:lineRule="auto" w:before="193"/>
        <w:ind w:right="42"/>
      </w:pPr>
      <w:r>
        <w:rPr/>
        <w:t>The Golden ID program extends enrollment privileges to Maryland’s senior citizens based </w:t>
      </w:r>
      <w:r>
        <w:rPr>
          <w:spacing w:val="-3"/>
        </w:rPr>
        <w:t>on </w:t>
      </w:r>
      <w:r>
        <w:rPr/>
        <w:t>a space-available basis. Those who qualify receive a </w:t>
      </w:r>
      <w:r>
        <w:rPr>
          <w:spacing w:val="-3"/>
        </w:rPr>
        <w:t>waiver of </w:t>
      </w:r>
      <w:r>
        <w:rPr/>
        <w:t>graduate tuition </w:t>
      </w:r>
      <w:r>
        <w:rPr>
          <w:spacing w:val="-4"/>
        </w:rPr>
        <w:t>for </w:t>
      </w:r>
      <w:r>
        <w:rPr/>
        <w:t>up to three courses </w:t>
      </w:r>
      <w:r>
        <w:rPr>
          <w:spacing w:val="-3"/>
        </w:rPr>
        <w:t>per </w:t>
      </w:r>
      <w:r>
        <w:rPr/>
        <w:t>semester. </w:t>
      </w:r>
      <w:r>
        <w:rPr>
          <w:spacing w:val="-3"/>
        </w:rPr>
        <w:t>Fees </w:t>
      </w:r>
      <w:r>
        <w:rPr/>
        <w:t>are not waived. Eligible candidates must </w:t>
      </w:r>
      <w:r>
        <w:rPr>
          <w:spacing w:val="-3"/>
        </w:rPr>
        <w:t>be </w:t>
      </w:r>
      <w:r>
        <w:rPr/>
        <w:t>at least 60, retired, not employed full time, and dependent </w:t>
      </w:r>
      <w:r>
        <w:rPr>
          <w:spacing w:val="-3"/>
        </w:rPr>
        <w:t>upon </w:t>
      </w:r>
      <w:r>
        <w:rPr/>
        <w:t>retirement income benefits as their chief source of income. </w:t>
      </w:r>
      <w:r>
        <w:rPr>
          <w:spacing w:val="-3"/>
        </w:rPr>
        <w:t>Not </w:t>
      </w:r>
      <w:r>
        <w:rPr/>
        <w:t>all degree programs accept eligible Golden ID recipients. Qualifying guidelines and additional information is provided by the UMB Office of the</w:t>
      </w:r>
      <w:r>
        <w:rPr>
          <w:spacing w:val="-7"/>
        </w:rPr>
        <w:t> </w:t>
      </w:r>
      <w:r>
        <w:rPr/>
        <w:t>Registrar.</w:t>
      </w:r>
    </w:p>
    <w:p>
      <w:pPr>
        <w:pStyle w:val="Heading6"/>
        <w:spacing w:before="185"/>
      </w:pPr>
      <w:r>
        <w:rPr/>
        <w:t>Interinstitutional Enrollment</w:t>
      </w:r>
    </w:p>
    <w:p>
      <w:pPr>
        <w:pStyle w:val="BodyText"/>
        <w:spacing w:line="249" w:lineRule="auto" w:before="192"/>
        <w:ind w:right="27"/>
      </w:pPr>
      <w:r>
        <w:rPr/>
        <w:t>The University System of Maryland encourages graduate students enrolled at one institution to avail themselves of course offerings, research facilities, and special faculty expertise at the other institutions. The home institution retains responsibility for admission, academic advising, the collection of tuition and fees, grants of financial aid, the academic transcript, and awarding of the graduate degree.</w:t>
      </w:r>
    </w:p>
    <w:p>
      <w:pPr>
        <w:pStyle w:val="Heading4"/>
        <w:spacing w:before="166"/>
      </w:pPr>
      <w:r>
        <w:rPr/>
        <w:t>Additional Guidelines</w:t>
      </w:r>
    </w:p>
    <w:p>
      <w:pPr>
        <w:pStyle w:val="Heading6"/>
        <w:spacing w:before="188"/>
      </w:pPr>
      <w:r>
        <w:rPr/>
        <w:t>Applicant/Student Records</w:t>
      </w:r>
    </w:p>
    <w:p>
      <w:pPr>
        <w:pStyle w:val="BodyText"/>
        <w:spacing w:line="249" w:lineRule="auto" w:before="187"/>
        <w:ind w:right="38"/>
      </w:pPr>
      <w:r>
        <w:rPr/>
        <w:t>Application materials of admitted students become part of the student’s official file and property of the Graduate School upon the student’s enrollment. Under no circumstances will the Graduate School provide photocopies of official transcripts or score reports received from other institutions. The Family Educational Rights and Privacy Act (Buckley Amendment), outlines the terms by which students may review their records once enrolled.</w:t>
      </w:r>
    </w:p>
    <w:p>
      <w:pPr>
        <w:pStyle w:val="BodyText"/>
        <w:spacing w:line="249" w:lineRule="auto" w:before="6"/>
        <w:ind w:right="61"/>
      </w:pPr>
      <w:r>
        <w:rPr/>
        <w:t>Credentials </w:t>
      </w:r>
      <w:r>
        <w:rPr>
          <w:spacing w:val="-3"/>
        </w:rPr>
        <w:t>of </w:t>
      </w:r>
      <w:r>
        <w:rPr/>
        <w:t>applicants </w:t>
      </w:r>
      <w:r>
        <w:rPr>
          <w:spacing w:val="-3"/>
        </w:rPr>
        <w:t>who </w:t>
      </w:r>
      <w:r>
        <w:rPr/>
        <w:t>do not register </w:t>
      </w:r>
      <w:r>
        <w:rPr>
          <w:spacing w:val="-4"/>
        </w:rPr>
        <w:t>for </w:t>
      </w:r>
      <w:r>
        <w:rPr/>
        <w:t>courses for the term </w:t>
      </w:r>
      <w:r>
        <w:rPr>
          <w:spacing w:val="-4"/>
        </w:rPr>
        <w:t>for </w:t>
      </w:r>
      <w:r>
        <w:rPr/>
        <w:t>which they have </w:t>
      </w:r>
      <w:r>
        <w:rPr>
          <w:spacing w:val="-4"/>
        </w:rPr>
        <w:t>been </w:t>
      </w:r>
      <w:r>
        <w:rPr/>
        <w:t>admitted, whose application has </w:t>
      </w:r>
      <w:r>
        <w:rPr>
          <w:spacing w:val="-4"/>
        </w:rPr>
        <w:t>been </w:t>
      </w:r>
      <w:r>
        <w:rPr/>
        <w:t>disapproved, who do not respond to requests </w:t>
      </w:r>
      <w:r>
        <w:rPr>
          <w:spacing w:val="-4"/>
        </w:rPr>
        <w:t>for </w:t>
      </w:r>
      <w:r>
        <w:rPr/>
        <w:t>additional information, </w:t>
      </w:r>
      <w:r>
        <w:rPr>
          <w:spacing w:val="-3"/>
        </w:rPr>
        <w:t>or whose </w:t>
      </w:r>
      <w:r>
        <w:rPr/>
        <w:t>application is not complete </w:t>
      </w:r>
      <w:r>
        <w:rPr>
          <w:spacing w:val="-3"/>
        </w:rPr>
        <w:t>with </w:t>
      </w:r>
      <w:r>
        <w:rPr/>
        <w:t>respect to the receipt </w:t>
      </w:r>
      <w:r>
        <w:rPr>
          <w:spacing w:val="-3"/>
        </w:rPr>
        <w:t>of </w:t>
      </w:r>
      <w:r>
        <w:rPr/>
        <w:t>all transcripts </w:t>
      </w:r>
      <w:r>
        <w:rPr>
          <w:spacing w:val="-5"/>
        </w:rPr>
        <w:t>or </w:t>
      </w:r>
      <w:r>
        <w:rPr/>
        <w:t>test results are retained </w:t>
      </w:r>
      <w:r>
        <w:rPr>
          <w:spacing w:val="-4"/>
        </w:rPr>
        <w:t>for </w:t>
      </w:r>
      <w:r>
        <w:rPr/>
        <w:t>only one academic</w:t>
      </w:r>
      <w:r>
        <w:rPr>
          <w:spacing w:val="-8"/>
        </w:rPr>
        <w:t> </w:t>
      </w:r>
      <w:r>
        <w:rPr/>
        <w:t>year.</w:t>
      </w:r>
    </w:p>
    <w:p>
      <w:pPr>
        <w:pStyle w:val="Heading6"/>
        <w:spacing w:before="187"/>
      </w:pPr>
      <w:r>
        <w:rPr/>
        <w:t>Immunization and Health Policy</w:t>
      </w:r>
    </w:p>
    <w:p>
      <w:pPr>
        <w:pStyle w:val="BodyText"/>
        <w:spacing w:line="249" w:lineRule="auto" w:before="187"/>
        <w:ind w:right="51"/>
      </w:pPr>
      <w:r>
        <w:rPr/>
        <w:t>Except </w:t>
      </w:r>
      <w:r>
        <w:rPr>
          <w:spacing w:val="-4"/>
        </w:rPr>
        <w:t>for </w:t>
      </w:r>
      <w:r>
        <w:rPr/>
        <w:t>those enrolled exclusively in an online program of study, all </w:t>
      </w:r>
      <w:r>
        <w:rPr>
          <w:spacing w:val="-3"/>
        </w:rPr>
        <w:t>UMB </w:t>
      </w:r>
      <w:r>
        <w:rPr/>
        <w:t>graduate students are expected to satisfy the University’s immunization policy requirements. </w:t>
      </w:r>
      <w:r>
        <w:rPr>
          <w:spacing w:val="-3"/>
        </w:rPr>
        <w:t>Health </w:t>
      </w:r>
      <w:r>
        <w:rPr/>
        <w:t>care coverage also is required </w:t>
      </w:r>
      <w:r>
        <w:rPr>
          <w:spacing w:val="-4"/>
        </w:rPr>
        <w:t>for </w:t>
      </w:r>
      <w:r>
        <w:rPr/>
        <w:t>all students. The University’s complete immunization policy — including citations </w:t>
      </w:r>
      <w:r>
        <w:rPr>
          <w:spacing w:val="-4"/>
        </w:rPr>
        <w:t>for </w:t>
      </w:r>
      <w:r>
        <w:rPr/>
        <w:t>waivers </w:t>
      </w:r>
      <w:r>
        <w:rPr>
          <w:spacing w:val="-5"/>
        </w:rPr>
        <w:t>or </w:t>
      </w:r>
      <w:r>
        <w:rPr/>
        <w:t>exceptions — may be obtained from the student health </w:t>
      </w:r>
      <w:r>
        <w:rPr>
          <w:spacing w:val="-3"/>
        </w:rPr>
        <w:t>office </w:t>
      </w:r>
      <w:r>
        <w:rPr/>
        <w:t>and </w:t>
      </w:r>
      <w:r>
        <w:rPr>
          <w:spacing w:val="-3"/>
        </w:rPr>
        <w:t>can be </w:t>
      </w:r>
      <w:r>
        <w:rPr/>
        <w:t>read at </w:t>
      </w:r>
      <w:hyperlink r:id="rId21">
        <w:r>
          <w:rPr/>
          <w:t>www.umaryland.edu/studenthealth.</w:t>
        </w:r>
      </w:hyperlink>
    </w:p>
    <w:p>
      <w:pPr>
        <w:pStyle w:val="Heading6"/>
        <w:spacing w:before="98"/>
      </w:pPr>
      <w:r>
        <w:rPr>
          <w:b w:val="0"/>
        </w:rPr>
        <w:br w:type="column"/>
      </w:r>
      <w:r>
        <w:rPr/>
        <w:t>Student Identification Numbers</w:t>
      </w:r>
    </w:p>
    <w:p>
      <w:pPr>
        <w:pStyle w:val="BodyText"/>
        <w:spacing w:line="249" w:lineRule="auto" w:before="187"/>
        <w:ind w:right="730"/>
      </w:pPr>
      <w:r>
        <w:rPr/>
        <w:t>The Graduate School assigns an identification number to each applicant. This number becomes the student number for those who are admitted and subsequently enroll. The student’s Social Security number, if supplied on the application, is used only for federal aid, payroll, and other University-related purposes permitted by law.</w:t>
      </w:r>
    </w:p>
    <w:p>
      <w:pPr>
        <w:pStyle w:val="BodyText"/>
        <w:spacing w:line="249" w:lineRule="auto" w:before="187"/>
        <w:ind w:right="670"/>
      </w:pPr>
      <w:r>
        <w:rPr/>
        <w:t>All students must hold a valid photo identification card during their studies. The Graduate School provides information on obtaining a photo ID to students upon their admission or arrival on campus.</w:t>
      </w:r>
    </w:p>
    <w:p>
      <w:pPr>
        <w:pStyle w:val="Heading6"/>
        <w:spacing w:line="249" w:lineRule="auto" w:before="180"/>
        <w:ind w:right="965"/>
      </w:pPr>
      <w:r>
        <w:rPr/>
        <w:t>Mandatory Drug and Criminal Background Check Requirements for Certain Study or Research Areas</w:t>
      </w:r>
    </w:p>
    <w:p>
      <w:pPr>
        <w:pStyle w:val="BodyText"/>
        <w:spacing w:line="249" w:lineRule="auto" w:before="184"/>
        <w:ind w:right="616"/>
      </w:pPr>
      <w:r>
        <w:rPr/>
        <w:t>Certain study </w:t>
      </w:r>
      <w:r>
        <w:rPr>
          <w:spacing w:val="-3"/>
        </w:rPr>
        <w:t>or </w:t>
      </w:r>
      <w:r>
        <w:rPr/>
        <w:t>research activities </w:t>
      </w:r>
      <w:r>
        <w:rPr>
          <w:spacing w:val="-3"/>
        </w:rPr>
        <w:t>of </w:t>
      </w:r>
      <w:r>
        <w:rPr/>
        <w:t>students may require access to biological </w:t>
      </w:r>
      <w:r>
        <w:rPr>
          <w:spacing w:val="-3"/>
        </w:rPr>
        <w:t>or </w:t>
      </w:r>
      <w:r>
        <w:rPr/>
        <w:t>chemical materials that are </w:t>
      </w:r>
      <w:r>
        <w:rPr>
          <w:spacing w:val="-3"/>
        </w:rPr>
        <w:t>subject </w:t>
      </w:r>
      <w:r>
        <w:rPr/>
        <w:t>to special restrictions under federal law. Individuals </w:t>
      </w:r>
      <w:r>
        <w:rPr>
          <w:spacing w:val="-3"/>
        </w:rPr>
        <w:t>who </w:t>
      </w:r>
      <w:r>
        <w:rPr/>
        <w:t>wish to </w:t>
      </w:r>
      <w:r>
        <w:rPr>
          <w:spacing w:val="-3"/>
        </w:rPr>
        <w:t>be </w:t>
      </w:r>
      <w:r>
        <w:rPr/>
        <w:t>authorized to have </w:t>
      </w:r>
      <w:r>
        <w:rPr>
          <w:spacing w:val="-3"/>
        </w:rPr>
        <w:t>access </w:t>
      </w:r>
      <w:r>
        <w:rPr/>
        <w:t>to such materials must comply with </w:t>
      </w:r>
      <w:r>
        <w:rPr>
          <w:spacing w:val="-3"/>
        </w:rPr>
        <w:t>UMB </w:t>
      </w:r>
      <w:r>
        <w:rPr/>
        <w:t>policy, state law, and federally mandated drug and criminal background checks. Students who cannot maintain eligibility to engage in study </w:t>
      </w:r>
      <w:r>
        <w:rPr>
          <w:spacing w:val="-3"/>
        </w:rPr>
        <w:t>or </w:t>
      </w:r>
      <w:r>
        <w:rPr/>
        <w:t>research </w:t>
      </w:r>
      <w:r>
        <w:rPr>
          <w:spacing w:val="-3"/>
        </w:rPr>
        <w:t>with </w:t>
      </w:r>
      <w:r>
        <w:rPr/>
        <w:t>biological </w:t>
      </w:r>
      <w:r>
        <w:rPr>
          <w:spacing w:val="-5"/>
        </w:rPr>
        <w:t>or </w:t>
      </w:r>
      <w:r>
        <w:rPr/>
        <w:t>chemical materials have no assurance that </w:t>
      </w:r>
      <w:r>
        <w:rPr>
          <w:spacing w:val="-3"/>
        </w:rPr>
        <w:t>UMB </w:t>
      </w:r>
      <w:r>
        <w:rPr/>
        <w:t>will provide an alternative path </w:t>
      </w:r>
      <w:r>
        <w:rPr>
          <w:spacing w:val="-3"/>
        </w:rPr>
        <w:t>of </w:t>
      </w:r>
      <w:r>
        <w:rPr/>
        <w:t>study </w:t>
      </w:r>
      <w:r>
        <w:rPr>
          <w:spacing w:val="-3"/>
        </w:rPr>
        <w:t>or </w:t>
      </w:r>
      <w:r>
        <w:rPr/>
        <w:t>research. Therefore, students may not </w:t>
      </w:r>
      <w:r>
        <w:rPr>
          <w:spacing w:val="-3"/>
        </w:rPr>
        <w:t>be </w:t>
      </w:r>
      <w:r>
        <w:rPr/>
        <w:t>able to enroll </w:t>
      </w:r>
      <w:r>
        <w:rPr>
          <w:spacing w:val="-5"/>
        </w:rPr>
        <w:t>or </w:t>
      </w:r>
      <w:r>
        <w:rPr/>
        <w:t>to continue enrollment and advancement at </w:t>
      </w:r>
      <w:r>
        <w:rPr>
          <w:spacing w:val="-4"/>
        </w:rPr>
        <w:t>UMB. </w:t>
      </w:r>
      <w:r>
        <w:rPr/>
        <w:t>Because of the serious financial and academic consequences of failure to obtain and maintain ongoing eligibility </w:t>
      </w:r>
      <w:r>
        <w:rPr>
          <w:spacing w:val="-3"/>
        </w:rPr>
        <w:t>with </w:t>
      </w:r>
      <w:r>
        <w:rPr/>
        <w:t>legal requirements, students should plan in advance to ask advisors, faculty, and mentors about authorization </w:t>
      </w:r>
      <w:r>
        <w:rPr>
          <w:spacing w:val="-4"/>
        </w:rPr>
        <w:t>for </w:t>
      </w:r>
      <w:r>
        <w:rPr>
          <w:spacing w:val="-3"/>
        </w:rPr>
        <w:t>access </w:t>
      </w:r>
      <w:r>
        <w:rPr/>
        <w:t>to biological and chemical materials. Students should carefully consider the drug and criminal background check requirements before selecting a course of study </w:t>
      </w:r>
      <w:r>
        <w:rPr>
          <w:spacing w:val="-3"/>
        </w:rPr>
        <w:t>or </w:t>
      </w:r>
      <w:r>
        <w:rPr/>
        <w:t>research that may be subject to special restrictions.</w:t>
      </w:r>
    </w:p>
    <w:p>
      <w:pPr>
        <w:pStyle w:val="Heading6"/>
        <w:spacing w:before="192"/>
      </w:pPr>
      <w:r>
        <w:rPr/>
        <w:t>Special Services/Accommodations</w:t>
      </w:r>
    </w:p>
    <w:p>
      <w:pPr>
        <w:pStyle w:val="BodyText"/>
        <w:spacing w:line="249" w:lineRule="auto" w:before="193"/>
        <w:ind w:right="654"/>
      </w:pPr>
      <w:r>
        <w:rPr/>
        <w:t>Individuals who are offered admission and who need accommodation under the Americans with Disabilities Act should contact the University’s Office of Student Services and the respective graduate program director in a timely manner. Accommodations will not be made retroactively.</w:t>
      </w:r>
    </w:p>
    <w:p>
      <w:pPr>
        <w:pStyle w:val="BodyText"/>
        <w:spacing w:before="181"/>
      </w:pPr>
      <w:r>
        <w:rPr/>
        <w:t>UMB Office of Student Services</w:t>
      </w:r>
    </w:p>
    <w:p>
      <w:pPr>
        <w:pStyle w:val="BodyText"/>
        <w:spacing w:line="249" w:lineRule="auto" w:before="10"/>
        <w:ind w:right="1205"/>
      </w:pPr>
      <w:r>
        <w:rPr/>
        <w:t>Southern Management Corporation Campus Center 621 W. Lombard St., Suite 302</w:t>
      </w:r>
    </w:p>
    <w:p>
      <w:pPr>
        <w:pStyle w:val="BodyText"/>
        <w:spacing w:before="1"/>
      </w:pPr>
      <w:r>
        <w:rPr/>
        <w:t>Baltimore, MD 21201</w:t>
      </w:r>
    </w:p>
    <w:p>
      <w:pPr>
        <w:pStyle w:val="BodyText"/>
        <w:spacing w:before="10"/>
      </w:pPr>
      <w:r>
        <w:rPr/>
        <w:t>410-706-3171</w:t>
      </w:r>
    </w:p>
    <w:p>
      <w:pPr>
        <w:pStyle w:val="BodyText"/>
        <w:spacing w:line="249" w:lineRule="auto" w:before="10"/>
        <w:ind w:right="1326"/>
      </w:pPr>
      <w:r>
        <w:rPr/>
        <w:t>Hearing impaired-Maryland Relay Service: 711 in Maryland or 800-735-2258 elsewhere.</w:t>
      </w:r>
    </w:p>
    <w:p>
      <w:pPr>
        <w:spacing w:after="0" w:line="249" w:lineRule="auto"/>
        <w:sectPr>
          <w:pgSz w:w="12240" w:h="15840"/>
          <w:pgMar w:header="746" w:footer="0" w:top="1320" w:bottom="280" w:left="880" w:right="300"/>
          <w:cols w:num="2" w:equalWidth="0">
            <w:col w:w="4991" w:space="496"/>
            <w:col w:w="5573"/>
          </w:cols>
        </w:sectPr>
      </w:pPr>
    </w:p>
    <w:p>
      <w:pPr>
        <w:pStyle w:val="Heading1"/>
      </w:pPr>
      <w:bookmarkStart w:name="Registration, Enrollment, and Grades" w:id="7"/>
      <w:bookmarkEnd w:id="7"/>
      <w:r>
        <w:rPr>
          <w:b w:val="0"/>
        </w:rPr>
      </w:r>
      <w:bookmarkStart w:name="_bookmark3" w:id="8"/>
      <w:bookmarkEnd w:id="8"/>
      <w:r>
        <w:rPr>
          <w:b w:val="0"/>
        </w:rPr>
      </w:r>
      <w:r>
        <w:rPr/>
        <w:t>Registration, Enrollment, and Grades</w:t>
      </w:r>
    </w:p>
    <w:p>
      <w:pPr>
        <w:pStyle w:val="BodyText"/>
        <w:spacing w:line="173" w:lineRule="exact" w:before="150"/>
        <w:ind w:left="5686"/>
      </w:pPr>
      <w:r>
        <w:rPr/>
        <w:t>however, is expected for certain student groups, such as</w:t>
      </w:r>
    </w:p>
    <w:p>
      <w:pPr>
        <w:spacing w:after="0" w:line="173" w:lineRule="exact"/>
        <w:sectPr>
          <w:pgSz w:w="12240" w:h="15840"/>
          <w:pgMar w:header="746" w:footer="0" w:top="1320" w:bottom="280" w:left="880" w:right="300"/>
        </w:sectPr>
      </w:pPr>
    </w:p>
    <w:p>
      <w:pPr>
        <w:pStyle w:val="Heading4"/>
        <w:spacing w:line="245" w:lineRule="exact" w:before="0"/>
      </w:pPr>
      <w:r>
        <w:rPr/>
        <w:t>Abidance of Guidelines</w:t>
      </w:r>
    </w:p>
    <w:p>
      <w:pPr>
        <w:pStyle w:val="BodyText"/>
        <w:spacing w:line="249" w:lineRule="auto" w:before="183"/>
        <w:ind w:left="199" w:right="115"/>
      </w:pPr>
      <w:r>
        <w:rPr/>
        <w:t>All students, including visiting, inter-institutional, and professional school students, enrolled in Graduate School courses at UMB are subject to Graduate School grading and registration guidelines and policies.</w:t>
      </w:r>
    </w:p>
    <w:p>
      <w:pPr>
        <w:pStyle w:val="BodyText"/>
        <w:spacing w:line="249" w:lineRule="auto"/>
        <w:ind w:right="209"/>
      </w:pPr>
      <w:r>
        <w:rPr/>
        <w:t>Students must have been approved for admission by the Graduate School to be eligible for registration and enrollment; only those who have been approved to enroll may attend classes.</w:t>
      </w:r>
    </w:p>
    <w:p>
      <w:pPr>
        <w:pStyle w:val="BodyText"/>
        <w:spacing w:line="249" w:lineRule="auto" w:before="181"/>
        <w:ind w:right="69"/>
      </w:pPr>
      <w:r>
        <w:rPr/>
        <w:t>Students are not officially enrolled without an active course registration entered into the University’s student information management system (SIMS). If a student </w:t>
      </w:r>
      <w:r>
        <w:rPr>
          <w:spacing w:val="-3"/>
        </w:rPr>
        <w:t>does </w:t>
      </w:r>
      <w:r>
        <w:rPr/>
        <w:t>not register </w:t>
      </w:r>
      <w:r>
        <w:rPr>
          <w:spacing w:val="-4"/>
        </w:rPr>
        <w:t>for </w:t>
      </w:r>
      <w:r>
        <w:rPr/>
        <w:t>at least one course in </w:t>
      </w:r>
      <w:r>
        <w:rPr>
          <w:spacing w:val="-3"/>
        </w:rPr>
        <w:t>each </w:t>
      </w:r>
      <w:r>
        <w:rPr/>
        <w:t>semester (fall and spring), their registration eligibility is interrupted; they may request a leave of absence </w:t>
      </w:r>
      <w:r>
        <w:rPr>
          <w:spacing w:val="-3"/>
        </w:rPr>
        <w:t>or </w:t>
      </w:r>
      <w:r>
        <w:rPr/>
        <w:t>must request re-entry and permission to</w:t>
      </w:r>
      <w:r>
        <w:rPr>
          <w:spacing w:val="-4"/>
        </w:rPr>
        <w:t> </w:t>
      </w:r>
      <w:r>
        <w:rPr/>
        <w:t>re-enroll.</w:t>
      </w:r>
    </w:p>
    <w:p>
      <w:pPr>
        <w:pStyle w:val="Heading4"/>
        <w:spacing w:before="170"/>
      </w:pPr>
      <w:r>
        <w:rPr/>
        <w:t>Full- and Part-Time Enrollment</w:t>
      </w:r>
    </w:p>
    <w:p>
      <w:pPr>
        <w:pStyle w:val="BodyText"/>
        <w:spacing w:line="249" w:lineRule="auto" w:before="183"/>
        <w:ind w:right="115"/>
      </w:pPr>
      <w:r>
        <w:rPr/>
        <w:t>Graduate students must be registered for a minimum of 9 total credit hours per semester to be considered a full-time student or to be enrolled on a full-time basis.</w:t>
      </w:r>
    </w:p>
    <w:p>
      <w:pPr>
        <w:pStyle w:val="BodyText"/>
        <w:spacing w:line="249" w:lineRule="auto"/>
        <w:ind w:right="38"/>
      </w:pPr>
      <w:r>
        <w:rPr/>
        <w:t>Students receiving a graduate assistantship must </w:t>
      </w:r>
      <w:r>
        <w:rPr>
          <w:spacing w:val="-3"/>
        </w:rPr>
        <w:t>be </w:t>
      </w:r>
      <w:r>
        <w:rPr/>
        <w:t>enrolled </w:t>
      </w:r>
      <w:r>
        <w:rPr>
          <w:spacing w:val="-3"/>
        </w:rPr>
        <w:t>on </w:t>
      </w:r>
      <w:r>
        <w:rPr/>
        <w:t>a full-time basis. Graduate assistants must register </w:t>
      </w:r>
      <w:r>
        <w:rPr>
          <w:spacing w:val="-4"/>
        </w:rPr>
        <w:t>for </w:t>
      </w:r>
      <w:r>
        <w:rPr/>
        <w:t>7 credits </w:t>
      </w:r>
      <w:r>
        <w:rPr>
          <w:spacing w:val="-3"/>
        </w:rPr>
        <w:t>of ABGA </w:t>
      </w:r>
      <w:r>
        <w:rPr/>
        <w:t>900, 901, </w:t>
      </w:r>
      <w:r>
        <w:rPr>
          <w:spacing w:val="-3"/>
        </w:rPr>
        <w:t>or </w:t>
      </w:r>
      <w:r>
        <w:rPr/>
        <w:t>902, </w:t>
      </w:r>
      <w:r>
        <w:rPr>
          <w:spacing w:val="-3"/>
        </w:rPr>
        <w:t>whether </w:t>
      </w:r>
      <w:r>
        <w:rPr/>
        <w:t>receiving a half-time </w:t>
      </w:r>
      <w:r>
        <w:rPr>
          <w:spacing w:val="-3"/>
        </w:rPr>
        <w:t>or </w:t>
      </w:r>
      <w:r>
        <w:rPr/>
        <w:t>a full-time assistantship. Thus, graduate assistants must register </w:t>
      </w:r>
      <w:r>
        <w:rPr>
          <w:spacing w:val="-4"/>
        </w:rPr>
        <w:t>for </w:t>
      </w:r>
      <w:r>
        <w:rPr/>
        <w:t>an additional (minimum) 2 credits to </w:t>
      </w:r>
      <w:r>
        <w:rPr>
          <w:spacing w:val="-3"/>
        </w:rPr>
        <w:t>be </w:t>
      </w:r>
      <w:r>
        <w:rPr/>
        <w:t>enrolled </w:t>
      </w:r>
      <w:r>
        <w:rPr>
          <w:spacing w:val="-3"/>
        </w:rPr>
        <w:t>on </w:t>
      </w:r>
      <w:r>
        <w:rPr/>
        <w:t>a full-time </w:t>
      </w:r>
      <w:r>
        <w:rPr>
          <w:spacing w:val="-2"/>
        </w:rPr>
        <w:t>basis. </w:t>
      </w:r>
      <w:r>
        <w:rPr/>
        <w:t>Additional information regarding the terms </w:t>
      </w:r>
      <w:r>
        <w:rPr>
          <w:spacing w:val="-3"/>
        </w:rPr>
        <w:t>of </w:t>
      </w:r>
      <w:r>
        <w:rPr/>
        <w:t>enrollment for a graduate assistant are </w:t>
      </w:r>
      <w:r>
        <w:rPr>
          <w:spacing w:val="-3"/>
        </w:rPr>
        <w:t>cited </w:t>
      </w:r>
      <w:r>
        <w:rPr/>
        <w:t>in the Financial Assistance/Graduate Assistantships part </w:t>
      </w:r>
      <w:r>
        <w:rPr>
          <w:spacing w:val="-3"/>
        </w:rPr>
        <w:t>of </w:t>
      </w:r>
      <w:r>
        <w:rPr/>
        <w:t>this</w:t>
      </w:r>
      <w:r>
        <w:rPr>
          <w:spacing w:val="-17"/>
        </w:rPr>
        <w:t> </w:t>
      </w:r>
      <w:r>
        <w:rPr/>
        <w:t>publication.</w:t>
      </w:r>
    </w:p>
    <w:p>
      <w:pPr>
        <w:pStyle w:val="BodyText"/>
        <w:spacing w:line="249" w:lineRule="auto" w:before="184"/>
        <w:ind w:right="84"/>
      </w:pPr>
      <w:r>
        <w:rPr/>
        <w:t>Students receiving need-based assistance (federal Title IV funds) need to be registered for at least 6 credit hours to be eligible for federal aid. Enrollment must include “regular” credit-bearing courses; courses taken for audit do not count.</w:t>
      </w:r>
    </w:p>
    <w:p>
      <w:pPr>
        <w:pStyle w:val="Heading4"/>
        <w:spacing w:before="169"/>
      </w:pPr>
      <w:r>
        <w:rPr/>
        <w:t>Summer Term Registration</w:t>
      </w:r>
    </w:p>
    <w:p>
      <w:pPr>
        <w:pStyle w:val="BodyText"/>
        <w:spacing w:line="249" w:lineRule="auto" w:before="183"/>
        <w:ind w:right="45"/>
      </w:pPr>
      <w:r>
        <w:rPr/>
        <w:t>In general, degree students are not required to be registered during the summer term as part of the Graduate School’s Continuous Enrollment policy. And, with the exception of first-term international students, there is no full-time enrollment requirement in the summer term. Full-time enrollment in the summer is defined as at least 9 credit hours of course registration. Summer term registration,</w:t>
      </w:r>
    </w:p>
    <w:p>
      <w:pPr>
        <w:pStyle w:val="ListParagraph"/>
        <w:numPr>
          <w:ilvl w:val="0"/>
          <w:numId w:val="3"/>
        </w:numPr>
        <w:tabs>
          <w:tab w:pos="471" w:val="left" w:leader="none"/>
        </w:tabs>
        <w:spacing w:line="249" w:lineRule="auto" w:before="67" w:after="0"/>
        <w:ind w:left="200" w:right="886" w:firstLine="0"/>
        <w:jc w:val="left"/>
        <w:rPr>
          <w:sz w:val="20"/>
        </w:rPr>
      </w:pPr>
      <w:r>
        <w:rPr>
          <w:spacing w:val="1"/>
          <w:w w:val="100"/>
          <w:sz w:val="20"/>
        </w:rPr>
        <w:br w:type="column"/>
      </w:r>
      <w:r>
        <w:rPr>
          <w:sz w:val="20"/>
        </w:rPr>
        <w:t>month graduate assistants and students attempting to qualify for need-based federal financial</w:t>
      </w:r>
      <w:r>
        <w:rPr>
          <w:spacing w:val="-11"/>
          <w:sz w:val="20"/>
        </w:rPr>
        <w:t> </w:t>
      </w:r>
      <w:r>
        <w:rPr>
          <w:sz w:val="20"/>
        </w:rPr>
        <w:t>assistance.</w:t>
      </w:r>
    </w:p>
    <w:p>
      <w:pPr>
        <w:pStyle w:val="Heading4"/>
        <w:spacing w:before="166"/>
      </w:pPr>
      <w:r>
        <w:rPr/>
        <w:t>Changing a Schedule or Course Registration(s)</w:t>
      </w:r>
    </w:p>
    <w:p>
      <w:pPr>
        <w:pStyle w:val="BodyText"/>
        <w:spacing w:line="249" w:lineRule="auto" w:before="184"/>
        <w:ind w:right="636"/>
      </w:pPr>
      <w:r>
        <w:rPr/>
        <w:t>Students must register </w:t>
      </w:r>
      <w:r>
        <w:rPr>
          <w:spacing w:val="-4"/>
        </w:rPr>
        <w:t>for </w:t>
      </w:r>
      <w:r>
        <w:rPr/>
        <w:t>coursework each term (except summer and winter) to maintain eligibility for a degree. Adjustments to course registrations should only be made before the start </w:t>
      </w:r>
      <w:r>
        <w:rPr>
          <w:spacing w:val="-3"/>
        </w:rPr>
        <w:t>of </w:t>
      </w:r>
      <w:r>
        <w:rPr/>
        <w:t>the </w:t>
      </w:r>
      <w:r>
        <w:rPr>
          <w:spacing w:val="-3"/>
        </w:rPr>
        <w:t>semester  </w:t>
      </w:r>
      <w:r>
        <w:rPr/>
        <w:t>and should </w:t>
      </w:r>
      <w:r>
        <w:rPr>
          <w:spacing w:val="-3"/>
        </w:rPr>
        <w:t>be </w:t>
      </w:r>
      <w:r>
        <w:rPr/>
        <w:t>undertaken in consultation </w:t>
      </w:r>
      <w:r>
        <w:rPr>
          <w:spacing w:val="-3"/>
        </w:rPr>
        <w:t>with </w:t>
      </w:r>
      <w:r>
        <w:rPr/>
        <w:t>the students’ instructors and/or advisors. After the start </w:t>
      </w:r>
      <w:r>
        <w:rPr>
          <w:spacing w:val="-3"/>
        </w:rPr>
        <w:t>of </w:t>
      </w:r>
      <w:r>
        <w:rPr/>
        <w:t>the term, changes may </w:t>
      </w:r>
      <w:r>
        <w:rPr>
          <w:spacing w:val="-3"/>
        </w:rPr>
        <w:t>be </w:t>
      </w:r>
      <w:r>
        <w:rPr/>
        <w:t>made only in accordance </w:t>
      </w:r>
      <w:r>
        <w:rPr>
          <w:spacing w:val="-3"/>
        </w:rPr>
        <w:t>with stated </w:t>
      </w:r>
      <w:r>
        <w:rPr/>
        <w:t>timetables. Further, students must file the necessary form(s) </w:t>
      </w:r>
      <w:r>
        <w:rPr>
          <w:spacing w:val="-4"/>
        </w:rPr>
        <w:t>for </w:t>
      </w:r>
      <w:r>
        <w:rPr/>
        <w:t>registration changes with the appropriate University officials’ signature(s) </w:t>
      </w:r>
      <w:r>
        <w:rPr>
          <w:spacing w:val="-3"/>
        </w:rPr>
        <w:t>of </w:t>
      </w:r>
      <w:r>
        <w:rPr/>
        <w:t>approval before changes are complete </w:t>
      </w:r>
      <w:r>
        <w:rPr>
          <w:spacing w:val="-3"/>
        </w:rPr>
        <w:t>or</w:t>
      </w:r>
      <w:r>
        <w:rPr/>
        <w:t> official.</w:t>
      </w:r>
    </w:p>
    <w:p>
      <w:pPr>
        <w:pStyle w:val="Heading6"/>
        <w:spacing w:before="189"/>
      </w:pPr>
      <w:r>
        <w:rPr/>
        <w:t>Add</w:t>
      </w:r>
    </w:p>
    <w:p>
      <w:pPr>
        <w:pStyle w:val="BodyText"/>
        <w:spacing w:line="249" w:lineRule="auto" w:before="188"/>
        <w:ind w:right="638"/>
      </w:pPr>
      <w:r>
        <w:rPr/>
        <w:t>Week 1: Fall, spring, or summer term – Students may add course(s) through the end of Week 1 only. (Winter term — Students may add a course through the end of Day 2 only.) Complete an Add/Drop form.</w:t>
      </w:r>
    </w:p>
    <w:p>
      <w:pPr>
        <w:pStyle w:val="Heading6"/>
        <w:spacing w:before="185"/>
      </w:pPr>
      <w:r>
        <w:rPr/>
        <w:t>Drop</w:t>
      </w:r>
    </w:p>
    <w:p>
      <w:pPr>
        <w:pStyle w:val="BodyText"/>
        <w:spacing w:line="249" w:lineRule="auto" w:before="188"/>
        <w:ind w:right="605"/>
      </w:pPr>
      <w:r>
        <w:rPr/>
        <w:t>Weeks 1-3: Fall, spring, or summer term (winter term: through the end of Day 2) – Students may drop course(s) through the end of Week 3 with proper approvals and with no notation on the transcript. Complete an Add/Drop form with the instructor and advisor or program director. Partial (80 percent) or no refund depending upon drop date.</w:t>
      </w:r>
    </w:p>
    <w:p>
      <w:pPr>
        <w:pStyle w:val="BodyText"/>
        <w:spacing w:line="249" w:lineRule="auto" w:before="186"/>
        <w:ind w:right="638"/>
      </w:pPr>
      <w:r>
        <w:rPr/>
        <w:t>Weeks 4-8: Fall and spring term (through end of Day 18 in the summer term) – Students may drop course(s) through the end of Week 8 with instructor and advisor or program director approval. A notation of WD will appear on the transcript. Complete an Add/Drop form with the instructor and advisor or program director. Course(s) dropped counts as an attempt. There is no refund.</w:t>
      </w:r>
    </w:p>
    <w:p>
      <w:pPr>
        <w:pStyle w:val="BodyText"/>
        <w:spacing w:line="249" w:lineRule="auto" w:before="183"/>
        <w:ind w:right="677"/>
      </w:pPr>
      <w:r>
        <w:rPr/>
        <w:t>Beginning the ninth week of the fall and spring terms (or beginning Day 19 of the summer term, or from Day 3 to the end of the winter term), students are not permitted to drop a course. The student must complete the course, negotiate/request an Incomplete, or request the instructor to grant a Withdraw Pass or Withdraw Fail (WP/WF – use the Course Withdraw Form). There is no refund.</w:t>
      </w:r>
    </w:p>
    <w:p>
      <w:pPr>
        <w:pStyle w:val="BodyText"/>
        <w:spacing w:line="249" w:lineRule="auto" w:before="188"/>
        <w:ind w:right="760"/>
      </w:pPr>
      <w:r>
        <w:rPr/>
        <w:t>Graduate nursing students — i.e., nondegree/CWO, PhD, MS, and DNP students — are expected to abide by the registration change (add/drop) timelines, rules, and</w:t>
      </w:r>
    </w:p>
    <w:p>
      <w:pPr>
        <w:spacing w:after="0" w:line="249" w:lineRule="auto"/>
        <w:sectPr>
          <w:type w:val="continuous"/>
          <w:pgSz w:w="12240" w:h="15840"/>
          <w:pgMar w:top="1500" w:bottom="280" w:left="880" w:right="300"/>
          <w:cols w:num="2" w:equalWidth="0">
            <w:col w:w="4995" w:space="491"/>
            <w:col w:w="5574"/>
          </w:cols>
        </w:sectPr>
      </w:pPr>
    </w:p>
    <w:p>
      <w:pPr>
        <w:pStyle w:val="BodyText"/>
        <w:spacing w:before="100"/>
      </w:pPr>
      <w:r>
        <w:rPr/>
        <w:t>guidelines established by the School of Nursing.</w:t>
      </w:r>
    </w:p>
    <w:p>
      <w:pPr>
        <w:pStyle w:val="Heading4"/>
        <w:spacing w:line="228" w:lineRule="auto" w:before="179"/>
        <w:ind w:right="1032"/>
      </w:pPr>
      <w:r>
        <w:rPr/>
        <w:t>Withdrawing From a Course Withdraw Pass/Withdraw Fail</w:t>
      </w:r>
    </w:p>
    <w:p>
      <w:pPr>
        <w:pStyle w:val="BodyText"/>
        <w:spacing w:line="249" w:lineRule="auto" w:before="190"/>
        <w:ind w:right="114"/>
      </w:pPr>
      <w:r>
        <w:rPr/>
        <w:t>If a student withdraws from a course after the first eight weeks of a fall or spring semester course or the first two weeks of a summer course, and the Course Withdrawal Request form is appropriately completed and filed with signature approvals, the student will receive a withdrawal mark of WP or WF for each course attempted. A withdrawal mark of WP means that the student was passing the course at the time of withdrawal; a withdrawal mark of WF means the student was failing at the time of withdrawal. Each WP and WF mark will appear on the official transcript. WP/WF marks are not included in the calculation of semester, term, or cumulative grade-point averages. However, WF marks are included as course failures when determinations of academic probation or academic failure are made. There are no refunds for WP/WF marks.</w:t>
      </w:r>
    </w:p>
    <w:p>
      <w:pPr>
        <w:pStyle w:val="Heading4"/>
        <w:spacing w:before="172"/>
      </w:pPr>
      <w:r>
        <w:rPr/>
        <w:t>Cancellation of Registration</w:t>
      </w:r>
    </w:p>
    <w:p>
      <w:pPr>
        <w:pStyle w:val="BodyText"/>
        <w:spacing w:line="249" w:lineRule="auto" w:before="188"/>
        <w:ind w:right="41"/>
      </w:pPr>
      <w:r>
        <w:rPr/>
        <w:t>Registered students compelled to leave the University before the start of a term must file a notice of cancellation of registration with the Graduate School. Failure to file this notice and obtain approval by the Graduate School will result in loss of refund.</w:t>
      </w:r>
    </w:p>
    <w:p>
      <w:pPr>
        <w:pStyle w:val="BodyText"/>
        <w:spacing w:line="249" w:lineRule="auto" w:before="181"/>
        <w:ind w:right="119"/>
      </w:pPr>
      <w:r>
        <w:rPr/>
        <w:t>Once the semester begins, students are subject to the other schedule adjustment guidelines, policies, and procedures (add/drop, withdrawing, etc.) cited herein.</w:t>
      </w:r>
    </w:p>
    <w:p>
      <w:pPr>
        <w:pStyle w:val="Heading4"/>
        <w:spacing w:before="167"/>
      </w:pPr>
      <w:r>
        <w:rPr/>
        <w:t>Leave of Absence</w:t>
      </w:r>
    </w:p>
    <w:p>
      <w:pPr>
        <w:pStyle w:val="BodyText"/>
        <w:spacing w:line="249" w:lineRule="auto" w:before="183"/>
        <w:ind w:right="24"/>
      </w:pPr>
      <w:r>
        <w:rPr/>
        <w:t>Students who wish to continue in a degree program but cannot study in a particular semester, session, or year must take a leave of absence with the approval of their academic advisor and the Graduate School. Students must complete a Leave of Absence Request form and present it to their program director and the Graduate School for approval.</w:t>
      </w:r>
    </w:p>
    <w:p>
      <w:pPr>
        <w:pStyle w:val="BodyText"/>
        <w:spacing w:line="249" w:lineRule="auto" w:before="5"/>
        <w:ind w:left="199" w:right="224"/>
      </w:pPr>
      <w:r>
        <w:rPr/>
        <w:t>The Graduate School notifies students of leave approvals and the terms of re-enrollment. While there is no limit to the number of times a student may request a leave of absence, leaves do not extend the time required to complete degree requirements. Leaves of absence are not required for the summer term and are not required of nondegree/coursework-only students.</w:t>
      </w:r>
    </w:p>
    <w:p>
      <w:pPr>
        <w:pStyle w:val="BodyText"/>
        <w:spacing w:line="249" w:lineRule="auto" w:before="187"/>
        <w:ind w:right="58"/>
      </w:pPr>
      <w:r>
        <w:rPr/>
        <w:t>A student who is in academic jeopardy (academic probation) or who is otherwise not making satisfactory progress toward their degree – and who is granted an approved leave of absence – may be subject to additional review and modified terms of enrollment upon their return.</w:t>
      </w:r>
    </w:p>
    <w:p>
      <w:pPr>
        <w:pStyle w:val="Heading4"/>
        <w:spacing w:before="81"/>
      </w:pPr>
      <w:r>
        <w:rPr>
          <w:b w:val="0"/>
        </w:rPr>
        <w:br w:type="column"/>
      </w:r>
      <w:r>
        <w:rPr/>
        <w:t>Withdrawing From the Graduate School</w:t>
      </w:r>
    </w:p>
    <w:p>
      <w:pPr>
        <w:pStyle w:val="BodyText"/>
        <w:spacing w:line="249" w:lineRule="auto" w:before="183"/>
        <w:ind w:right="609"/>
      </w:pPr>
      <w:r>
        <w:rPr/>
        <w:t>Once admitted to a graduate program, students are obligated to continue their course of studies. Students who desire or need to cease pursuing their degrees after registration and after the start of the term must submit a notice of withdrawal from the University, bearing the proper (program/department) signatures, to the Graduate School. The date used in computing a refund is the filing date of the document for withdrawal. Students who withdraw during a semester and do not file an application for withdrawal receive marks of failure in all courses and forfeit the right to any refund that they would otherwise receive. Students seeking to re-enter graduate study after withdrawal must reapply for admission and compete with a new entering class.</w:t>
      </w:r>
    </w:p>
    <w:p>
      <w:pPr>
        <w:pStyle w:val="Heading4"/>
        <w:spacing w:before="176"/>
      </w:pPr>
      <w:r>
        <w:rPr/>
        <w:t>Reinstatement</w:t>
      </w:r>
    </w:p>
    <w:p>
      <w:pPr>
        <w:pStyle w:val="BodyText"/>
        <w:spacing w:line="249" w:lineRule="auto" w:before="183"/>
        <w:ind w:right="611"/>
      </w:pPr>
      <w:r>
        <w:rPr/>
        <w:t>Students who “stop out” — that is, leave their studies </w:t>
      </w:r>
      <w:r>
        <w:rPr>
          <w:spacing w:val="-4"/>
        </w:rPr>
        <w:t>for </w:t>
      </w:r>
      <w:r>
        <w:rPr/>
        <w:t>a period </w:t>
      </w:r>
      <w:r>
        <w:rPr>
          <w:spacing w:val="-3"/>
        </w:rPr>
        <w:t>of </w:t>
      </w:r>
      <w:r>
        <w:rPr/>
        <w:t>time without formally withdrawing </w:t>
      </w:r>
      <w:r>
        <w:rPr>
          <w:spacing w:val="-3"/>
        </w:rPr>
        <w:t>or </w:t>
      </w:r>
      <w:r>
        <w:rPr/>
        <w:t>taking an approved leave </w:t>
      </w:r>
      <w:r>
        <w:rPr>
          <w:spacing w:val="-3"/>
        </w:rPr>
        <w:t>of </w:t>
      </w:r>
      <w:r>
        <w:rPr/>
        <w:t>absence — must request to </w:t>
      </w:r>
      <w:r>
        <w:rPr>
          <w:spacing w:val="-3"/>
        </w:rPr>
        <w:t>be </w:t>
      </w:r>
      <w:r>
        <w:rPr/>
        <w:t>reinstated as returning students. The request may be made directly to the program/ department </w:t>
      </w:r>
      <w:r>
        <w:rPr>
          <w:spacing w:val="-4"/>
        </w:rPr>
        <w:t>for </w:t>
      </w:r>
      <w:r>
        <w:rPr/>
        <w:t>review, </w:t>
      </w:r>
      <w:r>
        <w:rPr>
          <w:spacing w:val="-3"/>
        </w:rPr>
        <w:t>with </w:t>
      </w:r>
      <w:r>
        <w:rPr/>
        <w:t>accompanying notification to the Graduate </w:t>
      </w:r>
      <w:r>
        <w:rPr>
          <w:spacing w:val="-3"/>
        </w:rPr>
        <w:t>School. </w:t>
      </w:r>
      <w:r>
        <w:rPr/>
        <w:t>A student who has been away from studies (i.e., no active enrollment </w:t>
      </w:r>
      <w:r>
        <w:rPr>
          <w:spacing w:val="-3"/>
        </w:rPr>
        <w:t>or </w:t>
      </w:r>
      <w:r>
        <w:rPr/>
        <w:t>registration) </w:t>
      </w:r>
      <w:r>
        <w:rPr>
          <w:spacing w:val="-4"/>
        </w:rPr>
        <w:t>for </w:t>
      </w:r>
      <w:r>
        <w:rPr/>
        <w:t>more than two years must appeal </w:t>
      </w:r>
      <w:r>
        <w:rPr>
          <w:spacing w:val="-4"/>
        </w:rPr>
        <w:t>for </w:t>
      </w:r>
      <w:r>
        <w:rPr/>
        <w:t>reinstatement to the student’s program and the Graduate School. This request must </w:t>
      </w:r>
      <w:r>
        <w:rPr>
          <w:spacing w:val="-3"/>
        </w:rPr>
        <w:t>be </w:t>
      </w:r>
      <w:r>
        <w:rPr/>
        <w:t>made in writing and addressed to the program director and the Graduate</w:t>
      </w:r>
      <w:r>
        <w:rPr>
          <w:spacing w:val="-21"/>
        </w:rPr>
        <w:t> </w:t>
      </w:r>
      <w:r>
        <w:rPr/>
        <w:t>School.</w:t>
      </w:r>
    </w:p>
    <w:p>
      <w:pPr>
        <w:pStyle w:val="BodyText"/>
        <w:spacing w:line="249" w:lineRule="auto" w:before="190"/>
        <w:ind w:right="682"/>
      </w:pPr>
      <w:r>
        <w:rPr/>
        <w:t>Depending upon the student’s academic standing at the time of departure and/or the length of departure, the student may be required to reapply and compete with a new entering class. The department is under no obligation to readmit the student. For students reinstated, a reassessment of the relevancy and applicability of prior courses toward the degree may be undertaken. Students in graduate studies in the School of Nursing must comply with its Policy on Students Who Stop-Out.</w:t>
      </w:r>
    </w:p>
    <w:p>
      <w:pPr>
        <w:pStyle w:val="Heading4"/>
        <w:spacing w:before="168"/>
      </w:pPr>
      <w:r>
        <w:rPr/>
        <w:t>Change of Degree Intent</w:t>
      </w:r>
    </w:p>
    <w:p>
      <w:pPr>
        <w:pStyle w:val="BodyText"/>
        <w:spacing w:line="249" w:lineRule="auto" w:before="188"/>
        <w:ind w:right="616"/>
      </w:pPr>
      <w:r>
        <w:rPr/>
        <w:t>An enrolled student who needs </w:t>
      </w:r>
      <w:r>
        <w:rPr>
          <w:spacing w:val="-3"/>
        </w:rPr>
        <w:t>or </w:t>
      </w:r>
      <w:r>
        <w:rPr/>
        <w:t>desires a change </w:t>
      </w:r>
      <w:r>
        <w:rPr>
          <w:spacing w:val="-3"/>
        </w:rPr>
        <w:t>of </w:t>
      </w:r>
      <w:r>
        <w:rPr/>
        <w:t>degree intent (master’s to PhD </w:t>
      </w:r>
      <w:r>
        <w:rPr>
          <w:spacing w:val="-3"/>
        </w:rPr>
        <w:t>or </w:t>
      </w:r>
      <w:r>
        <w:rPr/>
        <w:t>vice versa) must submit a written request to </w:t>
      </w:r>
      <w:r>
        <w:rPr>
          <w:spacing w:val="-3"/>
        </w:rPr>
        <w:t>their </w:t>
      </w:r>
      <w:r>
        <w:rPr/>
        <w:t>advisor and program director. The request should include the reason(s) </w:t>
      </w:r>
      <w:r>
        <w:rPr>
          <w:spacing w:val="-4"/>
        </w:rPr>
        <w:t>for </w:t>
      </w:r>
      <w:r>
        <w:rPr/>
        <w:t>the request and the effective semester </w:t>
      </w:r>
      <w:r>
        <w:rPr>
          <w:spacing w:val="-3"/>
        </w:rPr>
        <w:t>of </w:t>
      </w:r>
      <w:r>
        <w:rPr/>
        <w:t>change. The request must </w:t>
      </w:r>
      <w:r>
        <w:rPr>
          <w:spacing w:val="-3"/>
        </w:rPr>
        <w:t>be </w:t>
      </w:r>
      <w:r>
        <w:rPr/>
        <w:t>approved by the advisor and the program director and forwarded to the Graduate </w:t>
      </w:r>
      <w:r>
        <w:rPr>
          <w:spacing w:val="-3"/>
        </w:rPr>
        <w:t>School </w:t>
      </w:r>
      <w:r>
        <w:rPr/>
        <w:t>for final</w:t>
      </w:r>
      <w:r>
        <w:rPr>
          <w:spacing w:val="4"/>
        </w:rPr>
        <w:t> </w:t>
      </w:r>
      <w:r>
        <w:rPr/>
        <w:t>approval.</w:t>
      </w:r>
    </w:p>
    <w:p>
      <w:pPr>
        <w:pStyle w:val="Heading4"/>
        <w:spacing w:before="164"/>
      </w:pPr>
      <w:r>
        <w:rPr/>
        <w:t>Change of Program</w:t>
      </w:r>
    </w:p>
    <w:p>
      <w:pPr>
        <w:pStyle w:val="BodyText"/>
        <w:spacing w:line="249" w:lineRule="auto" w:before="188"/>
        <w:ind w:right="566"/>
      </w:pPr>
      <w:r>
        <w:rPr/>
        <w:t>An enrolled student who desires to change their program of study within the Graduate School must submit a written</w:t>
      </w:r>
    </w:p>
    <w:p>
      <w:pPr>
        <w:spacing w:after="0" w:line="249" w:lineRule="auto"/>
        <w:sectPr>
          <w:headerReference w:type="default" r:id="rId22"/>
          <w:headerReference w:type="even" r:id="rId23"/>
          <w:pgSz w:w="12240" w:h="15840"/>
          <w:pgMar w:header="746" w:footer="0" w:top="1320" w:bottom="280" w:left="880" w:right="300"/>
          <w:pgNumType w:start="15"/>
          <w:cols w:num="2" w:equalWidth="0">
            <w:col w:w="5005" w:space="482"/>
            <w:col w:w="5573"/>
          </w:cols>
        </w:sectPr>
      </w:pPr>
    </w:p>
    <w:p>
      <w:pPr>
        <w:pStyle w:val="BodyText"/>
        <w:spacing w:line="249" w:lineRule="auto" w:before="100"/>
        <w:ind w:right="27"/>
      </w:pPr>
      <w:r>
        <w:rPr/>
        <w:t>request to the program director of the desired program. The request must include the reason(s) for the request and the effective semester of change. The request also must be copied to the director and advisor from the program the student is leaving and to the Graduate School. In most cases, a new application for admission and supplemental documentation may be required.</w:t>
      </w:r>
    </w:p>
    <w:p>
      <w:pPr>
        <w:pStyle w:val="Heading4"/>
        <w:spacing w:line="228" w:lineRule="auto" w:before="175"/>
        <w:ind w:right="417"/>
      </w:pPr>
      <w:r>
        <w:rPr/>
        <w:t>Undergraduates Taking Graduate Courses for Undergraduate Credit</w:t>
      </w:r>
    </w:p>
    <w:p>
      <w:pPr>
        <w:pStyle w:val="BodyText"/>
        <w:spacing w:line="249" w:lineRule="auto" w:before="190"/>
        <w:ind w:right="55"/>
      </w:pPr>
      <w:r>
        <w:rPr/>
        <w:t>Subject to requirements decided by the program offering the course, undergraduate students may register </w:t>
      </w:r>
      <w:r>
        <w:rPr>
          <w:spacing w:val="-4"/>
        </w:rPr>
        <w:t>for </w:t>
      </w:r>
      <w:r>
        <w:rPr/>
        <w:t>graduate-level courses — i.e., those numbered from 600 to 898 (except 799) — </w:t>
      </w:r>
      <w:r>
        <w:rPr>
          <w:spacing w:val="-4"/>
        </w:rPr>
        <w:t>for </w:t>
      </w:r>
      <w:r>
        <w:rPr/>
        <w:t>undergraduate credit. A student seeking this option normally will </w:t>
      </w:r>
      <w:r>
        <w:rPr>
          <w:spacing w:val="-3"/>
        </w:rPr>
        <w:t>be </w:t>
      </w:r>
      <w:r>
        <w:rPr/>
        <w:t>in their </w:t>
      </w:r>
      <w:r>
        <w:rPr>
          <w:spacing w:val="-3"/>
        </w:rPr>
        <w:t>senior </w:t>
      </w:r>
      <w:r>
        <w:rPr/>
        <w:t>year; have earned an accumulated grade-point average </w:t>
      </w:r>
      <w:r>
        <w:rPr>
          <w:spacing w:val="-3"/>
        </w:rPr>
        <w:t>of </w:t>
      </w:r>
      <w:r>
        <w:rPr/>
        <w:t>3.0; have successfully completed, with a grade </w:t>
      </w:r>
      <w:r>
        <w:rPr>
          <w:spacing w:val="-3"/>
        </w:rPr>
        <w:t>of </w:t>
      </w:r>
      <w:r>
        <w:rPr/>
        <w:t>B </w:t>
      </w:r>
      <w:r>
        <w:rPr>
          <w:spacing w:val="-3"/>
        </w:rPr>
        <w:t>or </w:t>
      </w:r>
      <w:r>
        <w:rPr/>
        <w:t>better, the prerequisite and correlative courses; and </w:t>
      </w:r>
      <w:r>
        <w:rPr>
          <w:spacing w:val="-3"/>
        </w:rPr>
        <w:t>be </w:t>
      </w:r>
      <w:r>
        <w:rPr/>
        <w:t>majoring in an appropriate department. Enrollment in a graduate- </w:t>
      </w:r>
      <w:r>
        <w:rPr>
          <w:spacing w:val="-3"/>
        </w:rPr>
        <w:t>level </w:t>
      </w:r>
      <w:r>
        <w:rPr/>
        <w:t>course does not in any way imply subsequent Graduate </w:t>
      </w:r>
      <w:r>
        <w:rPr>
          <w:spacing w:val="-2"/>
        </w:rPr>
        <w:t>School </w:t>
      </w:r>
      <w:r>
        <w:rPr>
          <w:spacing w:val="-3"/>
        </w:rPr>
        <w:t>or </w:t>
      </w:r>
      <w:r>
        <w:rPr/>
        <w:t>program approval </w:t>
      </w:r>
      <w:r>
        <w:rPr>
          <w:spacing w:val="-4"/>
        </w:rPr>
        <w:t>for </w:t>
      </w:r>
      <w:r>
        <w:rPr/>
        <w:t>credit </w:t>
      </w:r>
      <w:r>
        <w:rPr>
          <w:spacing w:val="-4"/>
        </w:rPr>
        <w:t>for  </w:t>
      </w:r>
      <w:r>
        <w:rPr/>
        <w:t>a graduate degree at the University of Maryland except in relation to approved five-year bachelor’s </w:t>
      </w:r>
      <w:r>
        <w:rPr>
          <w:spacing w:val="-3"/>
        </w:rPr>
        <w:t>or </w:t>
      </w:r>
      <w:r>
        <w:rPr/>
        <w:t>master’s</w:t>
      </w:r>
      <w:r>
        <w:rPr>
          <w:spacing w:val="6"/>
        </w:rPr>
        <w:t> </w:t>
      </w:r>
      <w:r>
        <w:rPr/>
        <w:t>programs.</w:t>
      </w:r>
    </w:p>
    <w:p>
      <w:pPr>
        <w:pStyle w:val="Heading4"/>
        <w:spacing w:line="228" w:lineRule="auto" w:before="180"/>
        <w:ind w:right="417"/>
      </w:pPr>
      <w:r>
        <w:rPr/>
        <w:t>Undergraduates Taking Courses for Graduate Credit</w:t>
      </w:r>
    </w:p>
    <w:p>
      <w:pPr>
        <w:pStyle w:val="BodyText"/>
        <w:spacing w:line="249" w:lineRule="auto" w:before="190"/>
        <w:ind w:right="137"/>
      </w:pPr>
      <w:r>
        <w:rPr/>
        <w:t>UMB undergraduate students who have a grade-point average of at least 3.0 in the discipline in which they wish to take the course, and are within 7 credits of graduation, may register for some 400- to 600-level-and-above</w:t>
      </w:r>
    </w:p>
    <w:p>
      <w:pPr>
        <w:pStyle w:val="BodyText"/>
        <w:spacing w:line="249" w:lineRule="auto" w:before="3"/>
        <w:ind w:right="57"/>
      </w:pPr>
      <w:r>
        <w:rPr/>
        <w:t>courses, which may later count </w:t>
      </w:r>
      <w:r>
        <w:rPr>
          <w:spacing w:val="-4"/>
        </w:rPr>
        <w:t>for </w:t>
      </w:r>
      <w:r>
        <w:rPr>
          <w:spacing w:val="-2"/>
        </w:rPr>
        <w:t>credit </w:t>
      </w:r>
      <w:r>
        <w:rPr/>
        <w:t>toward a graduate degree at </w:t>
      </w:r>
      <w:r>
        <w:rPr>
          <w:spacing w:val="-4"/>
        </w:rPr>
        <w:t>UMB. </w:t>
      </w:r>
      <w:r>
        <w:rPr/>
        <w:t>Except in approved bachelor’s </w:t>
      </w:r>
      <w:r>
        <w:rPr>
          <w:spacing w:val="-3"/>
        </w:rPr>
        <w:t>or </w:t>
      </w:r>
      <w:r>
        <w:rPr/>
        <w:t>master’s programs, the credits must </w:t>
      </w:r>
      <w:r>
        <w:rPr>
          <w:spacing w:val="-3"/>
        </w:rPr>
        <w:t>be </w:t>
      </w:r>
      <w:r>
        <w:rPr/>
        <w:t>beyond those required </w:t>
      </w:r>
      <w:r>
        <w:rPr>
          <w:spacing w:val="-4"/>
        </w:rPr>
        <w:t>for  </w:t>
      </w:r>
      <w:r>
        <w:rPr/>
        <w:t>the student’s undergraduate degree. Credits in the </w:t>
      </w:r>
      <w:r>
        <w:rPr>
          <w:spacing w:val="-3"/>
        </w:rPr>
        <w:t>senior </w:t>
      </w:r>
      <w:r>
        <w:rPr/>
        <w:t>year </w:t>
      </w:r>
      <w:r>
        <w:rPr>
          <w:spacing w:val="-4"/>
        </w:rPr>
        <w:t>over </w:t>
      </w:r>
      <w:r>
        <w:rPr/>
        <w:t>those required </w:t>
      </w:r>
      <w:r>
        <w:rPr>
          <w:spacing w:val="-4"/>
        </w:rPr>
        <w:t>for </w:t>
      </w:r>
      <w:r>
        <w:rPr/>
        <w:t>graduation cannot count </w:t>
      </w:r>
      <w:r>
        <w:rPr>
          <w:spacing w:val="-5"/>
        </w:rPr>
        <w:t>for </w:t>
      </w:r>
      <w:r>
        <w:rPr/>
        <w:t>graduate credit without prior, written approval </w:t>
      </w:r>
      <w:r>
        <w:rPr>
          <w:spacing w:val="-3"/>
        </w:rPr>
        <w:t>of </w:t>
      </w:r>
      <w:r>
        <w:rPr/>
        <w:t>the instructor in the course, the director </w:t>
      </w:r>
      <w:r>
        <w:rPr>
          <w:spacing w:val="-3"/>
        </w:rPr>
        <w:t>of </w:t>
      </w:r>
      <w:r>
        <w:rPr/>
        <w:t>the respective graduate program, and the Graduate </w:t>
      </w:r>
      <w:r>
        <w:rPr>
          <w:spacing w:val="-3"/>
        </w:rPr>
        <w:t>School</w:t>
      </w:r>
      <w:r>
        <w:rPr>
          <w:spacing w:val="-2"/>
        </w:rPr>
        <w:t> </w:t>
      </w:r>
      <w:r>
        <w:rPr/>
        <w:t>dean.</w:t>
      </w:r>
    </w:p>
    <w:p>
      <w:pPr>
        <w:pStyle w:val="Heading4"/>
        <w:spacing w:before="166"/>
      </w:pPr>
      <w:r>
        <w:rPr/>
        <w:t>Grades</w:t>
      </w:r>
    </w:p>
    <w:p>
      <w:pPr>
        <w:pStyle w:val="BodyText"/>
        <w:spacing w:line="249" w:lineRule="auto" w:before="188"/>
        <w:ind w:right="27"/>
      </w:pPr>
      <w:r>
        <w:rPr/>
        <w:t>The Graduate </w:t>
      </w:r>
      <w:r>
        <w:rPr>
          <w:spacing w:val="-2"/>
        </w:rPr>
        <w:t>School </w:t>
      </w:r>
      <w:r>
        <w:rPr/>
        <w:t>permits instructors to assign final grades using the “plus </w:t>
      </w:r>
      <w:r>
        <w:rPr>
          <w:spacing w:val="-3"/>
        </w:rPr>
        <w:t>or </w:t>
      </w:r>
      <w:r>
        <w:rPr/>
        <w:t>minus” grading </w:t>
      </w:r>
      <w:r>
        <w:rPr>
          <w:spacing w:val="-3"/>
        </w:rPr>
        <w:t>system. </w:t>
      </w:r>
      <w:r>
        <w:rPr/>
        <w:t>The available letter grades and corresponding quality point values used </w:t>
      </w:r>
      <w:r>
        <w:rPr>
          <w:spacing w:val="-4"/>
        </w:rPr>
        <w:t>for </w:t>
      </w:r>
      <w:r>
        <w:rPr/>
        <w:t>grade-point average calculations are as follows:</w:t>
      </w:r>
    </w:p>
    <w:p>
      <w:pPr>
        <w:pStyle w:val="BodyText"/>
        <w:spacing w:before="3"/>
        <w:ind w:left="0"/>
        <w:rPr>
          <w:sz w:val="14"/>
        </w:rPr>
      </w:pPr>
      <w:r>
        <w:rPr/>
        <w:br w:type="column"/>
      </w:r>
      <w:r>
        <w:rPr>
          <w:sz w:val="14"/>
        </w:rPr>
      </w: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5"/>
        <w:gridCol w:w="1514"/>
      </w:tblGrid>
      <w:tr>
        <w:trPr>
          <w:trHeight w:val="289" w:hRule="atLeast"/>
        </w:trPr>
        <w:tc>
          <w:tcPr>
            <w:tcW w:w="1415" w:type="dxa"/>
          </w:tcPr>
          <w:p>
            <w:pPr>
              <w:pStyle w:val="TableParagraph"/>
              <w:spacing w:line="223" w:lineRule="exact" w:before="0"/>
              <w:ind w:left="200"/>
              <w:rPr>
                <w:sz w:val="20"/>
              </w:rPr>
            </w:pPr>
            <w:r>
              <w:rPr>
                <w:w w:val="100"/>
                <w:sz w:val="20"/>
              </w:rPr>
              <w:t>A</w:t>
            </w:r>
          </w:p>
        </w:tc>
        <w:tc>
          <w:tcPr>
            <w:tcW w:w="1514" w:type="dxa"/>
          </w:tcPr>
          <w:p>
            <w:pPr>
              <w:pStyle w:val="TableParagraph"/>
              <w:spacing w:line="223" w:lineRule="exact" w:before="0"/>
              <w:ind w:right="197"/>
              <w:jc w:val="right"/>
              <w:rPr>
                <w:sz w:val="20"/>
              </w:rPr>
            </w:pPr>
            <w:r>
              <w:rPr>
                <w:sz w:val="20"/>
              </w:rPr>
              <w:t>4.00</w:t>
            </w:r>
          </w:p>
        </w:tc>
      </w:tr>
      <w:tr>
        <w:trPr>
          <w:trHeight w:val="355" w:hRule="atLeast"/>
        </w:trPr>
        <w:tc>
          <w:tcPr>
            <w:tcW w:w="1415" w:type="dxa"/>
          </w:tcPr>
          <w:p>
            <w:pPr>
              <w:pStyle w:val="TableParagraph"/>
              <w:spacing w:before="59"/>
              <w:ind w:left="200"/>
              <w:rPr>
                <w:sz w:val="20"/>
              </w:rPr>
            </w:pPr>
            <w:r>
              <w:rPr>
                <w:sz w:val="20"/>
              </w:rPr>
              <w:t>A-</w:t>
            </w:r>
          </w:p>
        </w:tc>
        <w:tc>
          <w:tcPr>
            <w:tcW w:w="1514" w:type="dxa"/>
          </w:tcPr>
          <w:p>
            <w:pPr>
              <w:pStyle w:val="TableParagraph"/>
              <w:spacing w:before="59"/>
              <w:ind w:right="197"/>
              <w:jc w:val="right"/>
              <w:rPr>
                <w:sz w:val="20"/>
              </w:rPr>
            </w:pPr>
            <w:r>
              <w:rPr>
                <w:sz w:val="20"/>
              </w:rPr>
              <w:t>3.67</w:t>
            </w:r>
          </w:p>
        </w:tc>
      </w:tr>
      <w:tr>
        <w:trPr>
          <w:trHeight w:val="355" w:hRule="atLeast"/>
        </w:trPr>
        <w:tc>
          <w:tcPr>
            <w:tcW w:w="1415" w:type="dxa"/>
          </w:tcPr>
          <w:p>
            <w:pPr>
              <w:pStyle w:val="TableParagraph"/>
              <w:spacing w:before="59"/>
              <w:ind w:left="200"/>
              <w:rPr>
                <w:sz w:val="20"/>
              </w:rPr>
            </w:pPr>
            <w:r>
              <w:rPr>
                <w:sz w:val="20"/>
              </w:rPr>
              <w:t>B+</w:t>
            </w:r>
          </w:p>
        </w:tc>
        <w:tc>
          <w:tcPr>
            <w:tcW w:w="1514" w:type="dxa"/>
          </w:tcPr>
          <w:p>
            <w:pPr>
              <w:pStyle w:val="TableParagraph"/>
              <w:spacing w:before="59"/>
              <w:ind w:right="197"/>
              <w:jc w:val="right"/>
              <w:rPr>
                <w:sz w:val="20"/>
              </w:rPr>
            </w:pPr>
            <w:r>
              <w:rPr>
                <w:sz w:val="20"/>
              </w:rPr>
              <w:t>3.33</w:t>
            </w:r>
          </w:p>
        </w:tc>
      </w:tr>
      <w:tr>
        <w:trPr>
          <w:trHeight w:val="357" w:hRule="atLeast"/>
        </w:trPr>
        <w:tc>
          <w:tcPr>
            <w:tcW w:w="1415" w:type="dxa"/>
          </w:tcPr>
          <w:p>
            <w:pPr>
              <w:pStyle w:val="TableParagraph"/>
              <w:spacing w:before="59"/>
              <w:ind w:left="200"/>
              <w:rPr>
                <w:sz w:val="20"/>
              </w:rPr>
            </w:pPr>
            <w:r>
              <w:rPr>
                <w:w w:val="100"/>
                <w:sz w:val="20"/>
              </w:rPr>
              <w:t>B</w:t>
            </w:r>
          </w:p>
        </w:tc>
        <w:tc>
          <w:tcPr>
            <w:tcW w:w="1514" w:type="dxa"/>
          </w:tcPr>
          <w:p>
            <w:pPr>
              <w:pStyle w:val="TableParagraph"/>
              <w:spacing w:before="59"/>
              <w:ind w:right="197"/>
              <w:jc w:val="right"/>
              <w:rPr>
                <w:sz w:val="20"/>
              </w:rPr>
            </w:pPr>
            <w:r>
              <w:rPr>
                <w:sz w:val="20"/>
              </w:rPr>
              <w:t>3.00</w:t>
            </w:r>
          </w:p>
        </w:tc>
      </w:tr>
      <w:tr>
        <w:trPr>
          <w:trHeight w:val="357" w:hRule="atLeast"/>
        </w:trPr>
        <w:tc>
          <w:tcPr>
            <w:tcW w:w="1415" w:type="dxa"/>
          </w:tcPr>
          <w:p>
            <w:pPr>
              <w:pStyle w:val="TableParagraph"/>
              <w:spacing w:before="61"/>
              <w:ind w:left="200"/>
              <w:rPr>
                <w:sz w:val="20"/>
              </w:rPr>
            </w:pPr>
            <w:r>
              <w:rPr>
                <w:sz w:val="20"/>
              </w:rPr>
              <w:t>B-</w:t>
            </w:r>
          </w:p>
        </w:tc>
        <w:tc>
          <w:tcPr>
            <w:tcW w:w="1514" w:type="dxa"/>
          </w:tcPr>
          <w:p>
            <w:pPr>
              <w:pStyle w:val="TableParagraph"/>
              <w:spacing w:before="61"/>
              <w:ind w:right="197"/>
              <w:jc w:val="right"/>
              <w:rPr>
                <w:sz w:val="20"/>
              </w:rPr>
            </w:pPr>
            <w:r>
              <w:rPr>
                <w:sz w:val="20"/>
              </w:rPr>
              <w:t>2.67</w:t>
            </w:r>
          </w:p>
        </w:tc>
      </w:tr>
      <w:tr>
        <w:trPr>
          <w:trHeight w:val="355" w:hRule="atLeast"/>
        </w:trPr>
        <w:tc>
          <w:tcPr>
            <w:tcW w:w="1415" w:type="dxa"/>
          </w:tcPr>
          <w:p>
            <w:pPr>
              <w:pStyle w:val="TableParagraph"/>
              <w:spacing w:before="59"/>
              <w:ind w:left="200"/>
              <w:rPr>
                <w:sz w:val="20"/>
              </w:rPr>
            </w:pPr>
            <w:r>
              <w:rPr>
                <w:sz w:val="20"/>
              </w:rPr>
              <w:t>C+</w:t>
            </w:r>
          </w:p>
        </w:tc>
        <w:tc>
          <w:tcPr>
            <w:tcW w:w="1514" w:type="dxa"/>
          </w:tcPr>
          <w:p>
            <w:pPr>
              <w:pStyle w:val="TableParagraph"/>
              <w:spacing w:before="59"/>
              <w:ind w:right="197"/>
              <w:jc w:val="right"/>
              <w:rPr>
                <w:sz w:val="20"/>
              </w:rPr>
            </w:pPr>
            <w:r>
              <w:rPr>
                <w:sz w:val="20"/>
              </w:rPr>
              <w:t>2.33</w:t>
            </w:r>
          </w:p>
        </w:tc>
      </w:tr>
      <w:tr>
        <w:trPr>
          <w:trHeight w:val="355" w:hRule="atLeast"/>
        </w:trPr>
        <w:tc>
          <w:tcPr>
            <w:tcW w:w="1415" w:type="dxa"/>
          </w:tcPr>
          <w:p>
            <w:pPr>
              <w:pStyle w:val="TableParagraph"/>
              <w:spacing w:before="59"/>
              <w:ind w:left="200"/>
              <w:rPr>
                <w:sz w:val="20"/>
              </w:rPr>
            </w:pPr>
            <w:r>
              <w:rPr>
                <w:w w:val="100"/>
                <w:sz w:val="20"/>
              </w:rPr>
              <w:t>C</w:t>
            </w:r>
          </w:p>
        </w:tc>
        <w:tc>
          <w:tcPr>
            <w:tcW w:w="1514" w:type="dxa"/>
          </w:tcPr>
          <w:p>
            <w:pPr>
              <w:pStyle w:val="TableParagraph"/>
              <w:spacing w:before="59"/>
              <w:ind w:right="197"/>
              <w:jc w:val="right"/>
              <w:rPr>
                <w:sz w:val="20"/>
              </w:rPr>
            </w:pPr>
            <w:r>
              <w:rPr>
                <w:sz w:val="20"/>
              </w:rPr>
              <w:t>2.00</w:t>
            </w:r>
          </w:p>
        </w:tc>
      </w:tr>
      <w:tr>
        <w:trPr>
          <w:trHeight w:val="355" w:hRule="atLeast"/>
        </w:trPr>
        <w:tc>
          <w:tcPr>
            <w:tcW w:w="1415" w:type="dxa"/>
          </w:tcPr>
          <w:p>
            <w:pPr>
              <w:pStyle w:val="TableParagraph"/>
              <w:spacing w:before="59"/>
              <w:ind w:left="200"/>
              <w:rPr>
                <w:sz w:val="20"/>
              </w:rPr>
            </w:pPr>
            <w:r>
              <w:rPr>
                <w:sz w:val="20"/>
              </w:rPr>
              <w:t>C-</w:t>
            </w:r>
          </w:p>
        </w:tc>
        <w:tc>
          <w:tcPr>
            <w:tcW w:w="1514" w:type="dxa"/>
          </w:tcPr>
          <w:p>
            <w:pPr>
              <w:pStyle w:val="TableParagraph"/>
              <w:spacing w:before="59"/>
              <w:ind w:right="197"/>
              <w:jc w:val="right"/>
              <w:rPr>
                <w:sz w:val="20"/>
              </w:rPr>
            </w:pPr>
            <w:r>
              <w:rPr>
                <w:sz w:val="20"/>
              </w:rPr>
              <w:t>1.67</w:t>
            </w:r>
          </w:p>
        </w:tc>
      </w:tr>
      <w:tr>
        <w:trPr>
          <w:trHeight w:val="355" w:hRule="atLeast"/>
        </w:trPr>
        <w:tc>
          <w:tcPr>
            <w:tcW w:w="1415" w:type="dxa"/>
          </w:tcPr>
          <w:p>
            <w:pPr>
              <w:pStyle w:val="TableParagraph"/>
              <w:spacing w:before="59"/>
              <w:ind w:left="200"/>
              <w:rPr>
                <w:sz w:val="20"/>
              </w:rPr>
            </w:pPr>
            <w:r>
              <w:rPr>
                <w:sz w:val="20"/>
              </w:rPr>
              <w:t>D+</w:t>
            </w:r>
          </w:p>
        </w:tc>
        <w:tc>
          <w:tcPr>
            <w:tcW w:w="1514" w:type="dxa"/>
          </w:tcPr>
          <w:p>
            <w:pPr>
              <w:pStyle w:val="TableParagraph"/>
              <w:spacing w:before="59"/>
              <w:ind w:right="197"/>
              <w:jc w:val="right"/>
              <w:rPr>
                <w:sz w:val="20"/>
              </w:rPr>
            </w:pPr>
            <w:r>
              <w:rPr>
                <w:sz w:val="20"/>
              </w:rPr>
              <w:t>1.33</w:t>
            </w:r>
          </w:p>
        </w:tc>
      </w:tr>
      <w:tr>
        <w:trPr>
          <w:trHeight w:val="357" w:hRule="atLeast"/>
        </w:trPr>
        <w:tc>
          <w:tcPr>
            <w:tcW w:w="1415" w:type="dxa"/>
          </w:tcPr>
          <w:p>
            <w:pPr>
              <w:pStyle w:val="TableParagraph"/>
              <w:spacing w:before="59"/>
              <w:ind w:left="200"/>
              <w:rPr>
                <w:sz w:val="20"/>
              </w:rPr>
            </w:pPr>
            <w:r>
              <w:rPr>
                <w:w w:val="100"/>
                <w:sz w:val="20"/>
              </w:rPr>
              <w:t>D</w:t>
            </w:r>
          </w:p>
        </w:tc>
        <w:tc>
          <w:tcPr>
            <w:tcW w:w="1514" w:type="dxa"/>
          </w:tcPr>
          <w:p>
            <w:pPr>
              <w:pStyle w:val="TableParagraph"/>
              <w:spacing w:before="59"/>
              <w:ind w:right="197"/>
              <w:jc w:val="right"/>
              <w:rPr>
                <w:sz w:val="20"/>
              </w:rPr>
            </w:pPr>
            <w:r>
              <w:rPr>
                <w:sz w:val="20"/>
              </w:rPr>
              <w:t>1.00</w:t>
            </w:r>
          </w:p>
        </w:tc>
      </w:tr>
      <w:tr>
        <w:trPr>
          <w:trHeight w:val="357" w:hRule="atLeast"/>
        </w:trPr>
        <w:tc>
          <w:tcPr>
            <w:tcW w:w="1415" w:type="dxa"/>
          </w:tcPr>
          <w:p>
            <w:pPr>
              <w:pStyle w:val="TableParagraph"/>
              <w:spacing w:before="61"/>
              <w:ind w:left="200"/>
              <w:rPr>
                <w:sz w:val="20"/>
              </w:rPr>
            </w:pPr>
            <w:r>
              <w:rPr>
                <w:sz w:val="20"/>
              </w:rPr>
              <w:t>D-</w:t>
            </w:r>
          </w:p>
        </w:tc>
        <w:tc>
          <w:tcPr>
            <w:tcW w:w="1514" w:type="dxa"/>
          </w:tcPr>
          <w:p>
            <w:pPr>
              <w:pStyle w:val="TableParagraph"/>
              <w:spacing w:before="61"/>
              <w:ind w:right="197"/>
              <w:jc w:val="right"/>
              <w:rPr>
                <w:sz w:val="20"/>
              </w:rPr>
            </w:pPr>
            <w:r>
              <w:rPr>
                <w:sz w:val="20"/>
              </w:rPr>
              <w:t>0.67</w:t>
            </w:r>
          </w:p>
        </w:tc>
      </w:tr>
      <w:tr>
        <w:trPr>
          <w:trHeight w:val="289" w:hRule="atLeast"/>
        </w:trPr>
        <w:tc>
          <w:tcPr>
            <w:tcW w:w="1415" w:type="dxa"/>
          </w:tcPr>
          <w:p>
            <w:pPr>
              <w:pStyle w:val="TableParagraph"/>
              <w:spacing w:line="210" w:lineRule="exact" w:before="59"/>
              <w:ind w:left="200"/>
              <w:rPr>
                <w:sz w:val="20"/>
              </w:rPr>
            </w:pPr>
            <w:r>
              <w:rPr>
                <w:w w:val="100"/>
                <w:sz w:val="20"/>
              </w:rPr>
              <w:t>F</w:t>
            </w:r>
          </w:p>
        </w:tc>
        <w:tc>
          <w:tcPr>
            <w:tcW w:w="1514" w:type="dxa"/>
          </w:tcPr>
          <w:p>
            <w:pPr>
              <w:pStyle w:val="TableParagraph"/>
              <w:spacing w:line="210" w:lineRule="exact" w:before="59"/>
              <w:ind w:right="197"/>
              <w:jc w:val="right"/>
              <w:rPr>
                <w:sz w:val="20"/>
              </w:rPr>
            </w:pPr>
            <w:r>
              <w:rPr>
                <w:sz w:val="20"/>
              </w:rPr>
              <w:t>0.00</w:t>
            </w:r>
          </w:p>
        </w:tc>
      </w:tr>
    </w:tbl>
    <w:p>
      <w:pPr>
        <w:pStyle w:val="BodyText"/>
        <w:spacing w:before="3"/>
        <w:ind w:left="0"/>
        <w:rPr>
          <w:sz w:val="21"/>
        </w:rPr>
      </w:pPr>
    </w:p>
    <w:p>
      <w:pPr>
        <w:pStyle w:val="BodyText"/>
        <w:spacing w:line="249" w:lineRule="auto" w:before="0"/>
        <w:ind w:right="715"/>
      </w:pPr>
      <w:r>
        <w:rPr/>
        <w:t>All graduate students must have a cumulative GPA of 3.0 or better to remain in good academic standing and to graduate. If no grade is given to a student, the student automatically receives a No Mark (NM) on their record at the end of the term.</w:t>
      </w:r>
    </w:p>
    <w:p>
      <w:pPr>
        <w:pStyle w:val="BodyText"/>
        <w:spacing w:line="249" w:lineRule="auto" w:before="186"/>
        <w:ind w:right="727"/>
      </w:pPr>
      <w:r>
        <w:rPr/>
        <w:t>The NM remains on the record until a final letter grade is submitted. All No Marks and Incompletes on a student’s record must be reconciled (i.e., given the appropriate terminal grade) before the student graduates. Since graduate students must maintain an overall B grade-point average (a B- average does not constitute satisfactory academic progress), every credit hour of C in coursework must be balanced by a credit hour of A. However, a grade of A in master’s thesis or doctoral dissertation research will not balance a grade of C in a course.</w:t>
      </w:r>
    </w:p>
    <w:p>
      <w:pPr>
        <w:pStyle w:val="Heading4"/>
        <w:spacing w:before="168"/>
      </w:pPr>
      <w:r>
        <w:rPr/>
        <w:t>Repeating a Course</w:t>
      </w:r>
    </w:p>
    <w:p>
      <w:pPr>
        <w:pStyle w:val="BodyText"/>
        <w:spacing w:line="249" w:lineRule="auto" w:before="188"/>
        <w:ind w:right="609"/>
      </w:pPr>
      <w:r>
        <w:rPr/>
        <w:t>Students must repeat courses in their designated degree program in which they receive a D or F. No student may graduate with an unresolved or unrepeated F on the record. Students who earn a grade lower than a B may repeat the course. The grade on any repeated course, whether it is higher or lower than the original grade, takes the place of the original grade. Students may repeat a course only once, unless the course has been designated or approved as a multiple repeat course for degree completion (e.g., lab rotations, special topics, thesis/dissertation registrations).</w:t>
      </w:r>
    </w:p>
    <w:p>
      <w:pPr>
        <w:pStyle w:val="Heading4"/>
        <w:spacing w:before="167"/>
      </w:pPr>
      <w:r>
        <w:rPr/>
        <w:t>Pass/Fail</w:t>
      </w:r>
    </w:p>
    <w:p>
      <w:pPr>
        <w:pStyle w:val="BodyText"/>
        <w:spacing w:line="249" w:lineRule="auto" w:before="188"/>
        <w:ind w:right="625"/>
      </w:pPr>
      <w:r>
        <w:rPr/>
        <w:t>Programs may use a Pass/Fail (P/F) grading system at their discretion for independent field work, special projects, independent study, seminars, workshops, and departmental</w:t>
      </w:r>
    </w:p>
    <w:p>
      <w:pPr>
        <w:spacing w:after="0" w:line="249" w:lineRule="auto"/>
        <w:sectPr>
          <w:pgSz w:w="12240" w:h="15840"/>
          <w:pgMar w:header="746" w:footer="0" w:top="1320" w:bottom="280" w:left="880" w:right="300"/>
          <w:cols w:num="2" w:equalWidth="0">
            <w:col w:w="5001" w:space="486"/>
            <w:col w:w="5573"/>
          </w:cols>
        </w:sectPr>
      </w:pPr>
    </w:p>
    <w:p>
      <w:pPr>
        <w:pStyle w:val="BodyText"/>
        <w:spacing w:before="100"/>
      </w:pPr>
      <w:r>
        <w:rPr/>
        <w:t>courses in instructional methods.</w:t>
      </w:r>
    </w:p>
    <w:p>
      <w:pPr>
        <w:pStyle w:val="Heading4"/>
        <w:spacing w:before="169"/>
      </w:pPr>
      <w:r>
        <w:rPr/>
        <w:t>Audit</w:t>
      </w:r>
    </w:p>
    <w:p>
      <w:pPr>
        <w:pStyle w:val="BodyText"/>
        <w:spacing w:line="249" w:lineRule="auto" w:before="188"/>
        <w:ind w:right="68"/>
      </w:pPr>
      <w:r>
        <w:rPr/>
        <w:t>Courses taken for Audit (AU) do not count toward the minimum credit requirement for degree or postbaccalaureate certificate completion. Charges for audit courses are the same as credit courses, except for ABGA courses.</w:t>
      </w:r>
    </w:p>
    <w:p>
      <w:pPr>
        <w:pStyle w:val="Heading4"/>
        <w:spacing w:before="163"/>
      </w:pPr>
      <w:r>
        <w:rPr/>
        <w:t>Changes to Grade Method</w:t>
      </w:r>
    </w:p>
    <w:p>
      <w:pPr>
        <w:pStyle w:val="BodyText"/>
        <w:spacing w:line="249" w:lineRule="auto" w:before="188"/>
      </w:pPr>
      <w:r>
        <w:rPr/>
        <w:t>Changes to the method used for a student’s final course grade (i.e., letter grade to pass/fail or letter grade to audit) may not be made after the last day to drop a course (end of Week 8) for the term.</w:t>
      </w:r>
    </w:p>
    <w:p>
      <w:pPr>
        <w:pStyle w:val="Heading4"/>
        <w:spacing w:line="228" w:lineRule="auto" w:before="172"/>
        <w:ind w:right="122"/>
      </w:pPr>
      <w:r>
        <w:rPr/>
        <w:t>Temporary and Final Grades (Incompletes and No Marks)</w:t>
      </w:r>
    </w:p>
    <w:p>
      <w:pPr>
        <w:pStyle w:val="BodyText"/>
        <w:spacing w:line="249" w:lineRule="auto" w:before="191"/>
        <w:ind w:right="22"/>
      </w:pPr>
      <w:r>
        <w:rPr/>
        <w:t>Students should complete all the requirements of graduate coursework during the semester in which they take the course. The graduate faculty should issue final grades by the date listed on the final report of grades. No student may graduate with an Incomplete (I), No Mark (NM), or failing grade (F) in courses required for their degree program.</w:t>
      </w:r>
    </w:p>
    <w:p>
      <w:pPr>
        <w:pStyle w:val="Heading4"/>
        <w:spacing w:before="163"/>
      </w:pPr>
      <w:r>
        <w:rPr/>
        <w:t>Incomplete Grades</w:t>
      </w:r>
    </w:p>
    <w:p>
      <w:pPr>
        <w:pStyle w:val="BodyText"/>
        <w:spacing w:line="249" w:lineRule="auto" w:before="188"/>
        <w:ind w:right="122"/>
      </w:pPr>
      <w:r>
        <w:rPr/>
        <w:t>An Incomplete grade (I) is appropriate (i.e., may be assigned by the instructor) when a student has an unexpected inability to complete a final assignment in a class. Students should not re-register for a course when an Incomplete has been assigned.</w:t>
      </w:r>
    </w:p>
    <w:p>
      <w:pPr>
        <w:pStyle w:val="BodyText"/>
        <w:spacing w:line="249" w:lineRule="auto" w:before="182"/>
        <w:ind w:right="106"/>
      </w:pPr>
      <w:r>
        <w:rPr/>
        <w:t>The student and the instructor/faculty member should create and sign a contract that facilitates completion of the outstanding assignment(s). Graduate faculty must change Incomplete (I) grades to final letter grades for all courses required for the degree.</w:t>
      </w:r>
    </w:p>
    <w:p>
      <w:pPr>
        <w:pStyle w:val="BodyText"/>
        <w:spacing w:line="249" w:lineRule="auto" w:before="186"/>
        <w:ind w:right="28"/>
      </w:pPr>
      <w:r>
        <w:rPr/>
        <w:t>They must assign letter grades within one academic year of the time at which the required course ended. This policy does not apply to the 799 and 899 research grades, where the graduate faculty may assign letter grades, Pass/Fail (P/F) grades, or Incomplete grades. Incomplete grades should be replaced by appropriate terminal grades before the examining committee approves the applicable research.</w:t>
      </w:r>
    </w:p>
    <w:p>
      <w:pPr>
        <w:pStyle w:val="Heading4"/>
        <w:spacing w:before="165"/>
      </w:pPr>
      <w:r>
        <w:rPr/>
        <w:t>No Mark Grades</w:t>
      </w:r>
    </w:p>
    <w:p>
      <w:pPr>
        <w:pStyle w:val="BodyText"/>
        <w:spacing w:line="249" w:lineRule="auto" w:before="188"/>
        <w:ind w:right="39"/>
      </w:pPr>
      <w:r>
        <w:rPr/>
        <w:t>A No Mark grade (NM) is put in place opposite courses in which no final grade has been posted (i.e., when a faculty member is unable to submit a grade by the grade deadline). Students should not re-register for a course when a No Mark has been assigned except in the case of lab rotations</w:t>
      </w:r>
    </w:p>
    <w:p>
      <w:pPr>
        <w:pStyle w:val="BodyText"/>
        <w:spacing w:before="99"/>
      </w:pPr>
      <w:r>
        <w:rPr/>
        <w:br w:type="column"/>
      </w:r>
      <w:r>
        <w:rPr/>
        <w:t>and thesis/dissertation research.</w:t>
      </w:r>
    </w:p>
    <w:p>
      <w:pPr>
        <w:pStyle w:val="Heading4"/>
        <w:spacing w:before="170"/>
      </w:pPr>
      <w:r>
        <w:rPr/>
        <w:t>Appeal of Grade</w:t>
      </w:r>
    </w:p>
    <w:p>
      <w:pPr>
        <w:pStyle w:val="BodyText"/>
        <w:spacing w:line="249" w:lineRule="auto" w:before="188"/>
        <w:ind w:right="739"/>
      </w:pPr>
      <w:r>
        <w:rPr/>
        <w:t>A student who thinks that a final grade in a course is the result of arbitrary or capricious grading may appeal to the Graduate School dean. The procedural guidelines for handling allegations of arbitrary and capricious grading appear in the Policies section of this catalog.</w:t>
      </w:r>
    </w:p>
    <w:p>
      <w:pPr>
        <w:pStyle w:val="Heading4"/>
        <w:spacing w:before="163"/>
      </w:pPr>
      <w:r>
        <w:rPr/>
        <w:t>Credit by Examination</w:t>
      </w:r>
    </w:p>
    <w:p>
      <w:pPr>
        <w:pStyle w:val="BodyText"/>
        <w:spacing w:line="249" w:lineRule="auto" w:before="188"/>
        <w:ind w:right="600"/>
      </w:pPr>
      <w:r>
        <w:rPr/>
        <w:t>A graduate student may obtain graduate </w:t>
      </w:r>
      <w:r>
        <w:rPr>
          <w:spacing w:val="-2"/>
        </w:rPr>
        <w:t>credit </w:t>
      </w:r>
      <w:r>
        <w:rPr/>
        <w:t>by examination in courses at the 400 </w:t>
      </w:r>
      <w:r>
        <w:rPr>
          <w:spacing w:val="-3"/>
        </w:rPr>
        <w:t>level </w:t>
      </w:r>
      <w:r>
        <w:rPr/>
        <w:t>previously identified as acceptable by the appropriate program. Generally, credit by examination is not available </w:t>
      </w:r>
      <w:r>
        <w:rPr>
          <w:spacing w:val="-4"/>
        </w:rPr>
        <w:t>for </w:t>
      </w:r>
      <w:r>
        <w:rPr/>
        <w:t>courses at the 600, 700, </w:t>
      </w:r>
      <w:r>
        <w:rPr>
          <w:spacing w:val="-5"/>
        </w:rPr>
        <w:t>or </w:t>
      </w:r>
      <w:r>
        <w:rPr/>
        <w:t>800 levels for courses that, in the judgment </w:t>
      </w:r>
      <w:r>
        <w:rPr>
          <w:spacing w:val="-3"/>
        </w:rPr>
        <w:t>of </w:t>
      </w:r>
      <w:r>
        <w:rPr/>
        <w:t>the Graduate Council, require a continuing interaction </w:t>
      </w:r>
      <w:r>
        <w:rPr>
          <w:spacing w:val="-3"/>
        </w:rPr>
        <w:t>between </w:t>
      </w:r>
      <w:r>
        <w:rPr/>
        <w:t>faculty and students to achieve the educational goals </w:t>
      </w:r>
      <w:r>
        <w:rPr>
          <w:spacing w:val="-3"/>
        </w:rPr>
        <w:t>of </w:t>
      </w:r>
      <w:r>
        <w:rPr/>
        <w:t>advanced study. Students may receive credit by examination only for a course in which they are otherwise eligible to receive graduate credit. Programs may establish limits </w:t>
      </w:r>
      <w:r>
        <w:rPr>
          <w:spacing w:val="-5"/>
        </w:rPr>
        <w:t>on </w:t>
      </w:r>
      <w:r>
        <w:rPr/>
        <w:t>the number </w:t>
      </w:r>
      <w:r>
        <w:rPr>
          <w:spacing w:val="-3"/>
        </w:rPr>
        <w:t>of </w:t>
      </w:r>
      <w:r>
        <w:rPr/>
        <w:t>credits students may earn through credit by examination. Graduate students seeking this </w:t>
      </w:r>
      <w:r>
        <w:rPr>
          <w:spacing w:val="-3"/>
        </w:rPr>
        <w:t>option </w:t>
      </w:r>
      <w:r>
        <w:rPr/>
        <w:t>must </w:t>
      </w:r>
      <w:r>
        <w:rPr>
          <w:spacing w:val="-2"/>
        </w:rPr>
        <w:t>obtain </w:t>
      </w:r>
      <w:r>
        <w:rPr/>
        <w:t>the consent </w:t>
      </w:r>
      <w:r>
        <w:rPr>
          <w:spacing w:val="-3"/>
        </w:rPr>
        <w:t>of </w:t>
      </w:r>
      <w:r>
        <w:rPr/>
        <w:t>their advisors. The fee for each examination is equivalent to the </w:t>
      </w:r>
      <w:r>
        <w:rPr>
          <w:spacing w:val="-3"/>
        </w:rPr>
        <w:t>cost of </w:t>
      </w:r>
      <w:r>
        <w:rPr/>
        <w:t>graduate tuition </w:t>
      </w:r>
      <w:r>
        <w:rPr>
          <w:spacing w:val="-4"/>
        </w:rPr>
        <w:t>for </w:t>
      </w:r>
      <w:r>
        <w:rPr/>
        <w:t>1 credit. Students must pay the nonrefundable </w:t>
      </w:r>
      <w:r>
        <w:rPr>
          <w:spacing w:val="-3"/>
        </w:rPr>
        <w:t>fee </w:t>
      </w:r>
      <w:r>
        <w:rPr/>
        <w:t>upon application </w:t>
      </w:r>
      <w:r>
        <w:rPr>
          <w:spacing w:val="-4"/>
        </w:rPr>
        <w:t>for </w:t>
      </w:r>
      <w:r>
        <w:rPr/>
        <w:t>the</w:t>
      </w:r>
      <w:r>
        <w:rPr>
          <w:spacing w:val="12"/>
        </w:rPr>
        <w:t> </w:t>
      </w:r>
      <w:r>
        <w:rPr/>
        <w:t>examination.</w:t>
      </w:r>
    </w:p>
    <w:p>
      <w:pPr>
        <w:pStyle w:val="Heading4"/>
        <w:spacing w:before="172"/>
      </w:pPr>
      <w:r>
        <w:rPr/>
        <w:t>Academic Record (Transcript)</w:t>
      </w:r>
    </w:p>
    <w:p>
      <w:pPr>
        <w:pStyle w:val="BodyText"/>
        <w:spacing w:line="249" w:lineRule="auto" w:before="188"/>
        <w:ind w:right="612"/>
      </w:pPr>
      <w:r>
        <w:rPr/>
        <w:t>A graduate student’s academic record (transcript) serves as a complete, official history of their academic progress at the University of Maryland, Baltimore. As </w:t>
      </w:r>
      <w:r>
        <w:rPr>
          <w:spacing w:val="-3"/>
        </w:rPr>
        <w:t>such, </w:t>
      </w:r>
      <w:r>
        <w:rPr/>
        <w:t>it will not change except in accordance </w:t>
      </w:r>
      <w:r>
        <w:rPr>
          <w:spacing w:val="-3"/>
        </w:rPr>
        <w:t>with </w:t>
      </w:r>
      <w:r>
        <w:rPr/>
        <w:t>stated Graduate </w:t>
      </w:r>
      <w:r>
        <w:rPr>
          <w:spacing w:val="-2"/>
        </w:rPr>
        <w:t>School </w:t>
      </w:r>
      <w:r>
        <w:rPr/>
        <w:t>policies. Under no circumstances will the academic records change because of dissatisfaction </w:t>
      </w:r>
      <w:r>
        <w:rPr>
          <w:spacing w:val="-3"/>
        </w:rPr>
        <w:t>with </w:t>
      </w:r>
      <w:r>
        <w:rPr/>
        <w:t>a grade </w:t>
      </w:r>
      <w:r>
        <w:rPr>
          <w:spacing w:val="-3"/>
        </w:rPr>
        <w:t>or </w:t>
      </w:r>
      <w:r>
        <w:rPr/>
        <w:t>other academic</w:t>
      </w:r>
      <w:r>
        <w:rPr>
          <w:spacing w:val="-7"/>
        </w:rPr>
        <w:t> </w:t>
      </w:r>
      <w:r>
        <w:rPr/>
        <w:t>accomplishment.</w:t>
      </w:r>
    </w:p>
    <w:p>
      <w:pPr>
        <w:pStyle w:val="Heading4"/>
        <w:spacing w:before="165"/>
      </w:pPr>
      <w:r>
        <w:rPr/>
        <w:t>Course Numbering System</w:t>
      </w:r>
    </w:p>
    <w:p>
      <w:pPr>
        <w:pStyle w:val="BodyText"/>
        <w:spacing w:before="188"/>
      </w:pPr>
      <w:r>
        <w:rPr/>
        <w:t>Course levels are designated as follows:</w:t>
      </w:r>
    </w:p>
    <w:p>
      <w:pPr>
        <w:pStyle w:val="ListParagraph"/>
        <w:numPr>
          <w:ilvl w:val="1"/>
          <w:numId w:val="3"/>
        </w:numPr>
        <w:tabs>
          <w:tab w:pos="632" w:val="left" w:leader="none"/>
        </w:tabs>
        <w:spacing w:line="249" w:lineRule="auto" w:before="187" w:after="0"/>
        <w:ind w:left="631" w:right="850" w:hanging="216"/>
        <w:jc w:val="left"/>
        <w:rPr>
          <w:sz w:val="20"/>
        </w:rPr>
      </w:pPr>
      <w:r>
        <w:rPr>
          <w:sz w:val="20"/>
        </w:rPr>
        <w:t>100-399: Undergraduate courses not acceptable</w:t>
      </w:r>
      <w:r>
        <w:rPr>
          <w:spacing w:val="-20"/>
          <w:sz w:val="20"/>
        </w:rPr>
        <w:t> </w:t>
      </w:r>
      <w:r>
        <w:rPr>
          <w:sz w:val="20"/>
        </w:rPr>
        <w:t>for credit toward graduate</w:t>
      </w:r>
      <w:r>
        <w:rPr>
          <w:spacing w:val="-5"/>
          <w:sz w:val="20"/>
        </w:rPr>
        <w:t> </w:t>
      </w:r>
      <w:r>
        <w:rPr>
          <w:sz w:val="20"/>
        </w:rPr>
        <w:t>degrees.</w:t>
      </w:r>
    </w:p>
    <w:p>
      <w:pPr>
        <w:pStyle w:val="ListParagraph"/>
        <w:numPr>
          <w:ilvl w:val="1"/>
          <w:numId w:val="3"/>
        </w:numPr>
        <w:tabs>
          <w:tab w:pos="632" w:val="left" w:leader="none"/>
        </w:tabs>
        <w:spacing w:line="249" w:lineRule="auto" w:before="184" w:after="0"/>
        <w:ind w:left="631" w:right="859" w:hanging="216"/>
        <w:jc w:val="left"/>
        <w:rPr>
          <w:sz w:val="20"/>
        </w:rPr>
      </w:pPr>
      <w:r>
        <w:rPr>
          <w:sz w:val="20"/>
        </w:rPr>
        <w:t>400-499: Junior and senior courses acceptable </w:t>
      </w:r>
      <w:r>
        <w:rPr>
          <w:spacing w:val="-5"/>
          <w:sz w:val="20"/>
        </w:rPr>
        <w:t>for </w:t>
      </w:r>
      <w:r>
        <w:rPr>
          <w:sz w:val="20"/>
        </w:rPr>
        <w:t>credit toward some graduate degrees if specifically approved by the Graduate</w:t>
      </w:r>
      <w:r>
        <w:rPr>
          <w:spacing w:val="-8"/>
          <w:sz w:val="20"/>
        </w:rPr>
        <w:t> </w:t>
      </w:r>
      <w:r>
        <w:rPr>
          <w:sz w:val="20"/>
        </w:rPr>
        <w:t>Council.</w:t>
      </w:r>
    </w:p>
    <w:p>
      <w:pPr>
        <w:pStyle w:val="ListParagraph"/>
        <w:numPr>
          <w:ilvl w:val="1"/>
          <w:numId w:val="3"/>
        </w:numPr>
        <w:tabs>
          <w:tab w:pos="632" w:val="left" w:leader="none"/>
        </w:tabs>
        <w:spacing w:line="249" w:lineRule="auto" w:before="180" w:after="0"/>
        <w:ind w:left="631" w:right="947" w:hanging="216"/>
        <w:jc w:val="left"/>
        <w:rPr>
          <w:sz w:val="20"/>
        </w:rPr>
      </w:pPr>
      <w:r>
        <w:rPr>
          <w:sz w:val="20"/>
        </w:rPr>
        <w:t>500-599: Professional </w:t>
      </w:r>
      <w:r>
        <w:rPr>
          <w:spacing w:val="-2"/>
          <w:sz w:val="20"/>
        </w:rPr>
        <w:t>school </w:t>
      </w:r>
      <w:r>
        <w:rPr>
          <w:sz w:val="20"/>
        </w:rPr>
        <w:t>courses and certain postbaccalaureate courses acceptable for graduate degree credit only if approved by the Graduate Council.</w:t>
      </w:r>
    </w:p>
    <w:p>
      <w:pPr>
        <w:pStyle w:val="ListParagraph"/>
        <w:numPr>
          <w:ilvl w:val="1"/>
          <w:numId w:val="3"/>
        </w:numPr>
        <w:tabs>
          <w:tab w:pos="632" w:val="left" w:leader="none"/>
        </w:tabs>
        <w:spacing w:line="240" w:lineRule="auto" w:before="185" w:after="0"/>
        <w:ind w:left="631" w:right="0" w:hanging="216"/>
        <w:jc w:val="left"/>
        <w:rPr>
          <w:sz w:val="20"/>
        </w:rPr>
      </w:pPr>
      <w:r>
        <w:rPr>
          <w:sz w:val="20"/>
        </w:rPr>
        <w:t>600-898: Courses normally reserved for</w:t>
      </w:r>
      <w:r>
        <w:rPr>
          <w:spacing w:val="-1"/>
          <w:sz w:val="20"/>
        </w:rPr>
        <w:t> </w:t>
      </w:r>
      <w:r>
        <w:rPr>
          <w:sz w:val="20"/>
        </w:rPr>
        <w:t>graduate</w:t>
      </w:r>
    </w:p>
    <w:p>
      <w:pPr>
        <w:spacing w:after="0" w:line="240" w:lineRule="auto"/>
        <w:jc w:val="left"/>
        <w:rPr>
          <w:sz w:val="20"/>
        </w:rPr>
        <w:sectPr>
          <w:pgSz w:w="12240" w:h="15840"/>
          <w:pgMar w:header="746" w:footer="0" w:top="1320" w:bottom="280" w:left="880" w:right="300"/>
          <w:cols w:num="2" w:equalWidth="0">
            <w:col w:w="4997" w:space="489"/>
            <w:col w:w="5574"/>
          </w:cols>
        </w:sectPr>
      </w:pPr>
    </w:p>
    <w:p>
      <w:pPr>
        <w:pStyle w:val="BodyText"/>
        <w:spacing w:before="100"/>
        <w:ind w:left="631"/>
      </w:pPr>
      <w:r>
        <w:rPr/>
        <w:t>students.</w:t>
      </w:r>
    </w:p>
    <w:p>
      <w:pPr>
        <w:pStyle w:val="ListParagraph"/>
        <w:numPr>
          <w:ilvl w:val="1"/>
          <w:numId w:val="3"/>
        </w:numPr>
        <w:tabs>
          <w:tab w:pos="632" w:val="left" w:leader="none"/>
        </w:tabs>
        <w:spacing w:line="240" w:lineRule="auto" w:before="187" w:after="0"/>
        <w:ind w:left="632" w:right="0" w:hanging="216"/>
        <w:jc w:val="left"/>
        <w:rPr>
          <w:sz w:val="20"/>
        </w:rPr>
      </w:pPr>
      <w:r>
        <w:rPr>
          <w:sz w:val="20"/>
        </w:rPr>
        <w:t>799: Master’s thesis</w:t>
      </w:r>
      <w:r>
        <w:rPr>
          <w:spacing w:val="-10"/>
          <w:sz w:val="20"/>
        </w:rPr>
        <w:t> </w:t>
      </w:r>
      <w:r>
        <w:rPr>
          <w:sz w:val="20"/>
        </w:rPr>
        <w:t>research.</w:t>
      </w:r>
    </w:p>
    <w:p>
      <w:pPr>
        <w:pStyle w:val="ListParagraph"/>
        <w:numPr>
          <w:ilvl w:val="1"/>
          <w:numId w:val="3"/>
        </w:numPr>
        <w:tabs>
          <w:tab w:pos="632" w:val="left" w:leader="none"/>
        </w:tabs>
        <w:spacing w:line="240" w:lineRule="auto" w:before="193" w:after="0"/>
        <w:ind w:left="632" w:right="0" w:hanging="216"/>
        <w:jc w:val="left"/>
        <w:rPr>
          <w:sz w:val="20"/>
        </w:rPr>
      </w:pPr>
      <w:r>
        <w:rPr>
          <w:sz w:val="20"/>
        </w:rPr>
        <w:t>899: Doctoral dissertation</w:t>
      </w:r>
      <w:r>
        <w:rPr>
          <w:spacing w:val="-6"/>
          <w:sz w:val="20"/>
        </w:rPr>
        <w:t> </w:t>
      </w:r>
      <w:r>
        <w:rPr>
          <w:sz w:val="20"/>
        </w:rPr>
        <w:t>research.</w:t>
      </w:r>
    </w:p>
    <w:p>
      <w:pPr>
        <w:pStyle w:val="ListParagraph"/>
        <w:numPr>
          <w:ilvl w:val="1"/>
          <w:numId w:val="3"/>
        </w:numPr>
        <w:tabs>
          <w:tab w:pos="632" w:val="left" w:leader="none"/>
        </w:tabs>
        <w:spacing w:line="249" w:lineRule="auto" w:before="187" w:after="0"/>
        <w:ind w:left="631" w:right="6481" w:hanging="216"/>
        <w:jc w:val="left"/>
        <w:rPr>
          <w:sz w:val="20"/>
        </w:rPr>
      </w:pPr>
      <w:r>
        <w:rPr>
          <w:sz w:val="20"/>
        </w:rPr>
        <w:t>901-999: Interprofessional courses acceptable </w:t>
      </w:r>
      <w:r>
        <w:rPr>
          <w:spacing w:val="-4"/>
          <w:sz w:val="20"/>
        </w:rPr>
        <w:t>for </w:t>
      </w:r>
      <w:r>
        <w:rPr>
          <w:sz w:val="20"/>
        </w:rPr>
        <w:t>graduate degree credit only if approved by the Graduate</w:t>
      </w:r>
      <w:r>
        <w:rPr>
          <w:spacing w:val="-2"/>
          <w:sz w:val="20"/>
        </w:rPr>
        <w:t> </w:t>
      </w:r>
      <w:r>
        <w:rPr>
          <w:sz w:val="20"/>
        </w:rPr>
        <w:t>Council.</w:t>
      </w:r>
    </w:p>
    <w:p>
      <w:pPr>
        <w:pStyle w:val="Heading4"/>
        <w:spacing w:before="167"/>
      </w:pPr>
      <w:r>
        <w:rPr/>
        <w:t>Credit Hour Definition</w:t>
      </w:r>
    </w:p>
    <w:p>
      <w:pPr>
        <w:pStyle w:val="ListParagraph"/>
        <w:numPr>
          <w:ilvl w:val="0"/>
          <w:numId w:val="4"/>
        </w:numPr>
        <w:tabs>
          <w:tab w:pos="632" w:val="left" w:leader="none"/>
        </w:tabs>
        <w:spacing w:line="240" w:lineRule="auto" w:before="183" w:after="0"/>
        <w:ind w:left="631" w:right="0" w:hanging="215"/>
        <w:jc w:val="left"/>
        <w:rPr>
          <w:sz w:val="20"/>
        </w:rPr>
      </w:pPr>
      <w:r>
        <w:rPr>
          <w:sz w:val="20"/>
        </w:rPr>
        <w:t>An in-state institution shall award 1 credit hour</w:t>
      </w:r>
      <w:r>
        <w:rPr>
          <w:spacing w:val="2"/>
          <w:sz w:val="20"/>
        </w:rPr>
        <w:t> </w:t>
      </w:r>
      <w:r>
        <w:rPr>
          <w:sz w:val="20"/>
        </w:rPr>
        <w:t>for:</w:t>
      </w:r>
    </w:p>
    <w:p>
      <w:pPr>
        <w:pStyle w:val="ListParagraph"/>
        <w:numPr>
          <w:ilvl w:val="1"/>
          <w:numId w:val="4"/>
        </w:numPr>
        <w:tabs>
          <w:tab w:pos="920" w:val="left" w:leader="none"/>
        </w:tabs>
        <w:spacing w:line="249" w:lineRule="auto" w:before="192" w:after="0"/>
        <w:ind w:left="920" w:right="6244" w:hanging="216"/>
        <w:jc w:val="left"/>
        <w:rPr>
          <w:sz w:val="20"/>
        </w:rPr>
      </w:pPr>
      <w:r>
        <w:rPr>
          <w:sz w:val="20"/>
        </w:rPr>
        <w:t>A minimum </w:t>
      </w:r>
      <w:r>
        <w:rPr>
          <w:spacing w:val="-3"/>
          <w:sz w:val="20"/>
        </w:rPr>
        <w:t>of </w:t>
      </w:r>
      <w:r>
        <w:rPr>
          <w:sz w:val="20"/>
        </w:rPr>
        <w:t>15 hours, </w:t>
      </w:r>
      <w:r>
        <w:rPr>
          <w:spacing w:val="-3"/>
          <w:sz w:val="20"/>
        </w:rPr>
        <w:t>of </w:t>
      </w:r>
      <w:r>
        <w:rPr>
          <w:sz w:val="20"/>
        </w:rPr>
        <w:t>50 minutes </w:t>
      </w:r>
      <w:r>
        <w:rPr>
          <w:spacing w:val="-3"/>
          <w:sz w:val="20"/>
        </w:rPr>
        <w:t>each of </w:t>
      </w:r>
      <w:r>
        <w:rPr>
          <w:sz w:val="20"/>
        </w:rPr>
        <w:t>actual class time, exclusive of registration, study </w:t>
      </w:r>
      <w:r>
        <w:rPr>
          <w:spacing w:val="-3"/>
          <w:sz w:val="20"/>
        </w:rPr>
        <w:t>days, </w:t>
      </w:r>
      <w:r>
        <w:rPr>
          <w:sz w:val="20"/>
        </w:rPr>
        <w:t>and</w:t>
      </w:r>
      <w:r>
        <w:rPr>
          <w:spacing w:val="5"/>
          <w:sz w:val="20"/>
        </w:rPr>
        <w:t> </w:t>
      </w:r>
      <w:r>
        <w:rPr>
          <w:sz w:val="20"/>
        </w:rPr>
        <w:t>holidays;</w:t>
      </w:r>
    </w:p>
    <w:p>
      <w:pPr>
        <w:pStyle w:val="ListParagraph"/>
        <w:numPr>
          <w:ilvl w:val="1"/>
          <w:numId w:val="4"/>
        </w:numPr>
        <w:tabs>
          <w:tab w:pos="920" w:val="left" w:leader="none"/>
        </w:tabs>
        <w:spacing w:line="249" w:lineRule="auto" w:before="180" w:after="0"/>
        <w:ind w:left="920" w:right="6177" w:hanging="216"/>
        <w:jc w:val="left"/>
        <w:rPr>
          <w:sz w:val="20"/>
        </w:rPr>
      </w:pPr>
      <w:r>
        <w:rPr>
          <w:sz w:val="20"/>
        </w:rPr>
        <w:t>A minimum </w:t>
      </w:r>
      <w:r>
        <w:rPr>
          <w:spacing w:val="-3"/>
          <w:sz w:val="20"/>
        </w:rPr>
        <w:t>of </w:t>
      </w:r>
      <w:r>
        <w:rPr>
          <w:sz w:val="20"/>
        </w:rPr>
        <w:t>30 hours, </w:t>
      </w:r>
      <w:r>
        <w:rPr>
          <w:spacing w:val="-3"/>
          <w:sz w:val="20"/>
        </w:rPr>
        <w:t>of </w:t>
      </w:r>
      <w:r>
        <w:rPr>
          <w:sz w:val="20"/>
        </w:rPr>
        <w:t>50 minutes </w:t>
      </w:r>
      <w:r>
        <w:rPr>
          <w:spacing w:val="-3"/>
          <w:sz w:val="20"/>
        </w:rPr>
        <w:t>each of </w:t>
      </w:r>
      <w:r>
        <w:rPr>
          <w:sz w:val="20"/>
        </w:rPr>
        <w:t>supervised laboratory </w:t>
      </w:r>
      <w:r>
        <w:rPr>
          <w:spacing w:val="-3"/>
          <w:sz w:val="20"/>
        </w:rPr>
        <w:t>or </w:t>
      </w:r>
      <w:r>
        <w:rPr>
          <w:sz w:val="20"/>
        </w:rPr>
        <w:t>studio time, exclusive of registration, study days, and</w:t>
      </w:r>
      <w:r>
        <w:rPr>
          <w:spacing w:val="-7"/>
          <w:sz w:val="20"/>
        </w:rPr>
        <w:t> </w:t>
      </w:r>
      <w:r>
        <w:rPr>
          <w:sz w:val="20"/>
        </w:rPr>
        <w:t>holidays;</w:t>
      </w:r>
    </w:p>
    <w:p>
      <w:pPr>
        <w:pStyle w:val="ListParagraph"/>
        <w:numPr>
          <w:ilvl w:val="1"/>
          <w:numId w:val="4"/>
        </w:numPr>
        <w:tabs>
          <w:tab w:pos="920" w:val="left" w:leader="none"/>
        </w:tabs>
        <w:spacing w:line="249" w:lineRule="auto" w:before="185" w:after="0"/>
        <w:ind w:left="920" w:right="6369" w:hanging="216"/>
        <w:jc w:val="left"/>
        <w:rPr>
          <w:sz w:val="20"/>
        </w:rPr>
      </w:pPr>
      <w:r>
        <w:rPr>
          <w:sz w:val="20"/>
        </w:rPr>
        <w:t>A minimum </w:t>
      </w:r>
      <w:r>
        <w:rPr>
          <w:spacing w:val="-3"/>
          <w:sz w:val="20"/>
        </w:rPr>
        <w:t>of </w:t>
      </w:r>
      <w:r>
        <w:rPr>
          <w:sz w:val="20"/>
        </w:rPr>
        <w:t>45 hours, </w:t>
      </w:r>
      <w:r>
        <w:rPr>
          <w:spacing w:val="-3"/>
          <w:sz w:val="20"/>
        </w:rPr>
        <w:t>of </w:t>
      </w:r>
      <w:r>
        <w:rPr>
          <w:sz w:val="20"/>
        </w:rPr>
        <w:t>50 minutes </w:t>
      </w:r>
      <w:r>
        <w:rPr>
          <w:spacing w:val="-3"/>
          <w:sz w:val="20"/>
        </w:rPr>
        <w:t>each of </w:t>
      </w:r>
      <w:r>
        <w:rPr>
          <w:sz w:val="20"/>
        </w:rPr>
        <w:t>instructional situations </w:t>
      </w:r>
      <w:r>
        <w:rPr>
          <w:spacing w:val="-3"/>
          <w:sz w:val="20"/>
        </w:rPr>
        <w:t>such </w:t>
      </w:r>
      <w:r>
        <w:rPr>
          <w:sz w:val="20"/>
        </w:rPr>
        <w:t>as practica, internships, and cooperative education placements, </w:t>
      </w:r>
      <w:r>
        <w:rPr>
          <w:spacing w:val="-3"/>
          <w:sz w:val="20"/>
        </w:rPr>
        <w:t>when </w:t>
      </w:r>
      <w:r>
        <w:rPr>
          <w:sz w:val="20"/>
        </w:rPr>
        <w:t>supervision is ensured and learning is documented;</w:t>
      </w:r>
      <w:r>
        <w:rPr>
          <w:spacing w:val="2"/>
          <w:sz w:val="20"/>
        </w:rPr>
        <w:t> </w:t>
      </w:r>
      <w:r>
        <w:rPr>
          <w:spacing w:val="-5"/>
          <w:sz w:val="20"/>
        </w:rPr>
        <w:t>or</w:t>
      </w:r>
    </w:p>
    <w:p>
      <w:pPr>
        <w:pStyle w:val="ListParagraph"/>
        <w:numPr>
          <w:ilvl w:val="1"/>
          <w:numId w:val="4"/>
        </w:numPr>
        <w:tabs>
          <w:tab w:pos="920" w:val="left" w:leader="none"/>
        </w:tabs>
        <w:spacing w:line="249" w:lineRule="auto" w:before="181" w:after="0"/>
        <w:ind w:left="920" w:right="6094" w:hanging="216"/>
        <w:jc w:val="left"/>
        <w:rPr>
          <w:sz w:val="20"/>
        </w:rPr>
      </w:pPr>
      <w:r>
        <w:rPr>
          <w:sz w:val="20"/>
        </w:rPr>
        <w:t>Instruction delivered by electronic media based </w:t>
      </w:r>
      <w:r>
        <w:rPr>
          <w:spacing w:val="-3"/>
          <w:sz w:val="20"/>
        </w:rPr>
        <w:t>on </w:t>
      </w:r>
      <w:r>
        <w:rPr>
          <w:sz w:val="20"/>
        </w:rPr>
        <w:t>the equivalent outcomes in student learning </w:t>
      </w:r>
      <w:r>
        <w:rPr>
          <w:spacing w:val="-3"/>
          <w:sz w:val="20"/>
        </w:rPr>
        <w:t>of </w:t>
      </w:r>
      <w:r>
        <w:rPr>
          <w:sz w:val="20"/>
        </w:rPr>
        <w:t>this regulation, and may include a combination </w:t>
      </w:r>
      <w:r>
        <w:rPr>
          <w:spacing w:val="-3"/>
          <w:sz w:val="20"/>
        </w:rPr>
        <w:t>of </w:t>
      </w:r>
      <w:r>
        <w:rPr>
          <w:sz w:val="20"/>
        </w:rPr>
        <w:t>telelessons, classroom instruction, student consultation </w:t>
      </w:r>
      <w:r>
        <w:rPr>
          <w:spacing w:val="-3"/>
          <w:sz w:val="20"/>
        </w:rPr>
        <w:t>with </w:t>
      </w:r>
      <w:r>
        <w:rPr>
          <w:sz w:val="20"/>
        </w:rPr>
        <w:t>instructors, and readings, </w:t>
      </w:r>
      <w:r>
        <w:rPr>
          <w:spacing w:val="-3"/>
          <w:sz w:val="20"/>
        </w:rPr>
        <w:t>when </w:t>
      </w:r>
      <w:r>
        <w:rPr>
          <w:sz w:val="20"/>
        </w:rPr>
        <w:t>supervision is ensured and learning is documented.</w:t>
      </w:r>
    </w:p>
    <w:p>
      <w:pPr>
        <w:pStyle w:val="BodyText"/>
        <w:spacing w:before="187"/>
        <w:ind w:left="199"/>
      </w:pPr>
      <w:r>
        <w:rPr/>
        <w:t>COMAR - 13B.02.02.16 -</w:t>
      </w:r>
    </w:p>
    <w:p>
      <w:pPr>
        <w:pStyle w:val="BodyText"/>
        <w:spacing w:line="249" w:lineRule="auto" w:before="10"/>
        <w:ind w:left="199" w:right="6163"/>
      </w:pPr>
      <w:hyperlink r:id="rId24">
        <w:r>
          <w:rPr/>
          <w:t>http://www.dsd.state.md.us/comar/comarhtml/13b/13b.02.</w:t>
        </w:r>
      </w:hyperlink>
      <w:r>
        <w:rPr/>
        <w:t> 02.16.htm</w:t>
      </w:r>
    </w:p>
    <w:p>
      <w:pPr>
        <w:spacing w:after="0" w:line="249" w:lineRule="auto"/>
        <w:sectPr>
          <w:pgSz w:w="12240" w:h="15840"/>
          <w:pgMar w:header="746" w:footer="0" w:top="1320" w:bottom="280" w:left="880" w:right="300"/>
        </w:sectPr>
      </w:pPr>
    </w:p>
    <w:p>
      <w:pPr>
        <w:pStyle w:val="Heading1"/>
      </w:pPr>
      <w:bookmarkStart w:name="Academic Standards, Policies, and Degree" w:id="9"/>
      <w:bookmarkEnd w:id="9"/>
      <w:r>
        <w:rPr>
          <w:b w:val="0"/>
        </w:rPr>
      </w:r>
      <w:bookmarkStart w:name="_bookmark4" w:id="10"/>
      <w:bookmarkEnd w:id="10"/>
      <w:r>
        <w:rPr>
          <w:b w:val="0"/>
        </w:rPr>
      </w:r>
      <w:r>
        <w:rPr/>
        <w:t>Academic Standards, Policies, and Degree Requirements</w:t>
      </w:r>
    </w:p>
    <w:p>
      <w:pPr>
        <w:spacing w:after="0"/>
        <w:sectPr>
          <w:headerReference w:type="default" r:id="rId25"/>
          <w:headerReference w:type="even" r:id="rId26"/>
          <w:pgSz w:w="12240" w:h="15840"/>
          <w:pgMar w:header="746" w:footer="0" w:top="1320" w:bottom="280" w:left="880" w:right="300"/>
          <w:pgNumType w:start="19"/>
        </w:sectPr>
      </w:pPr>
    </w:p>
    <w:p>
      <w:pPr>
        <w:pStyle w:val="BodyText"/>
        <w:spacing w:before="0"/>
        <w:ind w:left="0"/>
        <w:rPr>
          <w:b/>
          <w:sz w:val="29"/>
        </w:rPr>
      </w:pPr>
    </w:p>
    <w:p>
      <w:pPr>
        <w:pStyle w:val="BodyText"/>
        <w:spacing w:line="249" w:lineRule="auto" w:before="0"/>
        <w:ind w:right="25"/>
      </w:pPr>
      <w:r>
        <w:rPr/>
        <w:t>Responsibility for progress in a graduate degree program is shared by the student, faculty advisor, program, and Graduate School administration. Students are responsible for compliance with the Graduate School’s rules and procedures and all other program requirements. Students should actively seek the advice of their faculty mentors, graduate program directors, and Graduate School staff members.</w:t>
      </w:r>
    </w:p>
    <w:p>
      <w:pPr>
        <w:pStyle w:val="BodyText"/>
        <w:spacing w:line="249" w:lineRule="auto" w:before="183"/>
        <w:ind w:right="470"/>
      </w:pPr>
      <w:r>
        <w:rPr/>
        <w:t>Complete information on the special requirements for degrees is found in the publications of the individual programs. The general requirements common to all graduate programs are as follows.</w:t>
      </w:r>
    </w:p>
    <w:p>
      <w:pPr>
        <w:pStyle w:val="Heading4"/>
        <w:spacing w:before="168"/>
      </w:pPr>
      <w:r>
        <w:rPr/>
        <w:t>Advisement</w:t>
      </w:r>
    </w:p>
    <w:p>
      <w:pPr>
        <w:pStyle w:val="BodyText"/>
        <w:spacing w:line="249" w:lineRule="auto" w:before="183"/>
        <w:ind w:right="20"/>
      </w:pPr>
      <w:r>
        <w:rPr/>
        <w:t>Program faculty coordinate academic advising for graduate students. Students are encouraged to seek the advice and counsel of graduate advisors and program directors in planning their curriculum. In addition, the Graduate School provides graduate assistants with the Graduate Assistant Guide, which describes relevant policies and guidelines.</w:t>
      </w:r>
    </w:p>
    <w:p>
      <w:pPr>
        <w:pStyle w:val="BodyText"/>
        <w:spacing w:line="249" w:lineRule="auto" w:before="5"/>
        <w:ind w:right="26"/>
        <w:rPr>
          <w:i/>
        </w:rPr>
      </w:pPr>
      <w:r>
        <w:rPr/>
        <w:t>Other policies related to student enrollment activities are in the University’s </w:t>
      </w:r>
      <w:r>
        <w:rPr>
          <w:i/>
        </w:rPr>
        <w:t>Student Answer Book.</w:t>
      </w:r>
    </w:p>
    <w:p>
      <w:pPr>
        <w:pStyle w:val="Heading4"/>
        <w:spacing w:before="166"/>
      </w:pPr>
      <w:r>
        <w:rPr/>
        <w:t>Minimum Grade-Point</w:t>
      </w:r>
      <w:r>
        <w:rPr>
          <w:spacing w:val="-14"/>
        </w:rPr>
        <w:t> </w:t>
      </w:r>
      <w:r>
        <w:rPr/>
        <w:t>Average</w:t>
      </w:r>
    </w:p>
    <w:p>
      <w:pPr>
        <w:pStyle w:val="BodyText"/>
        <w:spacing w:line="249" w:lineRule="auto" w:before="183"/>
        <w:ind w:right="78"/>
      </w:pPr>
      <w:r>
        <w:rPr/>
        <w:t>The Graduate School requires all graduate students to maintain a minimum, cumulative grade-point average (GPA) </w:t>
      </w:r>
      <w:r>
        <w:rPr>
          <w:spacing w:val="-3"/>
        </w:rPr>
        <w:t>of </w:t>
      </w:r>
      <w:r>
        <w:rPr/>
        <w:t>3.0 </w:t>
      </w:r>
      <w:r>
        <w:rPr>
          <w:spacing w:val="-3"/>
        </w:rPr>
        <w:t>on </w:t>
      </w:r>
      <w:r>
        <w:rPr/>
        <w:t>a scale during </w:t>
      </w:r>
      <w:r>
        <w:rPr>
          <w:spacing w:val="-3"/>
        </w:rPr>
        <w:t>their </w:t>
      </w:r>
      <w:r>
        <w:rPr/>
        <w:t>studies to remain enrolled. The Graduate </w:t>
      </w:r>
      <w:r>
        <w:rPr>
          <w:spacing w:val="-3"/>
        </w:rPr>
        <w:t>School </w:t>
      </w:r>
      <w:r>
        <w:rPr/>
        <w:t>reviews students’ academic performances </w:t>
      </w:r>
      <w:r>
        <w:rPr>
          <w:spacing w:val="-3"/>
        </w:rPr>
        <w:t>each </w:t>
      </w:r>
      <w:r>
        <w:rPr/>
        <w:t>semester. Failure to maintain the minimum GPA requirements may result in academic dismissal. No student may graduate </w:t>
      </w:r>
      <w:r>
        <w:rPr>
          <w:spacing w:val="-3"/>
        </w:rPr>
        <w:t>with </w:t>
      </w:r>
      <w:r>
        <w:rPr/>
        <w:t>a cumulative grade-point average </w:t>
      </w:r>
      <w:r>
        <w:rPr>
          <w:spacing w:val="-3"/>
        </w:rPr>
        <w:t>of </w:t>
      </w:r>
      <w:r>
        <w:rPr/>
        <w:t>less than</w:t>
      </w:r>
      <w:r>
        <w:rPr>
          <w:spacing w:val="2"/>
        </w:rPr>
        <w:t> </w:t>
      </w:r>
      <w:r>
        <w:rPr/>
        <w:t>3.00.</w:t>
      </w:r>
    </w:p>
    <w:p>
      <w:pPr>
        <w:pStyle w:val="BodyText"/>
        <w:spacing w:line="249" w:lineRule="auto" w:before="188"/>
        <w:ind w:left="199" w:right="55"/>
      </w:pPr>
      <w:r>
        <w:rPr/>
        <w:t>The Graduate School expects students to meet the highest standards of academic integrity — the success of the entire academic enterprise depends on them doing so. Cheating, plagiarism, fabrication, falsification, or abetting the academic dishonesty of another will result in sanction and may lead to academic dismissal.</w:t>
      </w:r>
    </w:p>
    <w:p>
      <w:pPr>
        <w:pStyle w:val="Heading4"/>
        <w:spacing w:before="165"/>
      </w:pPr>
      <w:r>
        <w:rPr/>
        <w:t>Continuous Enrollment</w:t>
      </w:r>
    </w:p>
    <w:p>
      <w:pPr>
        <w:pStyle w:val="BodyText"/>
        <w:spacing w:line="249" w:lineRule="auto" w:before="188"/>
        <w:ind w:right="54"/>
      </w:pPr>
      <w:r>
        <w:rPr/>
        <w:t>Once admitted to a graduate program, each student has the obligation to continue a course of study and must register every semester in the academic year (fall and spring semesters) unless on an approved leave of absence. Failure</w:t>
      </w:r>
    </w:p>
    <w:p>
      <w:pPr>
        <w:pStyle w:val="BodyText"/>
        <w:spacing w:line="249" w:lineRule="auto" w:before="150"/>
        <w:ind w:left="199" w:right="616"/>
      </w:pPr>
      <w:r>
        <w:rPr/>
        <w:br w:type="column"/>
      </w:r>
      <w:r>
        <w:rPr/>
        <w:t>to comply with the requirement to register every semester will be taken as evidence that the student has terminated their program and admission status in the Graduate School.</w:t>
      </w:r>
    </w:p>
    <w:p>
      <w:pPr>
        <w:pStyle w:val="Heading4"/>
        <w:spacing w:before="167"/>
        <w:ind w:left="199"/>
      </w:pPr>
      <w:r>
        <w:rPr/>
        <w:t>Notice of Dismissal</w:t>
      </w:r>
    </w:p>
    <w:p>
      <w:pPr>
        <w:pStyle w:val="BodyText"/>
        <w:spacing w:line="249" w:lineRule="auto" w:before="183"/>
        <w:ind w:left="199" w:right="609"/>
      </w:pPr>
      <w:r>
        <w:rPr/>
        <w:t>If a student fails to meet Graduate </w:t>
      </w:r>
      <w:r>
        <w:rPr>
          <w:spacing w:val="-2"/>
        </w:rPr>
        <w:t>School </w:t>
      </w:r>
      <w:r>
        <w:rPr/>
        <w:t>standards </w:t>
      </w:r>
      <w:r>
        <w:rPr>
          <w:spacing w:val="-3"/>
        </w:rPr>
        <w:t>of </w:t>
      </w:r>
      <w:r>
        <w:rPr/>
        <w:t>satisfactory academic performance and progress, they shall </w:t>
      </w:r>
      <w:r>
        <w:rPr>
          <w:spacing w:val="-3"/>
        </w:rPr>
        <w:t>be </w:t>
      </w:r>
      <w:r>
        <w:rPr/>
        <w:t>given written notice </w:t>
      </w:r>
      <w:r>
        <w:rPr>
          <w:spacing w:val="-3"/>
        </w:rPr>
        <w:t>of </w:t>
      </w:r>
      <w:r>
        <w:rPr/>
        <w:t>academic dismissal </w:t>
      </w:r>
      <w:r>
        <w:rPr>
          <w:spacing w:val="-3"/>
        </w:rPr>
        <w:t>by </w:t>
      </w:r>
      <w:r>
        <w:rPr/>
        <w:t>the Graduate School. The notice will include the reason </w:t>
      </w:r>
      <w:r>
        <w:rPr>
          <w:spacing w:val="-4"/>
        </w:rPr>
        <w:t>for </w:t>
      </w:r>
      <w:r>
        <w:rPr/>
        <w:t>the dismissal. A copy of the notice will </w:t>
      </w:r>
      <w:r>
        <w:rPr>
          <w:spacing w:val="-3"/>
        </w:rPr>
        <w:t>be </w:t>
      </w:r>
      <w:r>
        <w:rPr/>
        <w:t>provided to the student’s graduate program director. Notice </w:t>
      </w:r>
      <w:r>
        <w:rPr>
          <w:spacing w:val="-3"/>
        </w:rPr>
        <w:t>of </w:t>
      </w:r>
      <w:r>
        <w:rPr/>
        <w:t>dismissal will </w:t>
      </w:r>
      <w:r>
        <w:rPr>
          <w:spacing w:val="-3"/>
        </w:rPr>
        <w:t>be </w:t>
      </w:r>
      <w:r>
        <w:rPr/>
        <w:t>mailed to the student’s address </w:t>
      </w:r>
      <w:r>
        <w:rPr>
          <w:spacing w:val="-3"/>
        </w:rPr>
        <w:t>of </w:t>
      </w:r>
      <w:r>
        <w:rPr/>
        <w:t>record as noted </w:t>
      </w:r>
      <w:r>
        <w:rPr>
          <w:spacing w:val="-3"/>
        </w:rPr>
        <w:t>on </w:t>
      </w:r>
      <w:r>
        <w:rPr/>
        <w:t>file </w:t>
      </w:r>
      <w:r>
        <w:rPr>
          <w:spacing w:val="-3"/>
        </w:rPr>
        <w:t>with </w:t>
      </w:r>
      <w:r>
        <w:rPr/>
        <w:t>the </w:t>
      </w:r>
      <w:r>
        <w:rPr>
          <w:spacing w:val="-3"/>
        </w:rPr>
        <w:t>UMB </w:t>
      </w:r>
      <w:r>
        <w:rPr/>
        <w:t>registrar. Notice is deemed received by the student within 10 calendar </w:t>
      </w:r>
      <w:r>
        <w:rPr>
          <w:spacing w:val="-3"/>
        </w:rPr>
        <w:t>days </w:t>
      </w:r>
      <w:r>
        <w:rPr/>
        <w:t>from the date </w:t>
      </w:r>
      <w:r>
        <w:rPr>
          <w:spacing w:val="-3"/>
        </w:rPr>
        <w:t>of </w:t>
      </w:r>
      <w:r>
        <w:rPr/>
        <w:t>the notice. Each student is expected to notify the Graduate School and the graduate program </w:t>
      </w:r>
      <w:r>
        <w:rPr>
          <w:spacing w:val="-3"/>
        </w:rPr>
        <w:t>of </w:t>
      </w:r>
      <w:r>
        <w:rPr/>
        <w:t>changes in address and to check </w:t>
      </w:r>
      <w:r>
        <w:rPr>
          <w:spacing w:val="-4"/>
        </w:rPr>
        <w:t>for </w:t>
      </w:r>
      <w:r>
        <w:rPr/>
        <w:t>correspondence at their address </w:t>
      </w:r>
      <w:r>
        <w:rPr>
          <w:spacing w:val="-3"/>
        </w:rPr>
        <w:t>of </w:t>
      </w:r>
      <w:r>
        <w:rPr/>
        <w:t>record in a timely</w:t>
      </w:r>
      <w:r>
        <w:rPr>
          <w:spacing w:val="-7"/>
        </w:rPr>
        <w:t> </w:t>
      </w:r>
      <w:r>
        <w:rPr/>
        <w:t>fashion.</w:t>
      </w:r>
    </w:p>
    <w:p>
      <w:pPr>
        <w:pStyle w:val="Heading4"/>
        <w:spacing w:before="175"/>
        <w:ind w:left="199"/>
      </w:pPr>
      <w:r>
        <w:rPr/>
        <w:t>Appeal of Academic Dismissal</w:t>
      </w:r>
    </w:p>
    <w:p>
      <w:pPr>
        <w:pStyle w:val="BodyText"/>
        <w:spacing w:line="249" w:lineRule="auto" w:before="183"/>
        <w:ind w:left="199" w:right="638"/>
      </w:pPr>
      <w:r>
        <w:rPr/>
        <w:t>The Appeal of Academic Dismissal policy outlines the appeal procedures for a student dismissed for poor academic performance. Students dismissed for cheating or plagiarism may appeal under the guidelines provided by the Student Academic Misconduct policy. Both documents are on file with the office of the dean of the Graduate School and are printed in the Policies section of this catalog.</w:t>
      </w:r>
    </w:p>
    <w:p>
      <w:pPr>
        <w:pStyle w:val="Heading4"/>
        <w:spacing w:line="228" w:lineRule="auto" w:before="181"/>
        <w:ind w:left="199" w:right="1627"/>
      </w:pPr>
      <w:r>
        <w:rPr/>
        <w:t>Academic Performance and Progress in Postbachelor’s Certificate Programs</w:t>
      </w:r>
    </w:p>
    <w:p>
      <w:pPr>
        <w:pStyle w:val="BodyText"/>
        <w:spacing w:line="249" w:lineRule="auto"/>
        <w:ind w:left="199" w:right="621"/>
        <w:jc w:val="both"/>
      </w:pPr>
      <w:r>
        <w:rPr/>
        <w:t>Satisfactory academic performance and progress within the UMB certificate programs is a responsibility shared by the Graduate School, the certificate program, and students.</w:t>
      </w:r>
    </w:p>
    <w:p>
      <w:pPr>
        <w:pStyle w:val="BodyText"/>
        <w:spacing w:line="249" w:lineRule="auto" w:before="2"/>
        <w:ind w:left="199" w:right="566"/>
      </w:pPr>
      <w:r>
        <w:rPr/>
        <w:t>Certificate programs with additional criteria and requirements approved by the Graduate School are covered under this policy. Students should review all graduate program handbooks and standards.</w:t>
      </w:r>
    </w:p>
    <w:p>
      <w:pPr>
        <w:pStyle w:val="BodyText"/>
        <w:spacing w:line="249" w:lineRule="auto"/>
        <w:ind w:left="199" w:right="711"/>
      </w:pPr>
      <w:r>
        <w:rPr/>
        <w:t>Satisfactory performance and progress is demonstrated by adherence to the following Graduate School standards:</w:t>
      </w:r>
    </w:p>
    <w:p>
      <w:pPr>
        <w:pStyle w:val="ListParagraph"/>
        <w:numPr>
          <w:ilvl w:val="1"/>
          <w:numId w:val="3"/>
        </w:numPr>
        <w:tabs>
          <w:tab w:pos="632" w:val="left" w:leader="none"/>
        </w:tabs>
        <w:spacing w:line="249" w:lineRule="auto" w:before="179" w:after="0"/>
        <w:ind w:left="631" w:right="615" w:hanging="216"/>
        <w:jc w:val="left"/>
        <w:rPr>
          <w:sz w:val="20"/>
        </w:rPr>
      </w:pPr>
      <w:r>
        <w:rPr>
          <w:sz w:val="20"/>
        </w:rPr>
        <w:t>Graduate students must maintain a minimum, cumulative grade-point average (GPA) </w:t>
      </w:r>
      <w:r>
        <w:rPr>
          <w:spacing w:val="-3"/>
          <w:sz w:val="20"/>
        </w:rPr>
        <w:t>of </w:t>
      </w:r>
      <w:r>
        <w:rPr>
          <w:sz w:val="20"/>
        </w:rPr>
        <w:t>3.0 </w:t>
      </w:r>
      <w:r>
        <w:rPr>
          <w:spacing w:val="-3"/>
          <w:sz w:val="20"/>
        </w:rPr>
        <w:t>on </w:t>
      </w:r>
      <w:r>
        <w:rPr>
          <w:sz w:val="20"/>
        </w:rPr>
        <w:t>a 4.0 scale. Further, two </w:t>
      </w:r>
      <w:r>
        <w:rPr>
          <w:spacing w:val="-3"/>
          <w:sz w:val="20"/>
        </w:rPr>
        <w:t>or </w:t>
      </w:r>
      <w:r>
        <w:rPr>
          <w:sz w:val="20"/>
        </w:rPr>
        <w:t>more grades </w:t>
      </w:r>
      <w:r>
        <w:rPr>
          <w:spacing w:val="-3"/>
          <w:sz w:val="20"/>
        </w:rPr>
        <w:t>of </w:t>
      </w:r>
      <w:r>
        <w:rPr>
          <w:sz w:val="20"/>
        </w:rPr>
        <w:t>C </w:t>
      </w:r>
      <w:r>
        <w:rPr>
          <w:spacing w:val="-3"/>
          <w:sz w:val="20"/>
        </w:rPr>
        <w:t>or lower </w:t>
      </w:r>
      <w:r>
        <w:rPr>
          <w:sz w:val="20"/>
        </w:rPr>
        <w:t>denote unsatisfactory progress in a certificate program and subject the student to</w:t>
      </w:r>
      <w:r>
        <w:rPr>
          <w:spacing w:val="-6"/>
          <w:sz w:val="20"/>
        </w:rPr>
        <w:t> </w:t>
      </w:r>
      <w:r>
        <w:rPr>
          <w:sz w:val="20"/>
        </w:rPr>
        <w:t>academic</w:t>
      </w:r>
    </w:p>
    <w:p>
      <w:pPr>
        <w:spacing w:after="0" w:line="249" w:lineRule="auto"/>
        <w:jc w:val="left"/>
        <w:rPr>
          <w:sz w:val="20"/>
        </w:rPr>
        <w:sectPr>
          <w:type w:val="continuous"/>
          <w:pgSz w:w="12240" w:h="15840"/>
          <w:pgMar w:top="1500" w:bottom="280" w:left="880" w:right="300"/>
          <w:cols w:num="2" w:equalWidth="0">
            <w:col w:w="4989" w:space="498"/>
            <w:col w:w="5573"/>
          </w:cols>
        </w:sectPr>
      </w:pPr>
    </w:p>
    <w:p>
      <w:pPr>
        <w:pStyle w:val="BodyText"/>
        <w:spacing w:before="100"/>
        <w:ind w:left="631"/>
      </w:pPr>
      <w:r>
        <w:rPr/>
        <w:t>dismissal regardless of cumulative GPA.</w:t>
      </w:r>
    </w:p>
    <w:p>
      <w:pPr>
        <w:pStyle w:val="ListParagraph"/>
        <w:numPr>
          <w:ilvl w:val="1"/>
          <w:numId w:val="3"/>
        </w:numPr>
        <w:tabs>
          <w:tab w:pos="632" w:val="left" w:leader="none"/>
        </w:tabs>
        <w:spacing w:line="249" w:lineRule="auto" w:before="187" w:after="0"/>
        <w:ind w:left="632" w:right="362" w:hanging="216"/>
        <w:jc w:val="left"/>
        <w:rPr>
          <w:sz w:val="20"/>
        </w:rPr>
      </w:pPr>
      <w:r>
        <w:rPr>
          <w:sz w:val="20"/>
        </w:rPr>
        <w:t>All courses must </w:t>
      </w:r>
      <w:r>
        <w:rPr>
          <w:spacing w:val="-3"/>
          <w:sz w:val="20"/>
        </w:rPr>
        <w:t>be </w:t>
      </w:r>
      <w:r>
        <w:rPr>
          <w:sz w:val="20"/>
        </w:rPr>
        <w:t>taken </w:t>
      </w:r>
      <w:r>
        <w:rPr>
          <w:spacing w:val="-4"/>
          <w:sz w:val="20"/>
        </w:rPr>
        <w:t>for </w:t>
      </w:r>
      <w:r>
        <w:rPr>
          <w:sz w:val="20"/>
        </w:rPr>
        <w:t>letter grade; courses taken as pass/fail (P/F) </w:t>
      </w:r>
      <w:r>
        <w:rPr>
          <w:spacing w:val="-3"/>
          <w:sz w:val="20"/>
        </w:rPr>
        <w:t>or </w:t>
      </w:r>
      <w:r>
        <w:rPr>
          <w:sz w:val="20"/>
        </w:rPr>
        <w:t>audit </w:t>
      </w:r>
      <w:r>
        <w:rPr>
          <w:spacing w:val="-3"/>
          <w:sz w:val="20"/>
        </w:rPr>
        <w:t>(AU) </w:t>
      </w:r>
      <w:r>
        <w:rPr>
          <w:sz w:val="20"/>
        </w:rPr>
        <w:t>may not </w:t>
      </w:r>
      <w:r>
        <w:rPr>
          <w:spacing w:val="-3"/>
          <w:sz w:val="20"/>
        </w:rPr>
        <w:t>be </w:t>
      </w:r>
      <w:r>
        <w:rPr>
          <w:sz w:val="20"/>
        </w:rPr>
        <w:t>counted toward the</w:t>
      </w:r>
      <w:r>
        <w:rPr>
          <w:spacing w:val="-2"/>
          <w:sz w:val="20"/>
        </w:rPr>
        <w:t> </w:t>
      </w:r>
      <w:r>
        <w:rPr>
          <w:sz w:val="20"/>
        </w:rPr>
        <w:t>certificate.</w:t>
      </w:r>
    </w:p>
    <w:p>
      <w:pPr>
        <w:pStyle w:val="ListParagraph"/>
        <w:numPr>
          <w:ilvl w:val="1"/>
          <w:numId w:val="3"/>
        </w:numPr>
        <w:tabs>
          <w:tab w:pos="632" w:val="left" w:leader="none"/>
        </w:tabs>
        <w:spacing w:line="249" w:lineRule="auto" w:before="185" w:after="0"/>
        <w:ind w:left="631" w:right="287" w:hanging="216"/>
        <w:jc w:val="left"/>
        <w:rPr>
          <w:sz w:val="20"/>
        </w:rPr>
      </w:pPr>
      <w:r>
        <w:rPr>
          <w:sz w:val="20"/>
        </w:rPr>
        <w:t>The course </w:t>
      </w:r>
      <w:r>
        <w:rPr>
          <w:spacing w:val="-3"/>
          <w:sz w:val="20"/>
        </w:rPr>
        <w:t>of </w:t>
      </w:r>
      <w:r>
        <w:rPr>
          <w:sz w:val="20"/>
        </w:rPr>
        <w:t>study undertaken </w:t>
      </w:r>
      <w:r>
        <w:rPr>
          <w:spacing w:val="-4"/>
          <w:sz w:val="20"/>
        </w:rPr>
        <w:t>for </w:t>
      </w:r>
      <w:r>
        <w:rPr>
          <w:sz w:val="20"/>
        </w:rPr>
        <w:t>a postbaccalaureate certificate must </w:t>
      </w:r>
      <w:r>
        <w:rPr>
          <w:spacing w:val="-3"/>
          <w:sz w:val="20"/>
        </w:rPr>
        <w:t>be </w:t>
      </w:r>
      <w:r>
        <w:rPr>
          <w:sz w:val="20"/>
        </w:rPr>
        <w:t>ascertained from an </w:t>
      </w:r>
      <w:r>
        <w:rPr>
          <w:spacing w:val="-3"/>
          <w:sz w:val="20"/>
        </w:rPr>
        <w:t>approved </w:t>
      </w:r>
      <w:r>
        <w:rPr>
          <w:sz w:val="20"/>
        </w:rPr>
        <w:t>program consisting </w:t>
      </w:r>
      <w:r>
        <w:rPr>
          <w:spacing w:val="-3"/>
          <w:sz w:val="20"/>
        </w:rPr>
        <w:t>of </w:t>
      </w:r>
      <w:r>
        <w:rPr>
          <w:sz w:val="20"/>
        </w:rPr>
        <w:t>at least </w:t>
      </w:r>
      <w:r>
        <w:rPr>
          <w:spacing w:val="-5"/>
          <w:sz w:val="20"/>
        </w:rPr>
        <w:t>12 </w:t>
      </w:r>
      <w:r>
        <w:rPr>
          <w:sz w:val="20"/>
        </w:rPr>
        <w:t>graduate-level credit</w:t>
      </w:r>
      <w:r>
        <w:rPr>
          <w:spacing w:val="2"/>
          <w:sz w:val="20"/>
        </w:rPr>
        <w:t> </w:t>
      </w:r>
      <w:r>
        <w:rPr>
          <w:sz w:val="20"/>
        </w:rPr>
        <w:t>hours.</w:t>
      </w:r>
    </w:p>
    <w:p>
      <w:pPr>
        <w:pStyle w:val="ListParagraph"/>
        <w:numPr>
          <w:ilvl w:val="1"/>
          <w:numId w:val="3"/>
        </w:numPr>
        <w:tabs>
          <w:tab w:pos="632" w:val="left" w:leader="none"/>
        </w:tabs>
        <w:spacing w:line="249" w:lineRule="auto" w:before="180" w:after="0"/>
        <w:ind w:left="631" w:right="50" w:hanging="216"/>
        <w:jc w:val="left"/>
        <w:rPr>
          <w:sz w:val="20"/>
        </w:rPr>
      </w:pPr>
      <w:r>
        <w:rPr>
          <w:sz w:val="20"/>
        </w:rPr>
        <w:t>All requirements </w:t>
      </w:r>
      <w:r>
        <w:rPr>
          <w:spacing w:val="-4"/>
          <w:sz w:val="20"/>
        </w:rPr>
        <w:t>for  </w:t>
      </w:r>
      <w:r>
        <w:rPr>
          <w:sz w:val="20"/>
        </w:rPr>
        <w:t>the certificate must </w:t>
      </w:r>
      <w:r>
        <w:rPr>
          <w:spacing w:val="-3"/>
          <w:sz w:val="20"/>
        </w:rPr>
        <w:t>be </w:t>
      </w:r>
      <w:r>
        <w:rPr>
          <w:sz w:val="20"/>
        </w:rPr>
        <w:t>completed within three years after admission. Periods of nonregistration (“stopping out” </w:t>
      </w:r>
      <w:r>
        <w:rPr>
          <w:spacing w:val="-3"/>
          <w:sz w:val="20"/>
        </w:rPr>
        <w:t>or approved </w:t>
      </w:r>
      <w:r>
        <w:rPr>
          <w:sz w:val="20"/>
        </w:rPr>
        <w:t>leaves of absence) are included within this three-year</w:t>
      </w:r>
      <w:r>
        <w:rPr>
          <w:spacing w:val="-18"/>
          <w:sz w:val="20"/>
        </w:rPr>
        <w:t> </w:t>
      </w:r>
      <w:r>
        <w:rPr>
          <w:sz w:val="20"/>
        </w:rPr>
        <w:t>period.</w:t>
      </w:r>
    </w:p>
    <w:p>
      <w:pPr>
        <w:pStyle w:val="ListParagraph"/>
        <w:numPr>
          <w:ilvl w:val="1"/>
          <w:numId w:val="3"/>
        </w:numPr>
        <w:tabs>
          <w:tab w:pos="632" w:val="left" w:leader="none"/>
        </w:tabs>
        <w:spacing w:line="249" w:lineRule="auto" w:before="186" w:after="0"/>
        <w:ind w:left="631" w:right="207" w:hanging="216"/>
        <w:jc w:val="left"/>
        <w:rPr>
          <w:sz w:val="20"/>
        </w:rPr>
      </w:pPr>
      <w:r>
        <w:rPr>
          <w:sz w:val="20"/>
        </w:rPr>
        <w:t>All credits </w:t>
      </w:r>
      <w:r>
        <w:rPr>
          <w:spacing w:val="-4"/>
          <w:sz w:val="20"/>
        </w:rPr>
        <w:t>for </w:t>
      </w:r>
      <w:r>
        <w:rPr>
          <w:sz w:val="20"/>
        </w:rPr>
        <w:t>a certificate must </w:t>
      </w:r>
      <w:r>
        <w:rPr>
          <w:spacing w:val="-3"/>
          <w:sz w:val="20"/>
        </w:rPr>
        <w:t>be </w:t>
      </w:r>
      <w:r>
        <w:rPr>
          <w:sz w:val="20"/>
        </w:rPr>
        <w:t>completed at the University of Maryland,</w:t>
      </w:r>
      <w:r>
        <w:rPr>
          <w:spacing w:val="-10"/>
          <w:sz w:val="20"/>
        </w:rPr>
        <w:t> </w:t>
      </w:r>
      <w:r>
        <w:rPr>
          <w:sz w:val="20"/>
        </w:rPr>
        <w:t>Baltimore.</w:t>
      </w:r>
    </w:p>
    <w:p>
      <w:pPr>
        <w:pStyle w:val="ListParagraph"/>
        <w:numPr>
          <w:ilvl w:val="1"/>
          <w:numId w:val="3"/>
        </w:numPr>
        <w:tabs>
          <w:tab w:pos="632" w:val="left" w:leader="none"/>
        </w:tabs>
        <w:spacing w:line="249" w:lineRule="auto" w:before="179" w:after="0"/>
        <w:ind w:left="631" w:right="38" w:hanging="216"/>
        <w:jc w:val="left"/>
        <w:rPr>
          <w:sz w:val="20"/>
        </w:rPr>
      </w:pPr>
      <w:r>
        <w:rPr>
          <w:sz w:val="20"/>
        </w:rPr>
        <w:t>Students are expected to meet the highest standards </w:t>
      </w:r>
      <w:r>
        <w:rPr>
          <w:spacing w:val="-3"/>
          <w:sz w:val="20"/>
        </w:rPr>
        <w:t>of </w:t>
      </w:r>
      <w:r>
        <w:rPr>
          <w:sz w:val="20"/>
        </w:rPr>
        <w:t>integrity; cheating, plagiarism, fabrication, </w:t>
      </w:r>
      <w:r>
        <w:rPr>
          <w:spacing w:val="-3"/>
          <w:sz w:val="20"/>
        </w:rPr>
        <w:t>or </w:t>
      </w:r>
      <w:r>
        <w:rPr>
          <w:sz w:val="20"/>
        </w:rPr>
        <w:t>abetting the academic dishonesty of another will result </w:t>
      </w:r>
      <w:r>
        <w:rPr>
          <w:spacing w:val="-4"/>
          <w:sz w:val="20"/>
        </w:rPr>
        <w:t>in </w:t>
      </w:r>
      <w:r>
        <w:rPr>
          <w:sz w:val="20"/>
        </w:rPr>
        <w:t>sanction and may lead to academic</w:t>
      </w:r>
      <w:r>
        <w:rPr>
          <w:spacing w:val="-14"/>
          <w:sz w:val="20"/>
        </w:rPr>
        <w:t> </w:t>
      </w:r>
      <w:r>
        <w:rPr>
          <w:sz w:val="20"/>
        </w:rPr>
        <w:t>dismissal.</w:t>
      </w:r>
    </w:p>
    <w:p>
      <w:pPr>
        <w:pStyle w:val="BodyText"/>
        <w:spacing w:line="249" w:lineRule="auto"/>
        <w:ind w:left="199" w:right="394"/>
      </w:pPr>
      <w:r>
        <w:rPr/>
        <w:t>These guidelines are applicable to all UMB graduate students regardless of instructional delivery mode (i.e., traditional, online, or hybrid).</w:t>
      </w:r>
    </w:p>
    <w:p>
      <w:pPr>
        <w:pStyle w:val="BodyText"/>
        <w:spacing w:line="249" w:lineRule="auto" w:before="180"/>
        <w:ind w:left="199" w:right="317"/>
      </w:pPr>
      <w:r>
        <w:rPr/>
        <w:t>Failure to satisfy the Graduate School’s standards of satisfactory academic performance and progress — or nonadherence to program-specific policies and requirements — subjects a student to possible academic probation and/or dismissal.</w:t>
      </w:r>
    </w:p>
    <w:p>
      <w:pPr>
        <w:pStyle w:val="Heading4"/>
        <w:spacing w:line="228" w:lineRule="auto" w:before="180"/>
        <w:ind w:right="95"/>
      </w:pPr>
      <w:r>
        <w:rPr/>
        <w:t>Academic Performance and Progress in Master of Science Programs</w:t>
      </w:r>
    </w:p>
    <w:p>
      <w:pPr>
        <w:pStyle w:val="BodyText"/>
        <w:spacing w:line="249" w:lineRule="auto"/>
        <w:ind w:right="44"/>
      </w:pPr>
      <w:r>
        <w:rPr/>
        <w:t>Satisfactory academic performance and progress within the UMB Master of Science (MS) programs is a responsibility shared by the Graduate School, the graduate programs, and students. This policy specifies the elements of satisfactory academic performance and progress for students in UMB programs required by the Graduate School. MS programs with additional criteria and requirements approved by the Graduate School are covered under this policy. Students should review all graduate program handbooks and standards.</w:t>
      </w:r>
    </w:p>
    <w:p>
      <w:pPr>
        <w:pStyle w:val="BodyText"/>
        <w:spacing w:line="249" w:lineRule="auto" w:before="190"/>
        <w:ind w:right="100"/>
      </w:pPr>
      <w:r>
        <w:rPr/>
        <w:t>Failure to satisfy the Graduate School’s standards of satisfactory academic performance and progress subjects a student to possible academic dismissal, as does nonadherence to program-specific policies and requirements.</w:t>
      </w:r>
    </w:p>
    <w:p>
      <w:pPr>
        <w:pStyle w:val="BodyText"/>
        <w:spacing w:before="181"/>
      </w:pPr>
      <w:r>
        <w:rPr/>
        <w:t>Satisfactory performance and progress is demonstrated by</w:t>
      </w:r>
    </w:p>
    <w:p>
      <w:pPr>
        <w:pStyle w:val="BodyText"/>
        <w:spacing w:before="98"/>
        <w:ind w:left="199"/>
      </w:pPr>
      <w:r>
        <w:rPr/>
        <w:br w:type="column"/>
      </w:r>
      <w:r>
        <w:rPr/>
        <w:t>adherence to the following Graduate School standards:</w:t>
      </w:r>
    </w:p>
    <w:p>
      <w:pPr>
        <w:pStyle w:val="ListParagraph"/>
        <w:numPr>
          <w:ilvl w:val="1"/>
          <w:numId w:val="3"/>
        </w:numPr>
        <w:tabs>
          <w:tab w:pos="632" w:val="left" w:leader="none"/>
        </w:tabs>
        <w:spacing w:line="249" w:lineRule="auto" w:before="188" w:after="0"/>
        <w:ind w:left="631" w:right="615" w:hanging="216"/>
        <w:jc w:val="left"/>
        <w:rPr>
          <w:sz w:val="20"/>
        </w:rPr>
      </w:pPr>
      <w:r>
        <w:rPr>
          <w:sz w:val="20"/>
        </w:rPr>
        <w:t>All graduate students must maintain a minimum, cumulative grade-point average (GPA) </w:t>
      </w:r>
      <w:r>
        <w:rPr>
          <w:spacing w:val="-3"/>
          <w:sz w:val="20"/>
        </w:rPr>
        <w:t>of </w:t>
      </w:r>
      <w:r>
        <w:rPr>
          <w:sz w:val="20"/>
        </w:rPr>
        <w:t>3.0 </w:t>
      </w:r>
      <w:r>
        <w:rPr>
          <w:spacing w:val="-3"/>
          <w:sz w:val="20"/>
        </w:rPr>
        <w:t>on </w:t>
      </w:r>
      <w:r>
        <w:rPr>
          <w:sz w:val="20"/>
        </w:rPr>
        <w:t>a 4.0 scale. The Graduate School reviews students’ academic performances each semester and session. Failure to maintain the minimum GPA requirement may result in academic</w:t>
      </w:r>
      <w:r>
        <w:rPr>
          <w:spacing w:val="-17"/>
          <w:sz w:val="20"/>
        </w:rPr>
        <w:t> </w:t>
      </w:r>
      <w:r>
        <w:rPr>
          <w:sz w:val="20"/>
        </w:rPr>
        <w:t>dismissal.</w:t>
      </w:r>
    </w:p>
    <w:p>
      <w:pPr>
        <w:pStyle w:val="ListParagraph"/>
        <w:numPr>
          <w:ilvl w:val="1"/>
          <w:numId w:val="3"/>
        </w:numPr>
        <w:tabs>
          <w:tab w:pos="632" w:val="left" w:leader="none"/>
        </w:tabs>
        <w:spacing w:line="249" w:lineRule="auto" w:before="187" w:after="0"/>
        <w:ind w:left="631" w:right="672" w:hanging="216"/>
        <w:jc w:val="left"/>
        <w:rPr>
          <w:sz w:val="20"/>
        </w:rPr>
      </w:pPr>
      <w:r>
        <w:rPr>
          <w:sz w:val="20"/>
        </w:rPr>
        <w:t>Once admitted to a graduate program, a student has the obligation to continue a course </w:t>
      </w:r>
      <w:r>
        <w:rPr>
          <w:spacing w:val="-3"/>
          <w:sz w:val="20"/>
        </w:rPr>
        <w:t>of </w:t>
      </w:r>
      <w:r>
        <w:rPr>
          <w:sz w:val="20"/>
        </w:rPr>
        <w:t>study and must register every semester in the academic year (fall and spring semesters) unless </w:t>
      </w:r>
      <w:r>
        <w:rPr>
          <w:spacing w:val="-3"/>
          <w:sz w:val="20"/>
        </w:rPr>
        <w:t>on </w:t>
      </w:r>
      <w:r>
        <w:rPr>
          <w:sz w:val="20"/>
        </w:rPr>
        <w:t>an </w:t>
      </w:r>
      <w:r>
        <w:rPr>
          <w:spacing w:val="-3"/>
          <w:sz w:val="20"/>
        </w:rPr>
        <w:t>approved </w:t>
      </w:r>
      <w:r>
        <w:rPr>
          <w:sz w:val="20"/>
        </w:rPr>
        <w:t>leave of absence. Failure to comply with the requirement to register every semester will </w:t>
      </w:r>
      <w:r>
        <w:rPr>
          <w:spacing w:val="-3"/>
          <w:sz w:val="20"/>
        </w:rPr>
        <w:t>be </w:t>
      </w:r>
      <w:r>
        <w:rPr>
          <w:sz w:val="20"/>
        </w:rPr>
        <w:t>taken as evidence that the student has terminated their program and admission status in the Graduate</w:t>
      </w:r>
      <w:r>
        <w:rPr>
          <w:spacing w:val="-6"/>
          <w:sz w:val="20"/>
        </w:rPr>
        <w:t> </w:t>
      </w:r>
      <w:r>
        <w:rPr>
          <w:sz w:val="20"/>
        </w:rPr>
        <w:t>School.</w:t>
      </w:r>
    </w:p>
    <w:p>
      <w:pPr>
        <w:pStyle w:val="ListParagraph"/>
        <w:numPr>
          <w:ilvl w:val="1"/>
          <w:numId w:val="3"/>
        </w:numPr>
        <w:tabs>
          <w:tab w:pos="685" w:val="left" w:leader="none"/>
        </w:tabs>
        <w:spacing w:line="249" w:lineRule="auto" w:before="183" w:after="0"/>
        <w:ind w:left="631" w:right="727" w:hanging="216"/>
        <w:jc w:val="left"/>
        <w:rPr>
          <w:sz w:val="20"/>
        </w:rPr>
      </w:pPr>
      <w:r>
        <w:rPr/>
        <w:tab/>
      </w:r>
      <w:r>
        <w:rPr>
          <w:sz w:val="20"/>
        </w:rPr>
        <w:t>Any student admitted provisionally will </w:t>
      </w:r>
      <w:r>
        <w:rPr>
          <w:spacing w:val="-3"/>
          <w:sz w:val="20"/>
        </w:rPr>
        <w:t>be </w:t>
      </w:r>
      <w:r>
        <w:rPr>
          <w:sz w:val="20"/>
        </w:rPr>
        <w:t>granted full graduate status when the provisions have </w:t>
      </w:r>
      <w:r>
        <w:rPr>
          <w:spacing w:val="-4"/>
          <w:sz w:val="20"/>
        </w:rPr>
        <w:t>been </w:t>
      </w:r>
      <w:r>
        <w:rPr>
          <w:sz w:val="20"/>
        </w:rPr>
        <w:t>satisfied. Provisionally admitted students who fail to meet the terms </w:t>
      </w:r>
      <w:r>
        <w:rPr>
          <w:spacing w:val="-3"/>
          <w:sz w:val="20"/>
        </w:rPr>
        <w:t>of </w:t>
      </w:r>
      <w:r>
        <w:rPr>
          <w:sz w:val="20"/>
        </w:rPr>
        <w:t>their admission may </w:t>
      </w:r>
      <w:r>
        <w:rPr>
          <w:spacing w:val="-3"/>
          <w:sz w:val="20"/>
        </w:rPr>
        <w:t>be</w:t>
      </w:r>
      <w:r>
        <w:rPr>
          <w:spacing w:val="-9"/>
          <w:sz w:val="20"/>
        </w:rPr>
        <w:t> </w:t>
      </w:r>
      <w:r>
        <w:rPr>
          <w:sz w:val="20"/>
        </w:rPr>
        <w:t>dismissed.</w:t>
      </w:r>
    </w:p>
    <w:p>
      <w:pPr>
        <w:pStyle w:val="ListParagraph"/>
        <w:numPr>
          <w:ilvl w:val="1"/>
          <w:numId w:val="3"/>
        </w:numPr>
        <w:tabs>
          <w:tab w:pos="632" w:val="left" w:leader="none"/>
        </w:tabs>
        <w:spacing w:line="249" w:lineRule="auto" w:before="185" w:after="0"/>
        <w:ind w:left="631" w:right="658" w:hanging="216"/>
        <w:jc w:val="left"/>
        <w:rPr>
          <w:sz w:val="20"/>
        </w:rPr>
      </w:pPr>
      <w:r>
        <w:rPr>
          <w:sz w:val="20"/>
        </w:rPr>
        <w:t>The entire course </w:t>
      </w:r>
      <w:r>
        <w:rPr>
          <w:spacing w:val="-3"/>
          <w:sz w:val="20"/>
        </w:rPr>
        <w:t>of </w:t>
      </w:r>
      <w:r>
        <w:rPr>
          <w:sz w:val="20"/>
        </w:rPr>
        <w:t>study undertaken </w:t>
      </w:r>
      <w:r>
        <w:rPr>
          <w:spacing w:val="-4"/>
          <w:sz w:val="20"/>
        </w:rPr>
        <w:t>for </w:t>
      </w:r>
      <w:r>
        <w:rPr>
          <w:sz w:val="20"/>
        </w:rPr>
        <w:t>the Master of Science degree must form a unified, coherent program approved by the student’s advisor and the Graduate School. Students inadequately prepared </w:t>
      </w:r>
      <w:r>
        <w:rPr>
          <w:spacing w:val="-4"/>
          <w:sz w:val="20"/>
        </w:rPr>
        <w:t>for </w:t>
      </w:r>
      <w:r>
        <w:rPr>
          <w:sz w:val="20"/>
        </w:rPr>
        <w:t>the required graduate courses may need to take additional courses to supplement their undergraduate work. These courses may not </w:t>
      </w:r>
      <w:r>
        <w:rPr>
          <w:spacing w:val="-3"/>
          <w:sz w:val="20"/>
        </w:rPr>
        <w:t>be </w:t>
      </w:r>
      <w:r>
        <w:rPr>
          <w:sz w:val="20"/>
        </w:rPr>
        <w:t>considered as part </w:t>
      </w:r>
      <w:r>
        <w:rPr>
          <w:spacing w:val="-5"/>
          <w:sz w:val="20"/>
        </w:rPr>
        <w:t>of </w:t>
      </w:r>
      <w:r>
        <w:rPr>
          <w:sz w:val="20"/>
        </w:rPr>
        <w:t>the graduate</w:t>
      </w:r>
      <w:r>
        <w:rPr>
          <w:spacing w:val="-3"/>
          <w:sz w:val="20"/>
        </w:rPr>
        <w:t> </w:t>
      </w:r>
      <w:r>
        <w:rPr>
          <w:sz w:val="20"/>
        </w:rPr>
        <w:t>program.</w:t>
      </w:r>
    </w:p>
    <w:p>
      <w:pPr>
        <w:pStyle w:val="ListParagraph"/>
        <w:numPr>
          <w:ilvl w:val="1"/>
          <w:numId w:val="3"/>
        </w:numPr>
        <w:tabs>
          <w:tab w:pos="632" w:val="left" w:leader="none"/>
        </w:tabs>
        <w:spacing w:line="249" w:lineRule="auto" w:before="184" w:after="0"/>
        <w:ind w:left="631" w:right="638" w:hanging="216"/>
        <w:jc w:val="left"/>
        <w:rPr>
          <w:sz w:val="20"/>
        </w:rPr>
      </w:pPr>
      <w:r>
        <w:rPr>
          <w:sz w:val="20"/>
        </w:rPr>
        <w:t>The minimum number </w:t>
      </w:r>
      <w:r>
        <w:rPr>
          <w:spacing w:val="-3"/>
          <w:sz w:val="20"/>
        </w:rPr>
        <w:t>of </w:t>
      </w:r>
      <w:r>
        <w:rPr>
          <w:sz w:val="20"/>
        </w:rPr>
        <w:t>credits required by the University and the Graduate School </w:t>
      </w:r>
      <w:r>
        <w:rPr>
          <w:spacing w:val="-4"/>
          <w:sz w:val="20"/>
        </w:rPr>
        <w:t>for </w:t>
      </w:r>
      <w:r>
        <w:rPr>
          <w:sz w:val="20"/>
        </w:rPr>
        <w:t>the master’s degree is 30. Some programs </w:t>
      </w:r>
      <w:r>
        <w:rPr>
          <w:spacing w:val="-3"/>
          <w:sz w:val="20"/>
        </w:rPr>
        <w:t>or </w:t>
      </w:r>
      <w:r>
        <w:rPr>
          <w:sz w:val="20"/>
        </w:rPr>
        <w:t>degree specializations require more credits. Students in a thesis option program must complete a minimum </w:t>
      </w:r>
      <w:r>
        <w:rPr>
          <w:spacing w:val="-3"/>
          <w:sz w:val="20"/>
        </w:rPr>
        <w:t>of </w:t>
      </w:r>
      <w:r>
        <w:rPr>
          <w:sz w:val="20"/>
        </w:rPr>
        <w:t>6 credits </w:t>
      </w:r>
      <w:r>
        <w:rPr>
          <w:spacing w:val="-3"/>
          <w:sz w:val="20"/>
        </w:rPr>
        <w:t>of </w:t>
      </w:r>
      <w:r>
        <w:rPr>
          <w:sz w:val="20"/>
        </w:rPr>
        <w:t>master’s thesis</w:t>
      </w:r>
      <w:r>
        <w:rPr>
          <w:spacing w:val="-10"/>
          <w:sz w:val="20"/>
        </w:rPr>
        <w:t> </w:t>
      </w:r>
      <w:r>
        <w:rPr>
          <w:sz w:val="20"/>
        </w:rPr>
        <w:t>research.</w:t>
      </w:r>
    </w:p>
    <w:p>
      <w:pPr>
        <w:pStyle w:val="ListParagraph"/>
        <w:numPr>
          <w:ilvl w:val="1"/>
          <w:numId w:val="3"/>
        </w:numPr>
        <w:tabs>
          <w:tab w:pos="632" w:val="left" w:leader="none"/>
        </w:tabs>
        <w:spacing w:line="249" w:lineRule="auto" w:before="187" w:after="0"/>
        <w:ind w:left="631" w:right="643" w:hanging="216"/>
        <w:jc w:val="left"/>
        <w:rPr>
          <w:sz w:val="20"/>
        </w:rPr>
      </w:pPr>
      <w:r>
        <w:rPr>
          <w:sz w:val="20"/>
        </w:rPr>
        <w:t>No more than 6 credits </w:t>
      </w:r>
      <w:r>
        <w:rPr>
          <w:spacing w:val="-3"/>
          <w:sz w:val="20"/>
        </w:rPr>
        <w:t>or </w:t>
      </w:r>
      <w:r>
        <w:rPr>
          <w:sz w:val="20"/>
        </w:rPr>
        <w:t>two courses </w:t>
      </w:r>
      <w:r>
        <w:rPr>
          <w:spacing w:val="-3"/>
          <w:sz w:val="20"/>
        </w:rPr>
        <w:t>of </w:t>
      </w:r>
      <w:r>
        <w:rPr>
          <w:sz w:val="20"/>
        </w:rPr>
        <w:t>graduate coursework taken as a nondegree student </w:t>
      </w:r>
      <w:r>
        <w:rPr>
          <w:spacing w:val="-3"/>
          <w:sz w:val="20"/>
        </w:rPr>
        <w:t>or </w:t>
      </w:r>
      <w:r>
        <w:rPr>
          <w:sz w:val="20"/>
        </w:rPr>
        <w:t>at </w:t>
      </w:r>
      <w:r>
        <w:rPr>
          <w:spacing w:val="-3"/>
          <w:sz w:val="20"/>
        </w:rPr>
        <w:t>other </w:t>
      </w:r>
      <w:r>
        <w:rPr>
          <w:sz w:val="20"/>
        </w:rPr>
        <w:t>regionally accredited institutions before</w:t>
      </w:r>
      <w:r>
        <w:rPr>
          <w:spacing w:val="-29"/>
          <w:sz w:val="20"/>
        </w:rPr>
        <w:t> </w:t>
      </w:r>
      <w:r>
        <w:rPr>
          <w:sz w:val="20"/>
        </w:rPr>
        <w:t>matriculation in the Graduate </w:t>
      </w:r>
      <w:r>
        <w:rPr>
          <w:spacing w:val="-2"/>
          <w:sz w:val="20"/>
        </w:rPr>
        <w:t>School </w:t>
      </w:r>
      <w:r>
        <w:rPr>
          <w:sz w:val="20"/>
        </w:rPr>
        <w:t>may apply toward the master’s degree. A request </w:t>
      </w:r>
      <w:r>
        <w:rPr>
          <w:spacing w:val="-4"/>
          <w:sz w:val="20"/>
        </w:rPr>
        <w:t>for </w:t>
      </w:r>
      <w:r>
        <w:rPr>
          <w:sz w:val="20"/>
        </w:rPr>
        <w:t>transfer </w:t>
      </w:r>
      <w:r>
        <w:rPr>
          <w:spacing w:val="-3"/>
          <w:sz w:val="20"/>
        </w:rPr>
        <w:t>of </w:t>
      </w:r>
      <w:r>
        <w:rPr>
          <w:sz w:val="20"/>
        </w:rPr>
        <w:t>credit should </w:t>
      </w:r>
      <w:r>
        <w:rPr>
          <w:spacing w:val="-3"/>
          <w:sz w:val="20"/>
        </w:rPr>
        <w:t>be </w:t>
      </w:r>
      <w:r>
        <w:rPr>
          <w:sz w:val="20"/>
        </w:rPr>
        <w:t>completed shortly after matriculation. The student’s advisor and graduate program </w:t>
      </w:r>
      <w:r>
        <w:rPr>
          <w:spacing w:val="-3"/>
          <w:sz w:val="20"/>
        </w:rPr>
        <w:t>director </w:t>
      </w:r>
      <w:r>
        <w:rPr>
          <w:sz w:val="20"/>
        </w:rPr>
        <w:t>must approve the form and submit it to the Graduate School. Official transcripts </w:t>
      </w:r>
      <w:r>
        <w:rPr>
          <w:spacing w:val="-3"/>
          <w:sz w:val="20"/>
        </w:rPr>
        <w:t>of </w:t>
      </w:r>
      <w:r>
        <w:rPr>
          <w:sz w:val="20"/>
        </w:rPr>
        <w:t>the courses </w:t>
      </w:r>
      <w:r>
        <w:rPr>
          <w:spacing w:val="-4"/>
          <w:sz w:val="20"/>
        </w:rPr>
        <w:t>for </w:t>
      </w:r>
      <w:r>
        <w:rPr>
          <w:sz w:val="20"/>
        </w:rPr>
        <w:t>which credit is requested must accompany the Transfer Request form. The student is </w:t>
      </w:r>
      <w:r>
        <w:rPr>
          <w:spacing w:val="-3"/>
          <w:sz w:val="20"/>
        </w:rPr>
        <w:t>subject </w:t>
      </w:r>
      <w:r>
        <w:rPr>
          <w:sz w:val="20"/>
        </w:rPr>
        <w:t>to final examination in all work offered for the</w:t>
      </w:r>
      <w:r>
        <w:rPr>
          <w:spacing w:val="-5"/>
          <w:sz w:val="20"/>
        </w:rPr>
        <w:t> </w:t>
      </w:r>
      <w:r>
        <w:rPr>
          <w:sz w:val="20"/>
        </w:rPr>
        <w:t>degree.</w:t>
      </w:r>
    </w:p>
    <w:p>
      <w:pPr>
        <w:pStyle w:val="ListParagraph"/>
        <w:numPr>
          <w:ilvl w:val="1"/>
          <w:numId w:val="3"/>
        </w:numPr>
        <w:tabs>
          <w:tab w:pos="631" w:val="left" w:leader="none"/>
        </w:tabs>
        <w:spacing w:line="249" w:lineRule="auto" w:before="186" w:after="0"/>
        <w:ind w:left="631" w:right="856" w:hanging="216"/>
        <w:jc w:val="left"/>
        <w:rPr>
          <w:sz w:val="20"/>
        </w:rPr>
      </w:pPr>
      <w:r>
        <w:rPr>
          <w:sz w:val="20"/>
        </w:rPr>
        <w:t>The Graduate School </w:t>
      </w:r>
      <w:r>
        <w:rPr>
          <w:spacing w:val="-3"/>
          <w:sz w:val="20"/>
        </w:rPr>
        <w:t>does </w:t>
      </w:r>
      <w:r>
        <w:rPr>
          <w:sz w:val="20"/>
        </w:rPr>
        <w:t>not allow transfer credit for any courses applied to any other degree.</w:t>
      </w:r>
      <w:r>
        <w:rPr>
          <w:spacing w:val="-10"/>
          <w:sz w:val="20"/>
        </w:rPr>
        <w:t> </w:t>
      </w:r>
      <w:r>
        <w:rPr>
          <w:sz w:val="20"/>
        </w:rPr>
        <w:t>The</w:t>
      </w:r>
    </w:p>
    <w:p>
      <w:pPr>
        <w:spacing w:after="0" w:line="249" w:lineRule="auto"/>
        <w:jc w:val="left"/>
        <w:rPr>
          <w:sz w:val="20"/>
        </w:rPr>
        <w:sectPr>
          <w:pgSz w:w="12240" w:h="15840"/>
          <w:pgMar w:header="746" w:footer="0" w:top="1320" w:bottom="280" w:left="880" w:right="300"/>
          <w:cols w:num="2" w:equalWidth="0">
            <w:col w:w="5007" w:space="480"/>
            <w:col w:w="5573"/>
          </w:cols>
        </w:sectPr>
      </w:pPr>
    </w:p>
    <w:p>
      <w:pPr>
        <w:pStyle w:val="BodyText"/>
        <w:spacing w:line="249" w:lineRule="auto" w:before="100"/>
        <w:ind w:left="631" w:right="79"/>
      </w:pPr>
      <w:r>
        <w:rPr/>
        <w:t>Graduate School does not grant credit for correspondence courses or “credit by examination” courses taken at other universities. Also, note that the Graduate School only transfers credit, not grades, from other universities.</w:t>
      </w:r>
    </w:p>
    <w:p>
      <w:pPr>
        <w:pStyle w:val="ListParagraph"/>
        <w:numPr>
          <w:ilvl w:val="1"/>
          <w:numId w:val="3"/>
        </w:numPr>
        <w:tabs>
          <w:tab w:pos="632" w:val="left" w:leader="none"/>
        </w:tabs>
        <w:spacing w:line="249" w:lineRule="auto" w:before="181" w:after="0"/>
        <w:ind w:left="632" w:right="52" w:hanging="216"/>
        <w:jc w:val="left"/>
        <w:rPr>
          <w:sz w:val="20"/>
        </w:rPr>
      </w:pPr>
      <w:r>
        <w:rPr>
          <w:sz w:val="20"/>
        </w:rPr>
        <w:t>Students must satisfactorily complete coursework and the required curriculum in a timely fashion. All requirements </w:t>
      </w:r>
      <w:r>
        <w:rPr>
          <w:spacing w:val="-4"/>
          <w:sz w:val="20"/>
        </w:rPr>
        <w:t>for </w:t>
      </w:r>
      <w:r>
        <w:rPr>
          <w:sz w:val="20"/>
        </w:rPr>
        <w:t>the master’s degree must </w:t>
      </w:r>
      <w:r>
        <w:rPr>
          <w:spacing w:val="-3"/>
          <w:sz w:val="20"/>
        </w:rPr>
        <w:t>be </w:t>
      </w:r>
      <w:r>
        <w:rPr>
          <w:sz w:val="20"/>
        </w:rPr>
        <w:t>completed within a five-year period. Courses completed more than </w:t>
      </w:r>
      <w:r>
        <w:rPr>
          <w:spacing w:val="-3"/>
          <w:sz w:val="20"/>
        </w:rPr>
        <w:t>five </w:t>
      </w:r>
      <w:r>
        <w:rPr>
          <w:sz w:val="20"/>
        </w:rPr>
        <w:t>years before the expected date </w:t>
      </w:r>
      <w:r>
        <w:rPr>
          <w:spacing w:val="-4"/>
          <w:sz w:val="20"/>
        </w:rPr>
        <w:t>for </w:t>
      </w:r>
      <w:r>
        <w:rPr>
          <w:sz w:val="20"/>
        </w:rPr>
        <w:t>receiving the master’s degree will not count toward that degree. The period </w:t>
      </w:r>
      <w:r>
        <w:rPr>
          <w:spacing w:val="-3"/>
          <w:sz w:val="20"/>
        </w:rPr>
        <w:t>of </w:t>
      </w:r>
      <w:r>
        <w:rPr>
          <w:sz w:val="20"/>
        </w:rPr>
        <w:t>an approved </w:t>
      </w:r>
      <w:r>
        <w:rPr>
          <w:spacing w:val="-3"/>
          <w:sz w:val="20"/>
        </w:rPr>
        <w:t>leave </w:t>
      </w:r>
      <w:r>
        <w:rPr>
          <w:sz w:val="20"/>
        </w:rPr>
        <w:t>of absence is included within the five-year</w:t>
      </w:r>
      <w:r>
        <w:rPr>
          <w:spacing w:val="-11"/>
          <w:sz w:val="20"/>
        </w:rPr>
        <w:t> </w:t>
      </w:r>
      <w:r>
        <w:rPr>
          <w:sz w:val="20"/>
        </w:rPr>
        <w:t>period.</w:t>
      </w:r>
    </w:p>
    <w:p>
      <w:pPr>
        <w:pStyle w:val="ListParagraph"/>
        <w:numPr>
          <w:ilvl w:val="1"/>
          <w:numId w:val="3"/>
        </w:numPr>
        <w:tabs>
          <w:tab w:pos="632" w:val="left" w:leader="none"/>
        </w:tabs>
        <w:spacing w:line="249" w:lineRule="auto" w:before="188" w:after="0"/>
        <w:ind w:left="632" w:right="111" w:hanging="216"/>
        <w:jc w:val="left"/>
        <w:rPr>
          <w:sz w:val="20"/>
        </w:rPr>
      </w:pPr>
      <w:r>
        <w:rPr>
          <w:sz w:val="20"/>
        </w:rPr>
        <w:t>Students must adhere to the appropriate thesis </w:t>
      </w:r>
      <w:r>
        <w:rPr>
          <w:spacing w:val="-3"/>
          <w:sz w:val="20"/>
        </w:rPr>
        <w:t>or </w:t>
      </w:r>
      <w:r>
        <w:rPr>
          <w:sz w:val="20"/>
        </w:rPr>
        <w:t>nonthesis guidelines outlined by the Graduate </w:t>
      </w:r>
      <w:r>
        <w:rPr>
          <w:spacing w:val="-3"/>
          <w:sz w:val="20"/>
        </w:rPr>
        <w:t>School </w:t>
      </w:r>
      <w:r>
        <w:rPr>
          <w:sz w:val="20"/>
        </w:rPr>
        <w:t>and the</w:t>
      </w:r>
      <w:r>
        <w:rPr>
          <w:spacing w:val="-5"/>
          <w:sz w:val="20"/>
        </w:rPr>
        <w:t> </w:t>
      </w:r>
      <w:r>
        <w:rPr>
          <w:sz w:val="20"/>
        </w:rPr>
        <w:t>program.</w:t>
      </w:r>
    </w:p>
    <w:p>
      <w:pPr>
        <w:pStyle w:val="ListParagraph"/>
        <w:numPr>
          <w:ilvl w:val="1"/>
          <w:numId w:val="3"/>
        </w:numPr>
        <w:tabs>
          <w:tab w:pos="632" w:val="left" w:leader="none"/>
        </w:tabs>
        <w:spacing w:line="249" w:lineRule="auto" w:before="180" w:after="0"/>
        <w:ind w:left="631" w:right="236" w:hanging="216"/>
        <w:jc w:val="left"/>
        <w:rPr>
          <w:sz w:val="20"/>
        </w:rPr>
      </w:pPr>
      <w:r>
        <w:rPr>
          <w:sz w:val="20"/>
        </w:rPr>
        <w:t>Students in an MS program </w:t>
      </w:r>
      <w:r>
        <w:rPr>
          <w:spacing w:val="-3"/>
          <w:sz w:val="20"/>
        </w:rPr>
        <w:t>with </w:t>
      </w:r>
      <w:r>
        <w:rPr>
          <w:sz w:val="20"/>
        </w:rPr>
        <w:t>clinical </w:t>
      </w:r>
      <w:r>
        <w:rPr>
          <w:spacing w:val="-3"/>
          <w:sz w:val="20"/>
        </w:rPr>
        <w:t>or </w:t>
      </w:r>
      <w:r>
        <w:rPr>
          <w:sz w:val="20"/>
        </w:rPr>
        <w:t>experimental requirements are expected to meet the requirements, standards, and expectations </w:t>
      </w:r>
      <w:r>
        <w:rPr>
          <w:spacing w:val="-3"/>
          <w:sz w:val="20"/>
        </w:rPr>
        <w:t>of </w:t>
      </w:r>
      <w:r>
        <w:rPr>
          <w:sz w:val="20"/>
        </w:rPr>
        <w:t>those experiences.</w:t>
      </w:r>
    </w:p>
    <w:p>
      <w:pPr>
        <w:pStyle w:val="ListParagraph"/>
        <w:numPr>
          <w:ilvl w:val="1"/>
          <w:numId w:val="3"/>
        </w:numPr>
        <w:tabs>
          <w:tab w:pos="632" w:val="left" w:leader="none"/>
        </w:tabs>
        <w:spacing w:line="249" w:lineRule="auto" w:before="185" w:after="0"/>
        <w:ind w:left="631" w:right="38" w:hanging="216"/>
        <w:jc w:val="left"/>
        <w:rPr>
          <w:sz w:val="20"/>
        </w:rPr>
      </w:pPr>
      <w:r>
        <w:rPr>
          <w:sz w:val="20"/>
        </w:rPr>
        <w:t>Students are expected to meet the highest standards </w:t>
      </w:r>
      <w:r>
        <w:rPr>
          <w:spacing w:val="-3"/>
          <w:sz w:val="20"/>
        </w:rPr>
        <w:t>of </w:t>
      </w:r>
      <w:r>
        <w:rPr>
          <w:sz w:val="20"/>
        </w:rPr>
        <w:t>integrity; the success of the entire academic  enterprise depends </w:t>
      </w:r>
      <w:r>
        <w:rPr>
          <w:spacing w:val="-5"/>
          <w:sz w:val="20"/>
        </w:rPr>
        <w:t>on </w:t>
      </w:r>
      <w:r>
        <w:rPr>
          <w:sz w:val="20"/>
        </w:rPr>
        <w:t>them doing </w:t>
      </w:r>
      <w:r>
        <w:rPr>
          <w:spacing w:val="-3"/>
          <w:sz w:val="20"/>
        </w:rPr>
        <w:t>so. </w:t>
      </w:r>
      <w:r>
        <w:rPr>
          <w:sz w:val="20"/>
        </w:rPr>
        <w:t>Cheating, plagiarism, fabrication, </w:t>
      </w:r>
      <w:r>
        <w:rPr>
          <w:spacing w:val="-3"/>
          <w:sz w:val="20"/>
        </w:rPr>
        <w:t>or </w:t>
      </w:r>
      <w:r>
        <w:rPr>
          <w:sz w:val="20"/>
        </w:rPr>
        <w:t>abetting the academic dishonesty of another will result in sanction and may lead to academic</w:t>
      </w:r>
      <w:r>
        <w:rPr>
          <w:spacing w:val="-6"/>
          <w:sz w:val="20"/>
        </w:rPr>
        <w:t> </w:t>
      </w:r>
      <w:r>
        <w:rPr>
          <w:sz w:val="20"/>
        </w:rPr>
        <w:t>dismissal.</w:t>
      </w:r>
    </w:p>
    <w:p>
      <w:pPr>
        <w:pStyle w:val="Heading4"/>
        <w:spacing w:before="166"/>
      </w:pPr>
      <w:r>
        <w:rPr/>
        <w:t>Master of Science Thesis Option Requirements</w:t>
      </w:r>
    </w:p>
    <w:p>
      <w:pPr>
        <w:pStyle w:val="BodyText"/>
        <w:spacing w:line="249" w:lineRule="auto" w:before="188"/>
        <w:ind w:right="143"/>
      </w:pPr>
      <w:r>
        <w:rPr/>
        <w:t>Students must complete a minimum of 30 credits, including 6 credits of master’s thesis research (799), for the Master of Science degree. Of the remaining 24 credit hours required in graduate courses, no fewer than 12 must be selected from courses numbered 600 or above.</w:t>
      </w:r>
    </w:p>
    <w:p>
      <w:pPr>
        <w:pStyle w:val="BodyText"/>
        <w:spacing w:line="249" w:lineRule="auto" w:before="181"/>
        <w:ind w:right="110"/>
      </w:pPr>
      <w:r>
        <w:rPr/>
        <w:t>Examination of the master’s thesis is conducted by the candidate’s master’s examination committee. This committee comprises a minimum of three and a maximum of five voting members, all of whom must hold the doctoral degree or the highest degree for the discipline.</w:t>
      </w:r>
    </w:p>
    <w:p>
      <w:pPr>
        <w:pStyle w:val="BodyText"/>
        <w:spacing w:line="249" w:lineRule="auto" w:before="4"/>
        <w:ind w:right="46"/>
      </w:pPr>
      <w:r>
        <w:rPr/>
        <w:t>The committee must include the candidate’s master’s thesis advisor. One </w:t>
      </w:r>
      <w:r>
        <w:rPr>
          <w:spacing w:val="-5"/>
        </w:rPr>
        <w:t>or </w:t>
      </w:r>
      <w:r>
        <w:rPr/>
        <w:t>two members may </w:t>
      </w:r>
      <w:r>
        <w:rPr>
          <w:spacing w:val="-3"/>
        </w:rPr>
        <w:t>be </w:t>
      </w:r>
      <w:r>
        <w:rPr/>
        <w:t>from programs separate from the candidate’s. At least three </w:t>
      </w:r>
      <w:r>
        <w:rPr>
          <w:spacing w:val="-3"/>
        </w:rPr>
        <w:t>of </w:t>
      </w:r>
      <w:r>
        <w:rPr/>
        <w:t>the committee members must </w:t>
      </w:r>
      <w:r>
        <w:rPr>
          <w:spacing w:val="-3"/>
        </w:rPr>
        <w:t>be </w:t>
      </w:r>
      <w:r>
        <w:rPr/>
        <w:t>graduate faculty</w:t>
      </w:r>
      <w:r>
        <w:rPr>
          <w:spacing w:val="-12"/>
        </w:rPr>
        <w:t> </w:t>
      </w:r>
      <w:r>
        <w:rPr/>
        <w:t>members.</w:t>
      </w:r>
    </w:p>
    <w:p>
      <w:pPr>
        <w:pStyle w:val="BodyText"/>
        <w:spacing w:line="249" w:lineRule="auto" w:before="3"/>
        <w:ind w:right="116"/>
      </w:pPr>
      <w:r>
        <w:rPr/>
        <w:t>The Graduate School dean selects one committee member as the Graduate School representative. The Graduate School representative, who must be a member of the graduate faculty and not the committee chair, is responsible for ensuring that the examination is conducted according to established procedures.</w:t>
      </w:r>
    </w:p>
    <w:p>
      <w:pPr>
        <w:pStyle w:val="BodyText"/>
        <w:spacing w:line="249" w:lineRule="auto" w:before="98"/>
        <w:ind w:right="694"/>
      </w:pPr>
      <w:r>
        <w:rPr/>
        <w:br w:type="column"/>
      </w:r>
      <w:r>
        <w:rPr/>
        <w:t>The committee chair must be a member of the graduate faculty and is normally the candidate’s advisor. The chair is responsible for nominating the committee members to the Graduate School dean. If a candidate’s advisor is not a member of the graduate faculty, the candidate’s program director is responsible for appointing a graduate faculty member from within the program to serve as chair.</w:t>
      </w:r>
    </w:p>
    <w:p>
      <w:pPr>
        <w:pStyle w:val="BodyText"/>
        <w:spacing w:line="249" w:lineRule="auto" w:before="5"/>
        <w:ind w:right="605"/>
      </w:pPr>
      <w:r>
        <w:rPr/>
        <w:t>Nomination of committee members must be made by the chair at least two months before the date of the final master’s examination. After receiving the completed nomination form, the dean of the Graduate School appoints the committee and designates the Graduate School representative.</w:t>
      </w:r>
    </w:p>
    <w:p>
      <w:pPr>
        <w:pStyle w:val="BodyText"/>
        <w:spacing w:line="249" w:lineRule="auto" w:before="182"/>
        <w:ind w:right="633"/>
      </w:pPr>
      <w:r>
        <w:rPr/>
        <w:t>The chair must sign the Certification of Completion of Master’s Thesis form and return it to the Graduate School at least two weeks (a minimum of 10 working days) before the proposed examination date. The signature of the chair certifies that the master’s thesis is ready to be defended.</w:t>
      </w:r>
    </w:p>
    <w:p>
      <w:pPr>
        <w:pStyle w:val="BodyText"/>
        <w:spacing w:line="249" w:lineRule="auto" w:before="4"/>
        <w:ind w:right="653"/>
      </w:pPr>
      <w:r>
        <w:rPr/>
        <w:t>Any minor or typographical corrections or amendments resulting from the master’s examination must be incorporated in the master’s thesis by the student before the student turns in/uploads a final master’s thesis to the Graduate School. The signature of the student’s advisor on the approval sheet certifies that the student has made all required corrections. Beyond the oral master’s examination, the program committee may require a comprehensive written examination.</w:t>
      </w:r>
    </w:p>
    <w:p>
      <w:pPr>
        <w:pStyle w:val="BodyText"/>
        <w:spacing w:line="249" w:lineRule="auto" w:before="189"/>
        <w:ind w:right="660"/>
      </w:pPr>
      <w:r>
        <w:rPr/>
        <w:t>Complete final examination policies and procedures, including a description of the conduct and outcomes of the examination, are in the Procedures for Examination of the Master’s Thesis section. This document is available from the Graduate School and online.</w:t>
      </w:r>
    </w:p>
    <w:p>
      <w:pPr>
        <w:pStyle w:val="Heading4"/>
        <w:spacing w:before="167"/>
      </w:pPr>
      <w:r>
        <w:rPr/>
        <w:t>Master of Science Nonthesis</w:t>
      </w:r>
      <w:r>
        <w:rPr>
          <w:spacing w:val="-10"/>
        </w:rPr>
        <w:t> </w:t>
      </w:r>
      <w:r>
        <w:rPr/>
        <w:t>Option</w:t>
      </w:r>
    </w:p>
    <w:p>
      <w:pPr>
        <w:pStyle w:val="BodyText"/>
        <w:spacing w:line="249" w:lineRule="auto" w:before="188"/>
        <w:ind w:right="642"/>
      </w:pPr>
      <w:r>
        <w:rPr/>
        <w:t>The requirements </w:t>
      </w:r>
      <w:r>
        <w:rPr>
          <w:spacing w:val="-4"/>
        </w:rPr>
        <w:t>for </w:t>
      </w:r>
      <w:r>
        <w:rPr/>
        <w:t>the Master </w:t>
      </w:r>
      <w:r>
        <w:rPr>
          <w:spacing w:val="-3"/>
        </w:rPr>
        <w:t>of </w:t>
      </w:r>
      <w:r>
        <w:rPr/>
        <w:t>Science degree without thesis vary among programs in which this </w:t>
      </w:r>
      <w:r>
        <w:rPr>
          <w:spacing w:val="-3"/>
        </w:rPr>
        <w:t>option </w:t>
      </w:r>
      <w:r>
        <w:rPr/>
        <w:t>is available. Standards </w:t>
      </w:r>
      <w:r>
        <w:rPr>
          <w:spacing w:val="-4"/>
        </w:rPr>
        <w:t>for </w:t>
      </w:r>
      <w:r>
        <w:rPr/>
        <w:t>admission, however, are identical to those for admission to any master’s program. The quality of the work expected </w:t>
      </w:r>
      <w:r>
        <w:rPr>
          <w:spacing w:val="-3"/>
        </w:rPr>
        <w:t>of </w:t>
      </w:r>
      <w:r>
        <w:rPr/>
        <w:t>the student also is identical to that expected in the thesis programs. The general requirements </w:t>
      </w:r>
      <w:r>
        <w:rPr>
          <w:spacing w:val="-4"/>
        </w:rPr>
        <w:t>for </w:t>
      </w:r>
      <w:r>
        <w:rPr/>
        <w:t>students choosing the nonthesis </w:t>
      </w:r>
      <w:r>
        <w:rPr>
          <w:spacing w:val="-3"/>
        </w:rPr>
        <w:t>option </w:t>
      </w:r>
      <w:r>
        <w:rPr/>
        <w:t>are: an overall average grade </w:t>
      </w:r>
      <w:r>
        <w:rPr>
          <w:spacing w:val="-3"/>
        </w:rPr>
        <w:t>of </w:t>
      </w:r>
      <w:r>
        <w:rPr/>
        <w:t>B in all coursework taken; of the total credits required </w:t>
      </w:r>
      <w:r>
        <w:rPr>
          <w:spacing w:val="-3"/>
        </w:rPr>
        <w:t>by </w:t>
      </w:r>
      <w:r>
        <w:rPr/>
        <w:t>a program, a total </w:t>
      </w:r>
      <w:r>
        <w:rPr>
          <w:spacing w:val="-3"/>
        </w:rPr>
        <w:t>of </w:t>
      </w:r>
      <w:r>
        <w:rPr/>
        <w:t>18 numbered 600 </w:t>
      </w:r>
      <w:r>
        <w:rPr>
          <w:spacing w:val="-3"/>
        </w:rPr>
        <w:t>or above; </w:t>
      </w:r>
      <w:r>
        <w:rPr/>
        <w:t>and a passing grade </w:t>
      </w:r>
      <w:r>
        <w:rPr>
          <w:spacing w:val="-3"/>
        </w:rPr>
        <w:t>on </w:t>
      </w:r>
      <w:r>
        <w:rPr/>
        <w:t>a written comprehensive examination. The program must </w:t>
      </w:r>
      <w:r>
        <w:rPr>
          <w:spacing w:val="-3"/>
        </w:rPr>
        <w:t>certify, on </w:t>
      </w:r>
      <w:r>
        <w:rPr/>
        <w:t>the form provided </w:t>
      </w:r>
      <w:r>
        <w:rPr>
          <w:spacing w:val="-4"/>
        </w:rPr>
        <w:t>for </w:t>
      </w:r>
      <w:r>
        <w:rPr/>
        <w:t>that purpose, that the student has completed all requirements </w:t>
      </w:r>
      <w:r>
        <w:rPr>
          <w:spacing w:val="-4"/>
        </w:rPr>
        <w:t>for </w:t>
      </w:r>
      <w:r>
        <w:rPr/>
        <w:t>the</w:t>
      </w:r>
      <w:r>
        <w:rPr>
          <w:spacing w:val="1"/>
        </w:rPr>
        <w:t> </w:t>
      </w:r>
      <w:r>
        <w:rPr/>
        <w:t>degree.</w:t>
      </w:r>
    </w:p>
    <w:p>
      <w:pPr>
        <w:pStyle w:val="Heading4"/>
        <w:spacing w:before="170"/>
      </w:pPr>
      <w:r>
        <w:rPr/>
        <w:t>Academic Performance and Satisfactory Progress</w:t>
      </w:r>
    </w:p>
    <w:p>
      <w:pPr>
        <w:spacing w:after="0"/>
        <w:sectPr>
          <w:pgSz w:w="12240" w:h="15840"/>
          <w:pgMar w:header="746" w:footer="0" w:top="1320" w:bottom="280" w:left="880" w:right="300"/>
          <w:cols w:num="2" w:equalWidth="0">
            <w:col w:w="5007" w:space="479"/>
            <w:col w:w="5574"/>
          </w:cols>
        </w:sectPr>
      </w:pPr>
    </w:p>
    <w:p>
      <w:pPr>
        <w:pStyle w:val="Heading4"/>
        <w:spacing w:before="81"/>
      </w:pPr>
      <w:r>
        <w:rPr/>
        <w:t>in PhD Programs</w:t>
      </w:r>
    </w:p>
    <w:p>
      <w:pPr>
        <w:pStyle w:val="BodyText"/>
        <w:spacing w:line="249" w:lineRule="auto" w:before="183"/>
        <w:ind w:right="101"/>
      </w:pPr>
      <w:r>
        <w:rPr/>
        <w:t>The Graduate School has established standards and requirements regarding minimum grade-point average, continuous enrollment, time to degree, advancement to candidacy, academic integrity, and other elements of satisfactory academic progress and degree completion. All doctoral degree candidates are expected to review and comply with these standards and requirements.</w:t>
      </w:r>
    </w:p>
    <w:p>
      <w:pPr>
        <w:pStyle w:val="BodyText"/>
        <w:spacing w:line="249" w:lineRule="auto" w:before="188"/>
        <w:ind w:right="45"/>
      </w:pPr>
      <w:r>
        <w:rPr/>
        <w:t>The </w:t>
      </w:r>
      <w:r>
        <w:rPr>
          <w:spacing w:val="-3"/>
        </w:rPr>
        <w:t>Doctor of </w:t>
      </w:r>
      <w:r>
        <w:rPr/>
        <w:t>Philosophy degree (PhD) is the highest degree awarded by the University. The degree is granted to those candidates who demonstrate a high </w:t>
      </w:r>
      <w:r>
        <w:rPr>
          <w:spacing w:val="-3"/>
        </w:rPr>
        <w:t>level of </w:t>
      </w:r>
      <w:r>
        <w:rPr/>
        <w:t>scholarship and the ability to conduct independent research. It is not awarded </w:t>
      </w:r>
      <w:r>
        <w:rPr>
          <w:spacing w:val="-4"/>
        </w:rPr>
        <w:t>for </w:t>
      </w:r>
      <w:r>
        <w:rPr/>
        <w:t>the completion </w:t>
      </w:r>
      <w:r>
        <w:rPr>
          <w:spacing w:val="-3"/>
        </w:rPr>
        <w:t>of </w:t>
      </w:r>
      <w:r>
        <w:rPr/>
        <w:t>course and seminar requirements alone. Beyond the following requirements, the program may have special</w:t>
      </w:r>
      <w:r>
        <w:rPr>
          <w:spacing w:val="-23"/>
        </w:rPr>
        <w:t> </w:t>
      </w:r>
      <w:r>
        <w:rPr/>
        <w:t>requirements.</w:t>
      </w:r>
    </w:p>
    <w:p>
      <w:pPr>
        <w:pStyle w:val="BodyText"/>
        <w:spacing w:line="249" w:lineRule="auto" w:before="183"/>
        <w:ind w:right="317"/>
      </w:pPr>
      <w:r>
        <w:rPr/>
        <w:t>Consult the program descriptions in this catalog and the program director for more information.</w:t>
      </w:r>
    </w:p>
    <w:p>
      <w:pPr>
        <w:pStyle w:val="BodyText"/>
        <w:spacing w:line="249" w:lineRule="auto" w:before="183"/>
        <w:ind w:right="40"/>
      </w:pPr>
      <w:r>
        <w:rPr/>
        <w:t>Satisfactory academic performance and progress within the UMB Doctor of Philosophy (PhD) programs is a shared responsibility of the Graduate School, the doctoral programs, and graduate students. This policy specifies the elements of satisfactory academic performance and progress for students in UMB Graduate School PhD programs.</w:t>
      </w:r>
    </w:p>
    <w:p>
      <w:pPr>
        <w:pStyle w:val="BodyText"/>
        <w:spacing w:line="249" w:lineRule="auto" w:before="183"/>
        <w:ind w:left="199" w:right="68"/>
      </w:pPr>
      <w:r>
        <w:rPr/>
        <w:t>Satisfactory performance and progress in a UMB Graduate School doctoral program is demonstrated by adherence to the following Graduate School standards:</w:t>
      </w:r>
    </w:p>
    <w:p>
      <w:pPr>
        <w:pStyle w:val="ListParagraph"/>
        <w:numPr>
          <w:ilvl w:val="1"/>
          <w:numId w:val="3"/>
        </w:numPr>
        <w:tabs>
          <w:tab w:pos="632" w:val="left" w:leader="none"/>
        </w:tabs>
        <w:spacing w:line="249" w:lineRule="auto" w:before="185" w:after="0"/>
        <w:ind w:left="631" w:right="111" w:hanging="216"/>
        <w:jc w:val="left"/>
        <w:rPr>
          <w:sz w:val="20"/>
        </w:rPr>
      </w:pPr>
      <w:r>
        <w:rPr>
          <w:sz w:val="20"/>
        </w:rPr>
        <w:t>After admission to a doctoral program, each student must continue a course </w:t>
      </w:r>
      <w:r>
        <w:rPr>
          <w:spacing w:val="-3"/>
          <w:sz w:val="20"/>
        </w:rPr>
        <w:t>of </w:t>
      </w:r>
      <w:r>
        <w:rPr>
          <w:sz w:val="20"/>
        </w:rPr>
        <w:t>study and register </w:t>
      </w:r>
      <w:r>
        <w:rPr>
          <w:spacing w:val="-4"/>
          <w:sz w:val="20"/>
        </w:rPr>
        <w:t>for </w:t>
      </w:r>
      <w:r>
        <w:rPr>
          <w:sz w:val="20"/>
        </w:rPr>
        <w:t>fall and spring semesters unless </w:t>
      </w:r>
      <w:r>
        <w:rPr>
          <w:spacing w:val="-3"/>
          <w:sz w:val="20"/>
        </w:rPr>
        <w:t>on </w:t>
      </w:r>
      <w:r>
        <w:rPr>
          <w:sz w:val="20"/>
        </w:rPr>
        <w:t>an approved leave of absence. Failure to comply with the requirement to register every semester will </w:t>
      </w:r>
      <w:r>
        <w:rPr>
          <w:spacing w:val="-3"/>
          <w:sz w:val="20"/>
        </w:rPr>
        <w:t>be </w:t>
      </w:r>
      <w:r>
        <w:rPr>
          <w:sz w:val="20"/>
        </w:rPr>
        <w:t>taken as evidence that the student has terminated their program and admission status in the Graduate</w:t>
      </w:r>
      <w:r>
        <w:rPr>
          <w:spacing w:val="-6"/>
          <w:sz w:val="20"/>
        </w:rPr>
        <w:t> </w:t>
      </w:r>
      <w:r>
        <w:rPr>
          <w:sz w:val="20"/>
        </w:rPr>
        <w:t>School.</w:t>
      </w:r>
    </w:p>
    <w:p>
      <w:pPr>
        <w:pStyle w:val="ListParagraph"/>
        <w:numPr>
          <w:ilvl w:val="1"/>
          <w:numId w:val="3"/>
        </w:numPr>
        <w:tabs>
          <w:tab w:pos="632" w:val="left" w:leader="none"/>
        </w:tabs>
        <w:spacing w:line="249" w:lineRule="auto" w:before="182" w:after="0"/>
        <w:ind w:left="631" w:right="81" w:hanging="216"/>
        <w:jc w:val="left"/>
        <w:rPr>
          <w:sz w:val="20"/>
        </w:rPr>
      </w:pPr>
      <w:r>
        <w:rPr>
          <w:sz w:val="20"/>
        </w:rPr>
        <w:t>Students accepted provisionally will have provisional admission status removed only after all provisions have been satisfied and the student has fulfilled all other Graduate </w:t>
      </w:r>
      <w:r>
        <w:rPr>
          <w:spacing w:val="-2"/>
          <w:sz w:val="20"/>
        </w:rPr>
        <w:t>School </w:t>
      </w:r>
      <w:r>
        <w:rPr>
          <w:sz w:val="20"/>
        </w:rPr>
        <w:t>and doctoral program requirements </w:t>
      </w:r>
      <w:r>
        <w:rPr>
          <w:spacing w:val="-4"/>
          <w:sz w:val="20"/>
        </w:rPr>
        <w:t>for </w:t>
      </w:r>
      <w:r>
        <w:rPr>
          <w:sz w:val="20"/>
        </w:rPr>
        <w:t>nonprovisional admission. This determination will </w:t>
      </w:r>
      <w:r>
        <w:rPr>
          <w:spacing w:val="-3"/>
          <w:sz w:val="20"/>
        </w:rPr>
        <w:t>be </w:t>
      </w:r>
      <w:r>
        <w:rPr>
          <w:sz w:val="20"/>
        </w:rPr>
        <w:t>made by the Graduate </w:t>
      </w:r>
      <w:r>
        <w:rPr>
          <w:spacing w:val="-3"/>
          <w:sz w:val="20"/>
        </w:rPr>
        <w:t>Program </w:t>
      </w:r>
      <w:r>
        <w:rPr>
          <w:sz w:val="20"/>
        </w:rPr>
        <w:t>director and the Graduate</w:t>
      </w:r>
      <w:r>
        <w:rPr>
          <w:spacing w:val="-3"/>
          <w:sz w:val="20"/>
        </w:rPr>
        <w:t> School.</w:t>
      </w:r>
    </w:p>
    <w:p>
      <w:pPr>
        <w:pStyle w:val="ListParagraph"/>
        <w:numPr>
          <w:ilvl w:val="1"/>
          <w:numId w:val="3"/>
        </w:numPr>
        <w:tabs>
          <w:tab w:pos="632" w:val="left" w:leader="none"/>
        </w:tabs>
        <w:spacing w:line="249" w:lineRule="auto" w:before="188" w:after="0"/>
        <w:ind w:left="631" w:right="43" w:hanging="216"/>
        <w:jc w:val="left"/>
        <w:rPr>
          <w:sz w:val="20"/>
        </w:rPr>
      </w:pPr>
      <w:r>
        <w:rPr>
          <w:sz w:val="20"/>
        </w:rPr>
        <w:t>Graduate students must maintain a minimum cumulative grade-point average (GPA) </w:t>
      </w:r>
      <w:r>
        <w:rPr>
          <w:spacing w:val="-3"/>
          <w:sz w:val="20"/>
        </w:rPr>
        <w:t>of </w:t>
      </w:r>
      <w:r>
        <w:rPr>
          <w:sz w:val="20"/>
        </w:rPr>
        <w:t>3.0 </w:t>
      </w:r>
      <w:r>
        <w:rPr>
          <w:spacing w:val="-3"/>
          <w:sz w:val="20"/>
        </w:rPr>
        <w:t>on </w:t>
      </w:r>
      <w:r>
        <w:rPr>
          <w:sz w:val="20"/>
        </w:rPr>
        <w:t>a 4.0 scale during the course </w:t>
      </w:r>
      <w:r>
        <w:rPr>
          <w:spacing w:val="-3"/>
          <w:sz w:val="20"/>
        </w:rPr>
        <w:t>of </w:t>
      </w:r>
      <w:r>
        <w:rPr>
          <w:sz w:val="20"/>
        </w:rPr>
        <w:t>their</w:t>
      </w:r>
      <w:r>
        <w:rPr>
          <w:spacing w:val="-3"/>
          <w:sz w:val="20"/>
        </w:rPr>
        <w:t> </w:t>
      </w:r>
      <w:r>
        <w:rPr>
          <w:sz w:val="20"/>
        </w:rPr>
        <w:t>studies.</w:t>
      </w:r>
    </w:p>
    <w:p>
      <w:pPr>
        <w:pStyle w:val="ListParagraph"/>
        <w:numPr>
          <w:ilvl w:val="1"/>
          <w:numId w:val="3"/>
        </w:numPr>
        <w:tabs>
          <w:tab w:pos="632" w:val="left" w:leader="none"/>
        </w:tabs>
        <w:spacing w:line="249" w:lineRule="auto" w:before="180" w:after="0"/>
        <w:ind w:left="631" w:right="557" w:hanging="216"/>
        <w:jc w:val="left"/>
        <w:rPr>
          <w:sz w:val="20"/>
        </w:rPr>
      </w:pPr>
      <w:r>
        <w:rPr>
          <w:sz w:val="20"/>
        </w:rPr>
        <w:t>The </w:t>
      </w:r>
      <w:r>
        <w:rPr>
          <w:spacing w:val="-3"/>
          <w:sz w:val="20"/>
        </w:rPr>
        <w:t>UMB </w:t>
      </w:r>
      <w:r>
        <w:rPr>
          <w:sz w:val="20"/>
        </w:rPr>
        <w:t>Graduate </w:t>
      </w:r>
      <w:r>
        <w:rPr>
          <w:spacing w:val="-3"/>
          <w:sz w:val="20"/>
        </w:rPr>
        <w:t>School does </w:t>
      </w:r>
      <w:r>
        <w:rPr>
          <w:sz w:val="20"/>
        </w:rPr>
        <w:t>not impose a uniform protocol for preliminary, qualifying,</w:t>
      </w:r>
      <w:r>
        <w:rPr>
          <w:spacing w:val="-13"/>
          <w:sz w:val="20"/>
        </w:rPr>
        <w:t> </w:t>
      </w:r>
      <w:r>
        <w:rPr>
          <w:spacing w:val="-5"/>
          <w:sz w:val="20"/>
        </w:rPr>
        <w:t>or</w:t>
      </w:r>
    </w:p>
    <w:p>
      <w:pPr>
        <w:pStyle w:val="BodyText"/>
        <w:spacing w:line="249" w:lineRule="auto" w:before="96"/>
        <w:ind w:left="632" w:right="1207"/>
      </w:pPr>
      <w:r>
        <w:rPr/>
        <w:br w:type="column"/>
      </w:r>
      <w:r>
        <w:rPr/>
        <w:t>comprehensive examinations. Admission to candidacy occurs after fulfilling the respective doctoral program requirements.</w:t>
      </w:r>
    </w:p>
    <w:p>
      <w:pPr>
        <w:pStyle w:val="ListParagraph"/>
        <w:numPr>
          <w:ilvl w:val="1"/>
          <w:numId w:val="3"/>
        </w:numPr>
        <w:tabs>
          <w:tab w:pos="633" w:val="left" w:leader="none"/>
        </w:tabs>
        <w:spacing w:line="249" w:lineRule="auto" w:before="180" w:after="0"/>
        <w:ind w:left="632" w:right="607" w:hanging="216"/>
        <w:jc w:val="left"/>
        <w:rPr>
          <w:sz w:val="20"/>
        </w:rPr>
      </w:pPr>
      <w:r>
        <w:rPr>
          <w:sz w:val="20"/>
        </w:rPr>
        <w:t>Students must establish and maintain a professional relationship </w:t>
      </w:r>
      <w:r>
        <w:rPr>
          <w:spacing w:val="-3"/>
          <w:sz w:val="20"/>
        </w:rPr>
        <w:t>with </w:t>
      </w:r>
      <w:r>
        <w:rPr>
          <w:sz w:val="20"/>
        </w:rPr>
        <w:t>a faculty research advisor. The advisor must hold regular membership in the graduate faculty with the appropriate knowledge and expertise to serve as a research</w:t>
      </w:r>
      <w:r>
        <w:rPr>
          <w:spacing w:val="-6"/>
          <w:sz w:val="20"/>
        </w:rPr>
        <w:t> </w:t>
      </w:r>
      <w:r>
        <w:rPr>
          <w:sz w:val="20"/>
        </w:rPr>
        <w:t>advisor.</w:t>
      </w:r>
    </w:p>
    <w:p>
      <w:pPr>
        <w:pStyle w:val="ListParagraph"/>
        <w:numPr>
          <w:ilvl w:val="1"/>
          <w:numId w:val="3"/>
        </w:numPr>
        <w:tabs>
          <w:tab w:pos="633" w:val="left" w:leader="none"/>
        </w:tabs>
        <w:spacing w:line="249" w:lineRule="auto" w:before="186" w:after="0"/>
        <w:ind w:left="632" w:right="630" w:hanging="216"/>
        <w:jc w:val="left"/>
        <w:rPr>
          <w:sz w:val="20"/>
        </w:rPr>
      </w:pPr>
      <w:r>
        <w:rPr>
          <w:sz w:val="20"/>
        </w:rPr>
        <w:t>Students must demonstrate the ability to conduct independent research by developing, presenting, and defending an original dissertation </w:t>
      </w:r>
      <w:r>
        <w:rPr>
          <w:spacing w:val="-3"/>
          <w:sz w:val="20"/>
        </w:rPr>
        <w:t>on </w:t>
      </w:r>
      <w:r>
        <w:rPr>
          <w:sz w:val="20"/>
        </w:rPr>
        <w:t>a topic approved by the doctoral program. Evidence </w:t>
      </w:r>
      <w:r>
        <w:rPr>
          <w:spacing w:val="-3"/>
          <w:sz w:val="20"/>
        </w:rPr>
        <w:t>of </w:t>
      </w:r>
      <w:r>
        <w:rPr>
          <w:sz w:val="20"/>
        </w:rPr>
        <w:t>completion </w:t>
      </w:r>
      <w:r>
        <w:rPr>
          <w:spacing w:val="-5"/>
          <w:sz w:val="20"/>
        </w:rPr>
        <w:t>of </w:t>
      </w:r>
      <w:r>
        <w:rPr>
          <w:sz w:val="20"/>
        </w:rPr>
        <w:t>this requirement is submission </w:t>
      </w:r>
      <w:r>
        <w:rPr>
          <w:spacing w:val="-3"/>
          <w:sz w:val="20"/>
        </w:rPr>
        <w:t>of </w:t>
      </w:r>
      <w:r>
        <w:rPr>
          <w:sz w:val="20"/>
        </w:rPr>
        <w:t>the committee- approved dissertation to the Graduate</w:t>
      </w:r>
      <w:r>
        <w:rPr>
          <w:spacing w:val="-5"/>
          <w:sz w:val="20"/>
        </w:rPr>
        <w:t> </w:t>
      </w:r>
      <w:r>
        <w:rPr>
          <w:sz w:val="20"/>
        </w:rPr>
        <w:t>School.</w:t>
      </w:r>
    </w:p>
    <w:p>
      <w:pPr>
        <w:pStyle w:val="ListParagraph"/>
        <w:numPr>
          <w:ilvl w:val="1"/>
          <w:numId w:val="3"/>
        </w:numPr>
        <w:tabs>
          <w:tab w:pos="633" w:val="left" w:leader="none"/>
        </w:tabs>
        <w:spacing w:line="249" w:lineRule="auto" w:before="182" w:after="0"/>
        <w:ind w:left="632" w:right="763" w:hanging="216"/>
        <w:jc w:val="left"/>
        <w:rPr>
          <w:sz w:val="20"/>
        </w:rPr>
      </w:pPr>
      <w:r>
        <w:rPr>
          <w:sz w:val="20"/>
        </w:rPr>
        <w:t>The Graduate School requires that students take and pass a doctoral examination </w:t>
      </w:r>
      <w:r>
        <w:rPr>
          <w:spacing w:val="-3"/>
          <w:sz w:val="20"/>
        </w:rPr>
        <w:t>of </w:t>
      </w:r>
      <w:r>
        <w:rPr>
          <w:sz w:val="20"/>
        </w:rPr>
        <w:t>the dissertation composed of an open presentation and a formal examination. The formal examination </w:t>
      </w:r>
      <w:r>
        <w:rPr>
          <w:spacing w:val="-3"/>
          <w:sz w:val="20"/>
        </w:rPr>
        <w:t>can </w:t>
      </w:r>
      <w:r>
        <w:rPr>
          <w:sz w:val="20"/>
        </w:rPr>
        <w:t>only be attempted </w:t>
      </w:r>
      <w:r>
        <w:rPr>
          <w:spacing w:val="-3"/>
          <w:sz w:val="20"/>
        </w:rPr>
        <w:t>twice. </w:t>
      </w:r>
      <w:r>
        <w:rPr>
          <w:sz w:val="20"/>
        </w:rPr>
        <w:t>A failure </w:t>
      </w:r>
      <w:r>
        <w:rPr>
          <w:spacing w:val="-3"/>
          <w:sz w:val="20"/>
        </w:rPr>
        <w:t>on </w:t>
      </w:r>
      <w:r>
        <w:rPr>
          <w:sz w:val="20"/>
        </w:rPr>
        <w:t>the second attempt means the PhD degree is</w:t>
      </w:r>
      <w:r>
        <w:rPr>
          <w:spacing w:val="-15"/>
          <w:sz w:val="20"/>
        </w:rPr>
        <w:t> </w:t>
      </w:r>
      <w:r>
        <w:rPr>
          <w:sz w:val="20"/>
        </w:rPr>
        <w:t>forfeited.</w:t>
      </w:r>
    </w:p>
    <w:p>
      <w:pPr>
        <w:pStyle w:val="ListParagraph"/>
        <w:numPr>
          <w:ilvl w:val="1"/>
          <w:numId w:val="3"/>
        </w:numPr>
        <w:tabs>
          <w:tab w:pos="632" w:val="left" w:leader="none"/>
        </w:tabs>
        <w:spacing w:line="249" w:lineRule="auto" w:before="186" w:after="0"/>
        <w:ind w:left="631" w:right="669" w:hanging="216"/>
        <w:jc w:val="left"/>
        <w:rPr>
          <w:sz w:val="20"/>
        </w:rPr>
      </w:pPr>
      <w:r>
        <w:rPr>
          <w:sz w:val="20"/>
        </w:rPr>
        <w:t>Students must </w:t>
      </w:r>
      <w:r>
        <w:rPr>
          <w:spacing w:val="-3"/>
          <w:sz w:val="20"/>
        </w:rPr>
        <w:t>be </w:t>
      </w:r>
      <w:r>
        <w:rPr>
          <w:sz w:val="20"/>
        </w:rPr>
        <w:t>admitted to candidacy within </w:t>
      </w:r>
      <w:r>
        <w:rPr>
          <w:spacing w:val="-3"/>
          <w:sz w:val="20"/>
        </w:rPr>
        <w:t>five </w:t>
      </w:r>
      <w:r>
        <w:rPr>
          <w:sz w:val="20"/>
        </w:rPr>
        <w:t>academic years </w:t>
      </w:r>
      <w:r>
        <w:rPr>
          <w:spacing w:val="-3"/>
          <w:sz w:val="20"/>
        </w:rPr>
        <w:t>of </w:t>
      </w:r>
      <w:r>
        <w:rPr>
          <w:sz w:val="20"/>
        </w:rPr>
        <w:t>the first term </w:t>
      </w:r>
      <w:r>
        <w:rPr>
          <w:spacing w:val="-3"/>
          <w:sz w:val="20"/>
        </w:rPr>
        <w:t>of </w:t>
      </w:r>
      <w:r>
        <w:rPr>
          <w:sz w:val="20"/>
        </w:rPr>
        <w:t>enrollment in the doctoral program and at least two full sequential semesters </w:t>
      </w:r>
      <w:r>
        <w:rPr>
          <w:spacing w:val="-3"/>
          <w:sz w:val="20"/>
        </w:rPr>
        <w:t>or </w:t>
      </w:r>
      <w:r>
        <w:rPr>
          <w:sz w:val="20"/>
        </w:rPr>
        <w:t>sessions (spring, summer, </w:t>
      </w:r>
      <w:r>
        <w:rPr>
          <w:spacing w:val="-3"/>
          <w:sz w:val="20"/>
        </w:rPr>
        <w:t>or </w:t>
      </w:r>
      <w:r>
        <w:rPr>
          <w:sz w:val="20"/>
        </w:rPr>
        <w:t>fall) before graduation. </w:t>
      </w:r>
      <w:r>
        <w:rPr>
          <w:spacing w:val="-2"/>
          <w:sz w:val="20"/>
        </w:rPr>
        <w:t>All </w:t>
      </w:r>
      <w:r>
        <w:rPr>
          <w:sz w:val="20"/>
        </w:rPr>
        <w:t>degree requirements, including the final examination </w:t>
      </w:r>
      <w:r>
        <w:rPr>
          <w:spacing w:val="-3"/>
          <w:sz w:val="20"/>
        </w:rPr>
        <w:t>of </w:t>
      </w:r>
      <w:r>
        <w:rPr>
          <w:sz w:val="20"/>
        </w:rPr>
        <w:t>the dissertation, must </w:t>
      </w:r>
      <w:r>
        <w:rPr>
          <w:spacing w:val="-3"/>
          <w:sz w:val="20"/>
        </w:rPr>
        <w:t>be </w:t>
      </w:r>
      <w:r>
        <w:rPr>
          <w:sz w:val="20"/>
        </w:rPr>
        <w:t>completed within </w:t>
      </w:r>
      <w:r>
        <w:rPr>
          <w:spacing w:val="-3"/>
          <w:sz w:val="20"/>
        </w:rPr>
        <w:t>four </w:t>
      </w:r>
      <w:r>
        <w:rPr>
          <w:sz w:val="20"/>
        </w:rPr>
        <w:t>years </w:t>
      </w:r>
      <w:r>
        <w:rPr>
          <w:spacing w:val="-3"/>
          <w:sz w:val="20"/>
        </w:rPr>
        <w:t>of </w:t>
      </w:r>
      <w:r>
        <w:rPr>
          <w:sz w:val="20"/>
        </w:rPr>
        <w:t>admission to candidacy and no more than nine years after admission into the doctoral</w:t>
      </w:r>
      <w:r>
        <w:rPr>
          <w:spacing w:val="-1"/>
          <w:sz w:val="20"/>
        </w:rPr>
        <w:t> </w:t>
      </w:r>
      <w:r>
        <w:rPr>
          <w:sz w:val="20"/>
        </w:rPr>
        <w:t>program.</w:t>
      </w:r>
    </w:p>
    <w:p>
      <w:pPr>
        <w:pStyle w:val="ListParagraph"/>
        <w:numPr>
          <w:ilvl w:val="1"/>
          <w:numId w:val="3"/>
        </w:numPr>
        <w:tabs>
          <w:tab w:pos="632" w:val="left" w:leader="none"/>
        </w:tabs>
        <w:spacing w:line="249" w:lineRule="auto" w:before="185" w:after="0"/>
        <w:ind w:left="631" w:right="605" w:hanging="216"/>
        <w:jc w:val="left"/>
        <w:rPr>
          <w:sz w:val="20"/>
        </w:rPr>
      </w:pPr>
      <w:r>
        <w:rPr>
          <w:sz w:val="20"/>
        </w:rPr>
        <w:t>Students are expected to meet the highest standards </w:t>
      </w:r>
      <w:r>
        <w:rPr>
          <w:spacing w:val="-3"/>
          <w:sz w:val="20"/>
        </w:rPr>
        <w:t>of </w:t>
      </w:r>
      <w:r>
        <w:rPr>
          <w:sz w:val="20"/>
        </w:rPr>
        <w:t>academic integrity. Plagiarism, fabrication, falsification, cheating, and other acts </w:t>
      </w:r>
      <w:r>
        <w:rPr>
          <w:spacing w:val="-3"/>
          <w:sz w:val="20"/>
        </w:rPr>
        <w:t>of </w:t>
      </w:r>
      <w:r>
        <w:rPr>
          <w:sz w:val="20"/>
        </w:rPr>
        <w:t>academic dishonesty, </w:t>
      </w:r>
      <w:r>
        <w:rPr>
          <w:spacing w:val="-3"/>
          <w:sz w:val="20"/>
        </w:rPr>
        <w:t>or </w:t>
      </w:r>
      <w:r>
        <w:rPr>
          <w:sz w:val="20"/>
        </w:rPr>
        <w:t>abetting the academic dishonesty of another, will result in sanctions and may lead to academic</w:t>
      </w:r>
      <w:r>
        <w:rPr>
          <w:spacing w:val="-2"/>
          <w:sz w:val="20"/>
        </w:rPr>
        <w:t> </w:t>
      </w:r>
      <w:r>
        <w:rPr>
          <w:sz w:val="20"/>
        </w:rPr>
        <w:t>dismissal.</w:t>
      </w:r>
    </w:p>
    <w:p>
      <w:pPr>
        <w:pStyle w:val="BodyText"/>
        <w:spacing w:line="249" w:lineRule="auto" w:before="186"/>
        <w:ind w:right="594"/>
      </w:pPr>
      <w:r>
        <w:rPr/>
        <w:t>Students must meet all doctoral program requirements for satisfactory academic performance and progress as well as Graduate School requirements. Students are advised to be familiar with all handbooks, requirements, and standards of their doctoral program:</w:t>
      </w:r>
    </w:p>
    <w:p>
      <w:pPr>
        <w:pStyle w:val="ListParagraph"/>
        <w:numPr>
          <w:ilvl w:val="1"/>
          <w:numId w:val="3"/>
        </w:numPr>
        <w:tabs>
          <w:tab w:pos="633" w:val="left" w:leader="none"/>
        </w:tabs>
        <w:spacing w:line="249" w:lineRule="auto" w:before="182" w:after="0"/>
        <w:ind w:left="632" w:right="668" w:hanging="216"/>
        <w:jc w:val="left"/>
        <w:rPr>
          <w:sz w:val="20"/>
        </w:rPr>
      </w:pPr>
      <w:r>
        <w:rPr>
          <w:sz w:val="20"/>
        </w:rPr>
        <w:t>Doctoral programs may have requirements that are in addition to the Graduate </w:t>
      </w:r>
      <w:r>
        <w:rPr>
          <w:spacing w:val="-2"/>
          <w:sz w:val="20"/>
        </w:rPr>
        <w:t>School </w:t>
      </w:r>
      <w:r>
        <w:rPr>
          <w:sz w:val="20"/>
        </w:rPr>
        <w:t>standards listed previously. Examples </w:t>
      </w:r>
      <w:r>
        <w:rPr>
          <w:spacing w:val="-3"/>
          <w:sz w:val="20"/>
        </w:rPr>
        <w:t>of </w:t>
      </w:r>
      <w:r>
        <w:rPr>
          <w:sz w:val="20"/>
        </w:rPr>
        <w:t>additional graduate program requirements are laboratory rotations, journal clubs, presentation </w:t>
      </w:r>
      <w:r>
        <w:rPr>
          <w:spacing w:val="-3"/>
          <w:sz w:val="20"/>
        </w:rPr>
        <w:t>of </w:t>
      </w:r>
      <w:r>
        <w:rPr>
          <w:sz w:val="20"/>
        </w:rPr>
        <w:t>papers/abstracts, and</w:t>
      </w:r>
      <w:r>
        <w:rPr>
          <w:spacing w:val="-8"/>
          <w:sz w:val="20"/>
        </w:rPr>
        <w:t> </w:t>
      </w:r>
      <w:r>
        <w:rPr>
          <w:sz w:val="20"/>
        </w:rPr>
        <w:t>publication(s).</w:t>
      </w:r>
    </w:p>
    <w:p>
      <w:pPr>
        <w:pStyle w:val="ListParagraph"/>
        <w:numPr>
          <w:ilvl w:val="1"/>
          <w:numId w:val="3"/>
        </w:numPr>
        <w:tabs>
          <w:tab w:pos="633" w:val="left" w:leader="none"/>
        </w:tabs>
        <w:spacing w:line="249" w:lineRule="auto" w:before="186" w:after="0"/>
        <w:ind w:left="632" w:right="1003" w:hanging="216"/>
        <w:jc w:val="left"/>
        <w:rPr>
          <w:sz w:val="20"/>
        </w:rPr>
      </w:pPr>
      <w:r>
        <w:rPr>
          <w:sz w:val="20"/>
        </w:rPr>
        <w:t>Doctoral programs may have more stringent standards than the Graduate School. Examples</w:t>
      </w:r>
      <w:r>
        <w:rPr>
          <w:spacing w:val="-13"/>
          <w:sz w:val="20"/>
        </w:rPr>
        <w:t> </w:t>
      </w:r>
      <w:r>
        <w:rPr>
          <w:spacing w:val="-3"/>
          <w:sz w:val="20"/>
        </w:rPr>
        <w:t>of</w:t>
      </w:r>
    </w:p>
    <w:p>
      <w:pPr>
        <w:spacing w:after="0" w:line="249" w:lineRule="auto"/>
        <w:jc w:val="left"/>
        <w:rPr>
          <w:sz w:val="20"/>
        </w:rPr>
        <w:sectPr>
          <w:pgSz w:w="12240" w:h="15840"/>
          <w:pgMar w:header="746" w:footer="0" w:top="1320" w:bottom="280" w:left="880" w:right="300"/>
          <w:cols w:num="2" w:equalWidth="0">
            <w:col w:w="5003" w:space="483"/>
            <w:col w:w="5574"/>
          </w:cols>
        </w:sectPr>
      </w:pPr>
    </w:p>
    <w:p>
      <w:pPr>
        <w:pStyle w:val="BodyText"/>
        <w:spacing w:line="249" w:lineRule="auto" w:before="100"/>
        <w:ind w:left="631" w:right="69"/>
      </w:pPr>
      <w:r>
        <w:rPr/>
        <w:t>more stringent standards are higher than the 3.0 minimum GPA required by the Graduate School, advancement to candidacy within four years instead of five, and program completion within seven instead of nine years.</w:t>
      </w:r>
    </w:p>
    <w:p>
      <w:pPr>
        <w:pStyle w:val="BodyText"/>
        <w:spacing w:line="249" w:lineRule="auto" w:before="181"/>
        <w:ind w:left="199" w:right="40"/>
      </w:pPr>
      <w:r>
        <w:rPr/>
        <w:t>The student is expected to meet the most stringent standard for each requirement, whether it is a standard of the UMB Graduate School or the doctoral program.</w:t>
      </w:r>
    </w:p>
    <w:p>
      <w:pPr>
        <w:pStyle w:val="BodyText"/>
        <w:spacing w:line="249" w:lineRule="auto"/>
        <w:ind w:left="199" w:right="68"/>
      </w:pPr>
      <w:r>
        <w:rPr/>
        <w:t>Failure to meet any of the Graduate School and doctoral program standards of academic performance and progress subjects a student to automatic academic probation and the possibility of dismissal.</w:t>
      </w:r>
    </w:p>
    <w:p>
      <w:pPr>
        <w:pStyle w:val="Heading4"/>
        <w:spacing w:before="163"/>
      </w:pPr>
      <w:r>
        <w:rPr/>
        <w:t>Placement on Academic Probation or Dismissal</w:t>
      </w:r>
    </w:p>
    <w:p>
      <w:pPr>
        <w:pStyle w:val="BodyText"/>
        <w:spacing w:line="249" w:lineRule="auto" w:before="188"/>
        <w:ind w:right="89"/>
      </w:pPr>
      <w:r>
        <w:rPr/>
        <w:t>If a student does not meet the Graduate School and the doctoral program’s standards of satisfactory academic performance or progress, the student will automatically be placed on probation or be dismissed. Written notice of this action, including the reason for the action, is provided by the Graduate School. A copy of the notice is provided to the student’s doctoral program director.</w:t>
      </w:r>
    </w:p>
    <w:p>
      <w:pPr>
        <w:pStyle w:val="BodyText"/>
        <w:spacing w:line="249" w:lineRule="auto" w:before="182"/>
        <w:ind w:right="56"/>
      </w:pPr>
      <w:r>
        <w:rPr/>
        <w:t>Notice is mailed to the student’s address of record as noted on file with the UMB registrar. Notice is deemed received by the student within 10 calendar days from the date of the notice. Each student is expected to notify the registrar, the Graduate School, and the doctoral program of changes in address and check for correspondence at his or her address of record in a timely fashion.</w:t>
      </w:r>
    </w:p>
    <w:p>
      <w:pPr>
        <w:pStyle w:val="BodyText"/>
        <w:spacing w:line="249" w:lineRule="auto" w:before="188"/>
        <w:ind w:right="50"/>
      </w:pPr>
      <w:r>
        <w:rPr/>
        <w:t>For information on Graduate School policy and procedures for appeal of probation or academic dismissal, go to</w:t>
      </w:r>
      <w:hyperlink r:id="rId27">
        <w:r>
          <w:rPr/>
          <w:t> http://graduate.umaryland.edu/Policies.</w:t>
        </w:r>
      </w:hyperlink>
    </w:p>
    <w:p>
      <w:pPr>
        <w:pStyle w:val="Heading4"/>
        <w:spacing w:before="162"/>
      </w:pPr>
      <w:r>
        <w:rPr/>
        <w:t>Doctoral Program Course Requirements</w:t>
      </w:r>
    </w:p>
    <w:p>
      <w:pPr>
        <w:pStyle w:val="BodyText"/>
        <w:spacing w:line="249" w:lineRule="auto" w:before="189"/>
        <w:ind w:left="199" w:right="51"/>
      </w:pPr>
      <w:r>
        <w:rPr/>
        <w:t>There is no Graduate School requirement on the number of courses students must take in either the major or minor fields. The Graduate School policy encourages the development of individualized programs for students who seek the doctoral degree. The academic departments and interdisciplinary programs have been directed to decide major and minor requirements, levels or sequences of required courses, and similar requirements for submission to the Graduate Council for approval.</w:t>
      </w:r>
    </w:p>
    <w:p>
      <w:pPr>
        <w:pStyle w:val="BodyText"/>
        <w:spacing w:line="249" w:lineRule="auto" w:before="184"/>
        <w:ind w:left="199" w:right="47"/>
      </w:pPr>
      <w:r>
        <w:rPr/>
        <w:t>Courses taken at </w:t>
      </w:r>
      <w:r>
        <w:rPr>
          <w:spacing w:val="-3"/>
        </w:rPr>
        <w:t>other </w:t>
      </w:r>
      <w:r>
        <w:rPr/>
        <w:t>institutions approved by the graduate program </w:t>
      </w:r>
      <w:r>
        <w:rPr>
          <w:spacing w:val="-4"/>
        </w:rPr>
        <w:t>for </w:t>
      </w:r>
      <w:r>
        <w:rPr/>
        <w:t>partial fulfillment </w:t>
      </w:r>
      <w:r>
        <w:rPr>
          <w:spacing w:val="-3"/>
        </w:rPr>
        <w:t>of </w:t>
      </w:r>
      <w:r>
        <w:rPr/>
        <w:t>requirements </w:t>
      </w:r>
      <w:r>
        <w:rPr>
          <w:spacing w:val="-4"/>
        </w:rPr>
        <w:t>for </w:t>
      </w:r>
      <w:r>
        <w:rPr/>
        <w:t>the degree at </w:t>
      </w:r>
      <w:r>
        <w:rPr>
          <w:spacing w:val="-3"/>
        </w:rPr>
        <w:t>UMB </w:t>
      </w:r>
      <w:r>
        <w:rPr/>
        <w:t>are listed </w:t>
      </w:r>
      <w:r>
        <w:rPr>
          <w:spacing w:val="-3"/>
        </w:rPr>
        <w:t>on </w:t>
      </w:r>
      <w:r>
        <w:rPr/>
        <w:t>the Application </w:t>
      </w:r>
      <w:r>
        <w:rPr>
          <w:spacing w:val="-4"/>
        </w:rPr>
        <w:t>for </w:t>
      </w:r>
      <w:r>
        <w:rPr/>
        <w:t>Admission to PhD Candidacy at the time </w:t>
      </w:r>
      <w:r>
        <w:rPr>
          <w:spacing w:val="-3"/>
        </w:rPr>
        <w:t>of </w:t>
      </w:r>
      <w:r>
        <w:rPr/>
        <w:t>admission to candidacy (see the Admission to Candidacy section that follows).</w:t>
      </w:r>
    </w:p>
    <w:p>
      <w:pPr>
        <w:pStyle w:val="Heading4"/>
        <w:spacing w:before="81"/>
        <w:ind w:left="199"/>
      </w:pPr>
      <w:r>
        <w:rPr>
          <w:b w:val="0"/>
        </w:rPr>
        <w:br w:type="column"/>
      </w:r>
      <w:r>
        <w:rPr/>
        <w:t>Doctoral Program Time Required</w:t>
      </w:r>
    </w:p>
    <w:p>
      <w:pPr>
        <w:pStyle w:val="BodyText"/>
        <w:spacing w:line="249" w:lineRule="auto" w:before="183"/>
        <w:ind w:left="199" w:right="638"/>
      </w:pPr>
      <w:r>
        <w:rPr/>
        <w:t>The Graduate School requires a minimum of three years or its equivalent of full-time graduate study and research. Of the three years, at least one year or its equivalent must be spent at the University of Maryland, Baltimore. Students must submit all work at other institutions in partial fulfillment of the requirements for a doctoral degree to the Graduate School with the program recommendation for approval at the time of admission to candidacy. Official transcripts of this work must be on file in the Graduate School.</w:t>
      </w:r>
    </w:p>
    <w:p>
      <w:pPr>
        <w:pStyle w:val="BodyText"/>
        <w:spacing w:line="249" w:lineRule="auto" w:before="190"/>
        <w:ind w:left="199" w:right="665"/>
      </w:pPr>
      <w:r>
        <w:rPr/>
        <w:t>Students must be admitted to candidacy within five years of admission to the doctoral program and at least two full sequential semesters or sessions (spring, summer, or fall) before graduating. All degree requirements, including the doctoral dissertation and final doctoral examination, must be completed within four years of admission to candidacy and no more than nine years after admission into the doctoral program. Failure to complete all requirements within the time allotted requires another application for admission to the Graduate School with the usual requisites as decided by the program committee. The Graduate School grants extensions of time only under the most unusual circumstances.</w:t>
      </w:r>
    </w:p>
    <w:p>
      <w:pPr>
        <w:pStyle w:val="Heading4"/>
        <w:ind w:left="199"/>
      </w:pPr>
      <w:r>
        <w:rPr/>
        <w:t>Doctoral Program Registration Requirements</w:t>
      </w:r>
    </w:p>
    <w:p>
      <w:pPr>
        <w:pStyle w:val="BodyText"/>
        <w:spacing w:line="249" w:lineRule="auto" w:before="188"/>
        <w:ind w:left="199" w:right="689"/>
      </w:pPr>
      <w:r>
        <w:rPr/>
        <w:t>Doctoral students may not enroll for 899 research credits (if/when conducting research) until reaching candidacy; before candidacy, they may enroll in Pre-candidacy Research 898 (1 to 8 variable credits) in preparation for candidacy and to ensure full-time enrollment at that stage in their studies. Students should enroll in the appropriate number of credits to reflect their work toward the dissertation before reaching candidacy. 898 credits are not counted as part of the 899 credits required for graduation and are only offered as a pass/fail grading option.</w:t>
      </w:r>
    </w:p>
    <w:p>
      <w:pPr>
        <w:pStyle w:val="BodyText"/>
        <w:spacing w:line="249" w:lineRule="auto"/>
        <w:ind w:left="199" w:right="943"/>
      </w:pPr>
      <w:r>
        <w:rPr/>
        <w:t>Once admitted to candidacy, doctoral students must successfully complete a minimum of 12 credit hours of doctoral dissertation research (899).</w:t>
      </w:r>
    </w:p>
    <w:p>
      <w:pPr>
        <w:pStyle w:val="Heading4"/>
        <w:spacing w:before="167"/>
        <w:ind w:left="199"/>
      </w:pPr>
      <w:r>
        <w:rPr/>
        <w:t>Admission to Candidacy</w:t>
      </w:r>
    </w:p>
    <w:p>
      <w:pPr>
        <w:pStyle w:val="BodyText"/>
        <w:spacing w:line="249" w:lineRule="auto" w:before="183"/>
        <w:ind w:left="199" w:right="594"/>
      </w:pPr>
      <w:r>
        <w:rPr/>
        <w:t>Doctoral students must complete an application for admission to candidacy when they fulfill all requirements for candidacy. Preliminary examinations, grant writing, or other substantial tests as the program/department may elect are frequently prerequisites for admission to candidacy.</w:t>
      </w:r>
    </w:p>
    <w:p>
      <w:pPr>
        <w:pStyle w:val="BodyText"/>
        <w:spacing w:line="249" w:lineRule="auto" w:before="186"/>
        <w:ind w:left="199" w:right="854"/>
      </w:pPr>
      <w:r>
        <w:rPr/>
        <w:t>Students must submit the following to the major advisor and program director for review: the application, an unofficial UMB transcript, and official transcript(s)</w:t>
      </w:r>
    </w:p>
    <w:p>
      <w:pPr>
        <w:spacing w:after="0" w:line="249" w:lineRule="auto"/>
        <w:sectPr>
          <w:pgSz w:w="12240" w:h="15840"/>
          <w:pgMar w:header="746" w:footer="0" w:top="1320" w:bottom="280" w:left="880" w:right="300"/>
          <w:cols w:num="2" w:equalWidth="0">
            <w:col w:w="4997" w:space="490"/>
            <w:col w:w="5573"/>
          </w:cols>
        </w:sectPr>
      </w:pPr>
    </w:p>
    <w:p>
      <w:pPr>
        <w:pStyle w:val="BodyText"/>
        <w:spacing w:line="249" w:lineRule="auto" w:before="100"/>
        <w:ind w:right="127"/>
      </w:pPr>
      <w:r>
        <w:rPr/>
        <w:t>showing relevant external graduate coursework to be used in partial fulfillment of the UMB degree (if applicable). The advisor and program director indicate which courses are to be used to fulfill degree requirements. The student must forward the application and attachments to the Graduate School for final review.</w:t>
      </w:r>
    </w:p>
    <w:p>
      <w:pPr>
        <w:pStyle w:val="BodyText"/>
        <w:spacing w:line="249" w:lineRule="auto" w:before="182"/>
        <w:ind w:right="66"/>
      </w:pPr>
      <w:r>
        <w:rPr/>
        <w:t>Courses taken at other regionally accredited institutions that are approved by the UMB graduate program are listed on the Application for Admission to Candidacy at the time of admission to candidacy. These courses do not appear on the UMB transcript, but, if approved by the program or department, may be used as partial fulfillment of the doctoral student’s degree program completion requirements.</w:t>
      </w:r>
    </w:p>
    <w:p>
      <w:pPr>
        <w:pStyle w:val="Heading4"/>
      </w:pPr>
      <w:r>
        <w:rPr/>
        <w:t>Doctoral Dissertation</w:t>
      </w:r>
    </w:p>
    <w:p>
      <w:pPr>
        <w:pStyle w:val="BodyText"/>
        <w:spacing w:line="249" w:lineRule="auto" w:before="183"/>
        <w:ind w:right="88"/>
      </w:pPr>
      <w:r>
        <w:rPr/>
        <w:t>Students must prove the ability to do independent research by an original dissertation on a topic approved by the department or program graduate committee. During the preparation of the dissertation, all candidates for the doctoral degree must complete a minimum of 12 credit hours of doctoral dissertation research (899) at the University of Maryland, Baltimore.</w:t>
      </w:r>
    </w:p>
    <w:p>
      <w:pPr>
        <w:pStyle w:val="BodyText"/>
        <w:spacing w:line="249" w:lineRule="auto" w:before="187"/>
        <w:ind w:right="38"/>
      </w:pPr>
      <w:r>
        <w:rPr/>
        <w:t>A PhD student must establish and maintain a professional relationship </w:t>
      </w:r>
      <w:r>
        <w:rPr>
          <w:spacing w:val="-3"/>
        </w:rPr>
        <w:t>with </w:t>
      </w:r>
      <w:r>
        <w:rPr/>
        <w:t>a member </w:t>
      </w:r>
      <w:r>
        <w:rPr>
          <w:spacing w:val="-3"/>
        </w:rPr>
        <w:t>of </w:t>
      </w:r>
      <w:r>
        <w:rPr/>
        <w:t>the graduate faculty with the appropriate knowledge and expertise to serve as their research advisor. If no appropriate graduate faculty member is available </w:t>
      </w:r>
      <w:r>
        <w:rPr>
          <w:spacing w:val="-3"/>
        </w:rPr>
        <w:t>or </w:t>
      </w:r>
      <w:r>
        <w:rPr/>
        <w:t>no appropriate graduate faculty member agrees to </w:t>
      </w:r>
      <w:r>
        <w:rPr>
          <w:spacing w:val="-3"/>
        </w:rPr>
        <w:t>be </w:t>
      </w:r>
      <w:r>
        <w:rPr/>
        <w:t>the student’s research advisor, the student cannot continue in the PhD</w:t>
      </w:r>
      <w:r>
        <w:rPr>
          <w:spacing w:val="-4"/>
        </w:rPr>
        <w:t> </w:t>
      </w:r>
      <w:r>
        <w:rPr/>
        <w:t>program.</w:t>
      </w:r>
    </w:p>
    <w:p>
      <w:pPr>
        <w:pStyle w:val="BodyText"/>
        <w:spacing w:line="249" w:lineRule="auto" w:before="183"/>
        <w:ind w:right="71"/>
      </w:pPr>
      <w:r>
        <w:rPr/>
        <w:t>Students also must have a doctoral examination committee nominated by the graduate program. The doctoral examination committee comprises a minimum of five scholars: the advisor, who is a regular member of the graduate faculty; at least two additional regular members of the graduate faculty; and at least one individual from outside the program, department, or discipline. Two committee members are designated as readers.</w:t>
      </w:r>
    </w:p>
    <w:p>
      <w:pPr>
        <w:pStyle w:val="BodyText"/>
        <w:spacing w:line="249" w:lineRule="auto" w:before="188"/>
        <w:ind w:right="71"/>
      </w:pPr>
      <w:r>
        <w:rPr/>
        <w:t>The student must submit their dissertation to the chair and two other readers at least one month before the defense date. When the dissertation is completed to the satisfaction of this committee and at least 10 days before the defense, the advisor and both readers sign the form verifying that the dissertation is ready for defense.</w:t>
      </w:r>
    </w:p>
    <w:p>
      <w:pPr>
        <w:pStyle w:val="BodyText"/>
        <w:spacing w:line="249" w:lineRule="auto" w:before="182"/>
        <w:ind w:right="137"/>
      </w:pPr>
      <w:r>
        <w:rPr/>
        <w:t>Often, students will submit the results of their dissertation research for publication. Students should obtain authorization from research advisors for publication of all or part of the dissertation before its defense. A manual to</w:t>
      </w:r>
    </w:p>
    <w:p>
      <w:pPr>
        <w:spacing w:line="249" w:lineRule="auto" w:before="97"/>
        <w:ind w:left="200" w:right="799" w:firstLine="0"/>
        <w:jc w:val="left"/>
        <w:rPr>
          <w:sz w:val="20"/>
        </w:rPr>
      </w:pPr>
      <w:r>
        <w:rPr/>
        <w:br w:type="column"/>
      </w:r>
      <w:r>
        <w:rPr>
          <w:sz w:val="20"/>
        </w:rPr>
        <w:t>help students in the preparation of their doctoral dissertations</w:t>
      </w:r>
      <w:r>
        <w:rPr>
          <w:i/>
          <w:sz w:val="20"/>
        </w:rPr>
        <w:t>, Electronic Dissertation and Thesis Style </w:t>
      </w:r>
      <w:r>
        <w:rPr>
          <w:i/>
          <w:sz w:val="20"/>
        </w:rPr>
        <w:t>Guide</w:t>
      </w:r>
      <w:r>
        <w:rPr>
          <w:sz w:val="20"/>
        </w:rPr>
        <w:t>, is available online and from the Graduate School.</w:t>
      </w:r>
    </w:p>
    <w:p>
      <w:pPr>
        <w:pStyle w:val="Heading4"/>
        <w:spacing w:line="228" w:lineRule="auto" w:before="174"/>
        <w:ind w:right="807"/>
      </w:pPr>
      <w:r>
        <w:rPr/>
        <w:t>Procedures for Examination of The Candidate’s Doctoral Dissertation</w:t>
      </w:r>
    </w:p>
    <w:p>
      <w:pPr>
        <w:pStyle w:val="BodyText"/>
        <w:spacing w:line="249" w:lineRule="auto" w:before="191"/>
        <w:ind w:right="988"/>
      </w:pPr>
      <w:r>
        <w:rPr/>
        <w:t>The purpose of the defense is to allow the candidate to demonstrate that they:</w:t>
      </w:r>
    </w:p>
    <w:p>
      <w:pPr>
        <w:pStyle w:val="ListParagraph"/>
        <w:numPr>
          <w:ilvl w:val="1"/>
          <w:numId w:val="3"/>
        </w:numPr>
        <w:tabs>
          <w:tab w:pos="633" w:val="left" w:leader="none"/>
        </w:tabs>
        <w:spacing w:line="240" w:lineRule="auto" w:before="179" w:after="0"/>
        <w:ind w:left="632" w:right="0" w:hanging="216"/>
        <w:jc w:val="left"/>
        <w:rPr>
          <w:sz w:val="20"/>
        </w:rPr>
      </w:pPr>
      <w:r>
        <w:rPr>
          <w:sz w:val="20"/>
        </w:rPr>
        <w:t>Have mastered a field </w:t>
      </w:r>
      <w:r>
        <w:rPr>
          <w:spacing w:val="-3"/>
          <w:sz w:val="20"/>
        </w:rPr>
        <w:t>of</w:t>
      </w:r>
      <w:r>
        <w:rPr>
          <w:spacing w:val="-2"/>
          <w:sz w:val="20"/>
        </w:rPr>
        <w:t> </w:t>
      </w:r>
      <w:r>
        <w:rPr>
          <w:sz w:val="20"/>
        </w:rPr>
        <w:t>knowledge.</w:t>
      </w:r>
    </w:p>
    <w:p>
      <w:pPr>
        <w:pStyle w:val="ListParagraph"/>
        <w:numPr>
          <w:ilvl w:val="1"/>
          <w:numId w:val="3"/>
        </w:numPr>
        <w:tabs>
          <w:tab w:pos="633" w:val="left" w:leader="none"/>
        </w:tabs>
        <w:spacing w:line="249" w:lineRule="auto" w:before="192" w:after="0"/>
        <w:ind w:left="632" w:right="809" w:hanging="216"/>
        <w:jc w:val="left"/>
        <w:rPr>
          <w:sz w:val="20"/>
        </w:rPr>
      </w:pPr>
      <w:r>
        <w:rPr>
          <w:sz w:val="20"/>
        </w:rPr>
        <w:t>Have successfully completed a program </w:t>
      </w:r>
      <w:r>
        <w:rPr>
          <w:spacing w:val="-3"/>
          <w:sz w:val="20"/>
        </w:rPr>
        <w:t>of </w:t>
      </w:r>
      <w:r>
        <w:rPr>
          <w:sz w:val="20"/>
        </w:rPr>
        <w:t>research in their </w:t>
      </w:r>
      <w:r>
        <w:rPr>
          <w:spacing w:val="-3"/>
          <w:sz w:val="20"/>
        </w:rPr>
        <w:t>chosen</w:t>
      </w:r>
      <w:r>
        <w:rPr>
          <w:spacing w:val="16"/>
          <w:sz w:val="20"/>
        </w:rPr>
        <w:t> </w:t>
      </w:r>
      <w:r>
        <w:rPr>
          <w:spacing w:val="-2"/>
          <w:sz w:val="20"/>
        </w:rPr>
        <w:t>field.</w:t>
      </w:r>
    </w:p>
    <w:p>
      <w:pPr>
        <w:pStyle w:val="ListParagraph"/>
        <w:numPr>
          <w:ilvl w:val="1"/>
          <w:numId w:val="3"/>
        </w:numPr>
        <w:tabs>
          <w:tab w:pos="633" w:val="left" w:leader="none"/>
        </w:tabs>
        <w:spacing w:line="249" w:lineRule="auto" w:before="179" w:after="0"/>
        <w:ind w:left="632" w:right="654" w:hanging="216"/>
        <w:jc w:val="left"/>
        <w:rPr>
          <w:sz w:val="20"/>
        </w:rPr>
      </w:pPr>
      <w:r>
        <w:rPr>
          <w:sz w:val="20"/>
        </w:rPr>
        <w:t>Are able to discuss and defend a research question and the results </w:t>
      </w:r>
      <w:r>
        <w:rPr>
          <w:spacing w:val="-3"/>
          <w:sz w:val="20"/>
        </w:rPr>
        <w:t>of </w:t>
      </w:r>
      <w:r>
        <w:rPr>
          <w:sz w:val="20"/>
        </w:rPr>
        <w:t>the research project with colleagues and the general public.</w:t>
      </w:r>
    </w:p>
    <w:p>
      <w:pPr>
        <w:pStyle w:val="BodyText"/>
        <w:spacing w:line="249" w:lineRule="auto"/>
        <w:ind w:right="778"/>
        <w:jc w:val="both"/>
      </w:pPr>
      <w:r>
        <w:rPr/>
        <w:t>The examination of the doctoral dissertation is conducted by the doctoral examination committee. Described below are the:</w:t>
      </w:r>
    </w:p>
    <w:p>
      <w:pPr>
        <w:pStyle w:val="ListParagraph"/>
        <w:numPr>
          <w:ilvl w:val="0"/>
          <w:numId w:val="5"/>
        </w:numPr>
        <w:tabs>
          <w:tab w:pos="633" w:val="left" w:leader="none"/>
        </w:tabs>
        <w:spacing w:line="240" w:lineRule="auto" w:before="179" w:after="0"/>
        <w:ind w:left="632" w:right="0" w:hanging="216"/>
        <w:jc w:val="left"/>
        <w:rPr>
          <w:sz w:val="20"/>
        </w:rPr>
      </w:pPr>
      <w:r>
        <w:rPr>
          <w:sz w:val="20"/>
        </w:rPr>
        <w:t>Composition </w:t>
      </w:r>
      <w:r>
        <w:rPr>
          <w:spacing w:val="-3"/>
          <w:sz w:val="20"/>
        </w:rPr>
        <w:t>of </w:t>
      </w:r>
      <w:r>
        <w:rPr>
          <w:sz w:val="20"/>
        </w:rPr>
        <w:t>the doctoral examination</w:t>
      </w:r>
      <w:r>
        <w:rPr>
          <w:spacing w:val="1"/>
          <w:sz w:val="20"/>
        </w:rPr>
        <w:t> </w:t>
      </w:r>
      <w:r>
        <w:rPr>
          <w:sz w:val="20"/>
        </w:rPr>
        <w:t>committee.</w:t>
      </w:r>
    </w:p>
    <w:p>
      <w:pPr>
        <w:pStyle w:val="ListParagraph"/>
        <w:numPr>
          <w:ilvl w:val="0"/>
          <w:numId w:val="5"/>
        </w:numPr>
        <w:tabs>
          <w:tab w:pos="633" w:val="left" w:leader="none"/>
        </w:tabs>
        <w:spacing w:line="249" w:lineRule="auto" w:before="193" w:after="0"/>
        <w:ind w:left="632" w:right="1173" w:hanging="216"/>
        <w:jc w:val="left"/>
        <w:rPr>
          <w:sz w:val="20"/>
        </w:rPr>
      </w:pPr>
      <w:r>
        <w:rPr>
          <w:sz w:val="20"/>
        </w:rPr>
        <w:t>Documentation and actions required before the doctoral</w:t>
      </w:r>
      <w:r>
        <w:rPr>
          <w:spacing w:val="3"/>
          <w:sz w:val="20"/>
        </w:rPr>
        <w:t> </w:t>
      </w:r>
      <w:r>
        <w:rPr>
          <w:sz w:val="20"/>
        </w:rPr>
        <w:t>examination.</w:t>
      </w:r>
    </w:p>
    <w:p>
      <w:pPr>
        <w:pStyle w:val="ListParagraph"/>
        <w:numPr>
          <w:ilvl w:val="0"/>
          <w:numId w:val="5"/>
        </w:numPr>
        <w:tabs>
          <w:tab w:pos="633" w:val="left" w:leader="none"/>
        </w:tabs>
        <w:spacing w:line="240" w:lineRule="auto" w:before="179" w:after="0"/>
        <w:ind w:left="632" w:right="0" w:hanging="216"/>
        <w:jc w:val="left"/>
        <w:rPr>
          <w:sz w:val="20"/>
        </w:rPr>
      </w:pPr>
      <w:r>
        <w:rPr>
          <w:sz w:val="20"/>
        </w:rPr>
        <w:t>Conduct </w:t>
      </w:r>
      <w:r>
        <w:rPr>
          <w:spacing w:val="-3"/>
          <w:sz w:val="20"/>
        </w:rPr>
        <w:t>of </w:t>
      </w:r>
      <w:r>
        <w:rPr>
          <w:sz w:val="20"/>
        </w:rPr>
        <w:t>the doctoral</w:t>
      </w:r>
      <w:r>
        <w:rPr>
          <w:spacing w:val="2"/>
          <w:sz w:val="20"/>
        </w:rPr>
        <w:t> </w:t>
      </w:r>
      <w:r>
        <w:rPr>
          <w:sz w:val="20"/>
        </w:rPr>
        <w:t>examination.</w:t>
      </w:r>
    </w:p>
    <w:p>
      <w:pPr>
        <w:pStyle w:val="Heading6"/>
        <w:spacing w:before="192"/>
      </w:pPr>
      <w:r>
        <w:rPr/>
        <w:t>Composition of the Doctoral Examination Committee</w:t>
      </w:r>
    </w:p>
    <w:p>
      <w:pPr>
        <w:pStyle w:val="BodyText"/>
        <w:spacing w:line="249" w:lineRule="auto" w:before="188"/>
        <w:ind w:right="738"/>
      </w:pPr>
      <w:r>
        <w:rPr/>
        <w:t>The committee must have a minimum of five and a maximum of seven voting members, all of whom must hold a doctoral degree or the terminal degree in their discipline. The committee must include the candidate’s dissertation advisor, two readers, and one member who is external to the candidate’s program, department, or discipline. One of the committee members (other than the chair) is appointed by the dean of the Graduate School as graduate school representative and serves as the dean’s surrogate. At least three of the members of the committee must be regular members of the graduate faculty.</w:t>
      </w:r>
    </w:p>
    <w:p>
      <w:pPr>
        <w:pStyle w:val="BodyText"/>
        <w:spacing w:line="249" w:lineRule="auto" w:before="190"/>
        <w:ind w:right="699"/>
      </w:pPr>
      <w:r>
        <w:rPr/>
        <w:t>At least six months before the proposed defense date, the committee chair will prepare and send a list of potential committee members to the dean of the Graduate School (Nomination of Members of Final Doctoral Examination Committee) for approval. If changes need to be made in committee composition, the committee chair must request approval from the dean of the Graduate School. If last- minute changes need to be made to the membership of the committee, the chair is to contact the office of the dean of the Graduate School and inform the office of the needed change and the reason for the change.</w:t>
      </w:r>
    </w:p>
    <w:p>
      <w:pPr>
        <w:spacing w:after="0" w:line="249" w:lineRule="auto"/>
        <w:sectPr>
          <w:pgSz w:w="12240" w:h="15840"/>
          <w:pgMar w:header="746" w:footer="0" w:top="1320" w:bottom="280" w:left="880" w:right="300"/>
          <w:cols w:num="2" w:equalWidth="0">
            <w:col w:w="4996" w:space="490"/>
            <w:col w:w="5574"/>
          </w:cols>
        </w:sectPr>
      </w:pPr>
    </w:p>
    <w:p>
      <w:pPr>
        <w:pStyle w:val="ListParagraph"/>
        <w:numPr>
          <w:ilvl w:val="1"/>
          <w:numId w:val="3"/>
        </w:numPr>
        <w:tabs>
          <w:tab w:pos="632" w:val="left" w:leader="none"/>
        </w:tabs>
        <w:spacing w:line="249" w:lineRule="auto" w:before="100" w:after="0"/>
        <w:ind w:left="631" w:right="99" w:hanging="215"/>
        <w:jc w:val="left"/>
        <w:rPr>
          <w:sz w:val="20"/>
        </w:rPr>
      </w:pPr>
      <w:r>
        <w:rPr>
          <w:b/>
          <w:sz w:val="20"/>
        </w:rPr>
        <w:t>Chair: </w:t>
      </w:r>
      <w:r>
        <w:rPr>
          <w:sz w:val="20"/>
        </w:rPr>
        <w:t>The committee chair must </w:t>
      </w:r>
      <w:r>
        <w:rPr>
          <w:spacing w:val="-3"/>
          <w:sz w:val="20"/>
        </w:rPr>
        <w:t>be </w:t>
      </w:r>
      <w:r>
        <w:rPr>
          <w:sz w:val="20"/>
        </w:rPr>
        <w:t>a regular member </w:t>
      </w:r>
      <w:r>
        <w:rPr>
          <w:spacing w:val="-3"/>
          <w:sz w:val="20"/>
        </w:rPr>
        <w:t>of </w:t>
      </w:r>
      <w:r>
        <w:rPr>
          <w:sz w:val="20"/>
        </w:rPr>
        <w:t>the graduate faculty and is normally the candidate’s advisor. If a candidate’s advisor is not a member </w:t>
      </w:r>
      <w:r>
        <w:rPr>
          <w:spacing w:val="-3"/>
          <w:sz w:val="20"/>
        </w:rPr>
        <w:t>of </w:t>
      </w:r>
      <w:r>
        <w:rPr>
          <w:sz w:val="20"/>
        </w:rPr>
        <w:t>the graduate faculty, the candidate’s program director is responsible </w:t>
      </w:r>
      <w:r>
        <w:rPr>
          <w:spacing w:val="-4"/>
          <w:sz w:val="20"/>
        </w:rPr>
        <w:t>for </w:t>
      </w:r>
      <w:r>
        <w:rPr>
          <w:sz w:val="20"/>
        </w:rPr>
        <w:t>appointing a regular graduate faculty member from </w:t>
      </w:r>
      <w:r>
        <w:rPr>
          <w:spacing w:val="-3"/>
          <w:sz w:val="20"/>
        </w:rPr>
        <w:t>within </w:t>
      </w:r>
      <w:r>
        <w:rPr>
          <w:sz w:val="20"/>
        </w:rPr>
        <w:t>the program to serve as the chair. </w:t>
      </w:r>
      <w:r>
        <w:rPr>
          <w:spacing w:val="-3"/>
          <w:sz w:val="20"/>
        </w:rPr>
        <w:t>In </w:t>
      </w:r>
      <w:r>
        <w:rPr>
          <w:sz w:val="20"/>
        </w:rPr>
        <w:t>this case, it is expected that the dissertation advisor </w:t>
      </w:r>
      <w:r>
        <w:rPr>
          <w:spacing w:val="-3"/>
          <w:sz w:val="20"/>
        </w:rPr>
        <w:t>would </w:t>
      </w:r>
      <w:r>
        <w:rPr>
          <w:sz w:val="20"/>
        </w:rPr>
        <w:t>serve </w:t>
      </w:r>
      <w:r>
        <w:rPr>
          <w:spacing w:val="-3"/>
          <w:sz w:val="20"/>
        </w:rPr>
        <w:t>on </w:t>
      </w:r>
      <w:r>
        <w:rPr>
          <w:sz w:val="20"/>
        </w:rPr>
        <w:t>the committee as one </w:t>
      </w:r>
      <w:r>
        <w:rPr>
          <w:spacing w:val="-3"/>
          <w:sz w:val="20"/>
        </w:rPr>
        <w:t>of </w:t>
      </w:r>
      <w:r>
        <w:rPr>
          <w:sz w:val="20"/>
        </w:rPr>
        <w:t>the </w:t>
      </w:r>
      <w:r>
        <w:rPr>
          <w:spacing w:val="-3"/>
          <w:sz w:val="20"/>
        </w:rPr>
        <w:t>other</w:t>
      </w:r>
      <w:r>
        <w:rPr>
          <w:spacing w:val="3"/>
          <w:sz w:val="20"/>
        </w:rPr>
        <w:t> </w:t>
      </w:r>
      <w:r>
        <w:rPr>
          <w:sz w:val="20"/>
        </w:rPr>
        <w:t>members.</w:t>
      </w:r>
    </w:p>
    <w:p>
      <w:pPr>
        <w:pStyle w:val="ListParagraph"/>
        <w:numPr>
          <w:ilvl w:val="1"/>
          <w:numId w:val="3"/>
        </w:numPr>
        <w:tabs>
          <w:tab w:pos="632" w:val="left" w:leader="none"/>
        </w:tabs>
        <w:spacing w:line="249" w:lineRule="auto" w:before="184" w:after="0"/>
        <w:ind w:left="631" w:right="38" w:hanging="216"/>
        <w:jc w:val="left"/>
        <w:rPr>
          <w:sz w:val="20"/>
        </w:rPr>
      </w:pPr>
      <w:r>
        <w:rPr>
          <w:b/>
          <w:sz w:val="20"/>
        </w:rPr>
        <w:t>Readers: </w:t>
      </w:r>
      <w:r>
        <w:rPr>
          <w:spacing w:val="-3"/>
          <w:sz w:val="20"/>
        </w:rPr>
        <w:t>In </w:t>
      </w:r>
      <w:r>
        <w:rPr>
          <w:sz w:val="20"/>
        </w:rPr>
        <w:t>addition to the chair, two members </w:t>
      </w:r>
      <w:r>
        <w:rPr>
          <w:spacing w:val="-5"/>
          <w:sz w:val="20"/>
        </w:rPr>
        <w:t>of </w:t>
      </w:r>
      <w:r>
        <w:rPr>
          <w:sz w:val="20"/>
        </w:rPr>
        <w:t>the committee must </w:t>
      </w:r>
      <w:r>
        <w:rPr>
          <w:spacing w:val="-3"/>
          <w:sz w:val="20"/>
        </w:rPr>
        <w:t>be </w:t>
      </w:r>
      <w:r>
        <w:rPr>
          <w:sz w:val="20"/>
        </w:rPr>
        <w:t>identified as readers. The chair and readers </w:t>
      </w:r>
      <w:r>
        <w:rPr>
          <w:spacing w:val="-3"/>
          <w:sz w:val="20"/>
        </w:rPr>
        <w:t>serve </w:t>
      </w:r>
      <w:r>
        <w:rPr>
          <w:sz w:val="20"/>
        </w:rPr>
        <w:t>to certify that the dissertation is ready to </w:t>
      </w:r>
      <w:r>
        <w:rPr>
          <w:spacing w:val="-3"/>
          <w:sz w:val="20"/>
        </w:rPr>
        <w:t>be </w:t>
      </w:r>
      <w:r>
        <w:rPr>
          <w:sz w:val="20"/>
        </w:rPr>
        <w:t>defended and do so by signing the Certification </w:t>
      </w:r>
      <w:r>
        <w:rPr>
          <w:spacing w:val="-3"/>
          <w:sz w:val="20"/>
        </w:rPr>
        <w:t>of </w:t>
      </w:r>
      <w:r>
        <w:rPr>
          <w:sz w:val="20"/>
        </w:rPr>
        <w:t>Completion </w:t>
      </w:r>
      <w:r>
        <w:rPr>
          <w:spacing w:val="-3"/>
          <w:sz w:val="20"/>
        </w:rPr>
        <w:t>of </w:t>
      </w:r>
      <w:r>
        <w:rPr>
          <w:sz w:val="20"/>
        </w:rPr>
        <w:t>the Doctoral Dissertation. This form must </w:t>
      </w:r>
      <w:r>
        <w:rPr>
          <w:spacing w:val="-3"/>
          <w:sz w:val="20"/>
        </w:rPr>
        <w:t>be </w:t>
      </w:r>
      <w:r>
        <w:rPr>
          <w:sz w:val="20"/>
        </w:rPr>
        <w:t>returned to the Graduate School at least two weeks before the proposed examination date (see the Documentation and Actions Required </w:t>
      </w:r>
      <w:r>
        <w:rPr>
          <w:spacing w:val="-3"/>
          <w:sz w:val="20"/>
        </w:rPr>
        <w:t>Prior </w:t>
      </w:r>
      <w:r>
        <w:rPr>
          <w:sz w:val="20"/>
        </w:rPr>
        <w:t>to the Doctoral Examination section that follows). The candidate will provide the </w:t>
      </w:r>
      <w:r>
        <w:rPr>
          <w:spacing w:val="-3"/>
          <w:sz w:val="20"/>
        </w:rPr>
        <w:t>chair </w:t>
      </w:r>
      <w:r>
        <w:rPr>
          <w:sz w:val="20"/>
        </w:rPr>
        <w:t>and the readers a copy of </w:t>
      </w:r>
      <w:r>
        <w:rPr>
          <w:spacing w:val="3"/>
          <w:sz w:val="20"/>
        </w:rPr>
        <w:t>the </w:t>
      </w:r>
      <w:r>
        <w:rPr>
          <w:sz w:val="20"/>
        </w:rPr>
        <w:t>dissertation at least two weeks before the deadline </w:t>
      </w:r>
      <w:r>
        <w:rPr>
          <w:spacing w:val="-4"/>
          <w:sz w:val="20"/>
        </w:rPr>
        <w:t>for </w:t>
      </w:r>
      <w:r>
        <w:rPr>
          <w:sz w:val="20"/>
        </w:rPr>
        <w:t>submitting the Certification </w:t>
      </w:r>
      <w:r>
        <w:rPr>
          <w:spacing w:val="-3"/>
          <w:sz w:val="20"/>
        </w:rPr>
        <w:t>of </w:t>
      </w:r>
      <w:r>
        <w:rPr>
          <w:sz w:val="20"/>
        </w:rPr>
        <w:t>Completion </w:t>
      </w:r>
      <w:r>
        <w:rPr>
          <w:spacing w:val="-3"/>
          <w:sz w:val="20"/>
        </w:rPr>
        <w:t>of </w:t>
      </w:r>
      <w:r>
        <w:rPr>
          <w:sz w:val="20"/>
        </w:rPr>
        <w:t>the Doctoral Dissertation. By signing the certification, the readers and the </w:t>
      </w:r>
      <w:r>
        <w:rPr>
          <w:spacing w:val="-3"/>
          <w:sz w:val="20"/>
        </w:rPr>
        <w:t>chair </w:t>
      </w:r>
      <w:r>
        <w:rPr>
          <w:sz w:val="20"/>
        </w:rPr>
        <w:t>are indicating that the dissertation is a presentable, interpretable, and complete document. The three signatures attest that the dissertation conforms to these criteria; however, they do not indicate a determination </w:t>
      </w:r>
      <w:r>
        <w:rPr>
          <w:spacing w:val="-3"/>
          <w:sz w:val="20"/>
        </w:rPr>
        <w:t>of </w:t>
      </w:r>
      <w:r>
        <w:rPr>
          <w:sz w:val="20"/>
        </w:rPr>
        <w:t>the ultimate acceptability </w:t>
      </w:r>
      <w:r>
        <w:rPr>
          <w:spacing w:val="-3"/>
          <w:sz w:val="20"/>
        </w:rPr>
        <w:t>or </w:t>
      </w:r>
      <w:r>
        <w:rPr>
          <w:sz w:val="20"/>
        </w:rPr>
        <w:t>approval </w:t>
      </w:r>
      <w:r>
        <w:rPr>
          <w:spacing w:val="-3"/>
          <w:sz w:val="20"/>
        </w:rPr>
        <w:t>of </w:t>
      </w:r>
      <w:r>
        <w:rPr>
          <w:sz w:val="20"/>
        </w:rPr>
        <w:t>the dissertation, which can only occur after the final examination session. The candidate’s program </w:t>
      </w:r>
      <w:r>
        <w:rPr>
          <w:spacing w:val="-3"/>
          <w:sz w:val="20"/>
        </w:rPr>
        <w:t>director </w:t>
      </w:r>
      <w:r>
        <w:rPr>
          <w:sz w:val="20"/>
        </w:rPr>
        <w:t>also must </w:t>
      </w:r>
      <w:r>
        <w:rPr>
          <w:spacing w:val="-3"/>
          <w:sz w:val="20"/>
        </w:rPr>
        <w:t>sign </w:t>
      </w:r>
      <w:r>
        <w:rPr>
          <w:sz w:val="20"/>
        </w:rPr>
        <w:t>the Certificate </w:t>
      </w:r>
      <w:r>
        <w:rPr>
          <w:spacing w:val="-3"/>
          <w:sz w:val="20"/>
        </w:rPr>
        <w:t>of </w:t>
      </w:r>
      <w:r>
        <w:rPr>
          <w:sz w:val="20"/>
        </w:rPr>
        <w:t>Completion form. By signing, the program director indicates that all other University and program criteria pertaining to completion </w:t>
      </w:r>
      <w:r>
        <w:rPr>
          <w:spacing w:val="-3"/>
          <w:sz w:val="20"/>
        </w:rPr>
        <w:t>of </w:t>
      </w:r>
      <w:r>
        <w:rPr>
          <w:sz w:val="20"/>
        </w:rPr>
        <w:t>the PhD are satisfied and that the exam may go</w:t>
      </w:r>
      <w:r>
        <w:rPr>
          <w:spacing w:val="-20"/>
          <w:sz w:val="20"/>
        </w:rPr>
        <w:t> </w:t>
      </w:r>
      <w:r>
        <w:rPr>
          <w:sz w:val="20"/>
        </w:rPr>
        <w:t>forward.</w:t>
      </w:r>
    </w:p>
    <w:p>
      <w:pPr>
        <w:pStyle w:val="BodyText"/>
        <w:spacing w:before="5"/>
        <w:ind w:left="0"/>
        <w:rPr>
          <w:sz w:val="17"/>
        </w:rPr>
      </w:pPr>
    </w:p>
    <w:p>
      <w:pPr>
        <w:pStyle w:val="ListParagraph"/>
        <w:numPr>
          <w:ilvl w:val="1"/>
          <w:numId w:val="3"/>
        </w:numPr>
        <w:tabs>
          <w:tab w:pos="632" w:val="left" w:leader="none"/>
        </w:tabs>
        <w:spacing w:line="249" w:lineRule="auto" w:before="1" w:after="0"/>
        <w:ind w:left="631" w:right="38" w:hanging="216"/>
        <w:jc w:val="left"/>
        <w:rPr>
          <w:sz w:val="20"/>
        </w:rPr>
      </w:pPr>
      <w:r>
        <w:rPr>
          <w:b/>
          <w:sz w:val="20"/>
        </w:rPr>
        <w:t>External Member </w:t>
      </w:r>
      <w:r>
        <w:rPr>
          <w:b/>
          <w:spacing w:val="-3"/>
          <w:sz w:val="20"/>
        </w:rPr>
        <w:t>of the </w:t>
      </w:r>
      <w:r>
        <w:rPr>
          <w:b/>
          <w:sz w:val="20"/>
        </w:rPr>
        <w:t>Examination Committee: </w:t>
      </w:r>
      <w:r>
        <w:rPr>
          <w:sz w:val="20"/>
        </w:rPr>
        <w:t>One </w:t>
      </w:r>
      <w:r>
        <w:rPr>
          <w:spacing w:val="-3"/>
          <w:sz w:val="20"/>
        </w:rPr>
        <w:t>of </w:t>
      </w:r>
      <w:r>
        <w:rPr>
          <w:sz w:val="20"/>
        </w:rPr>
        <w:t>the members </w:t>
      </w:r>
      <w:r>
        <w:rPr>
          <w:spacing w:val="-3"/>
          <w:sz w:val="20"/>
        </w:rPr>
        <w:t>of </w:t>
      </w:r>
      <w:r>
        <w:rPr>
          <w:sz w:val="20"/>
        </w:rPr>
        <w:t>the committee must </w:t>
      </w:r>
      <w:r>
        <w:rPr>
          <w:spacing w:val="-3"/>
          <w:sz w:val="20"/>
        </w:rPr>
        <w:t>be </w:t>
      </w:r>
      <w:r>
        <w:rPr>
          <w:sz w:val="20"/>
        </w:rPr>
        <w:t>an external member. This individual must </w:t>
      </w:r>
      <w:r>
        <w:rPr>
          <w:spacing w:val="-3"/>
          <w:sz w:val="20"/>
        </w:rPr>
        <w:t>be </w:t>
      </w:r>
      <w:r>
        <w:rPr>
          <w:sz w:val="20"/>
        </w:rPr>
        <w:t>from a separate program, department, </w:t>
      </w:r>
      <w:r>
        <w:rPr>
          <w:spacing w:val="-3"/>
          <w:sz w:val="20"/>
        </w:rPr>
        <w:t>or </w:t>
      </w:r>
      <w:r>
        <w:rPr>
          <w:sz w:val="20"/>
        </w:rPr>
        <w:t>discipline </w:t>
      </w:r>
      <w:r>
        <w:rPr>
          <w:spacing w:val="-3"/>
          <w:sz w:val="20"/>
        </w:rPr>
        <w:t>from that </w:t>
      </w:r>
      <w:r>
        <w:rPr>
          <w:sz w:val="20"/>
        </w:rPr>
        <w:t>of the candidate. The role </w:t>
      </w:r>
      <w:r>
        <w:rPr>
          <w:spacing w:val="-3"/>
          <w:sz w:val="20"/>
        </w:rPr>
        <w:t>of </w:t>
      </w:r>
      <w:r>
        <w:rPr>
          <w:sz w:val="20"/>
        </w:rPr>
        <w:t>the external member is to provide a broader perspective within the examination </w:t>
      </w:r>
      <w:r>
        <w:rPr>
          <w:spacing w:val="-3"/>
          <w:sz w:val="20"/>
        </w:rPr>
        <w:t>process. </w:t>
      </w:r>
      <w:r>
        <w:rPr>
          <w:sz w:val="20"/>
        </w:rPr>
        <w:t>The external member must hold a doctoral degree </w:t>
      </w:r>
      <w:r>
        <w:rPr>
          <w:spacing w:val="-3"/>
          <w:sz w:val="20"/>
        </w:rPr>
        <w:t>or </w:t>
      </w:r>
      <w:r>
        <w:rPr>
          <w:sz w:val="20"/>
        </w:rPr>
        <w:t>a terminal degree in their field. The individual may </w:t>
      </w:r>
      <w:r>
        <w:rPr>
          <w:spacing w:val="-3"/>
          <w:sz w:val="20"/>
        </w:rPr>
        <w:t>be </w:t>
      </w:r>
      <w:r>
        <w:rPr>
          <w:sz w:val="20"/>
        </w:rPr>
        <w:t>from within the University </w:t>
      </w:r>
      <w:r>
        <w:rPr>
          <w:spacing w:val="-3"/>
          <w:sz w:val="20"/>
        </w:rPr>
        <w:t>or </w:t>
      </w:r>
      <w:r>
        <w:rPr>
          <w:sz w:val="20"/>
        </w:rPr>
        <w:t>may </w:t>
      </w:r>
      <w:r>
        <w:rPr>
          <w:spacing w:val="-3"/>
          <w:sz w:val="20"/>
        </w:rPr>
        <w:t>be </w:t>
      </w:r>
      <w:r>
        <w:rPr>
          <w:sz w:val="20"/>
        </w:rPr>
        <w:t>a scholar from another institution. If the external member is a member </w:t>
      </w:r>
      <w:r>
        <w:rPr>
          <w:spacing w:val="-3"/>
          <w:sz w:val="20"/>
        </w:rPr>
        <w:t>of </w:t>
      </w:r>
      <w:r>
        <w:rPr>
          <w:sz w:val="20"/>
        </w:rPr>
        <w:t>the graduate faculty, the individual may also serve as the Graduate </w:t>
      </w:r>
      <w:r>
        <w:rPr>
          <w:spacing w:val="-2"/>
          <w:sz w:val="20"/>
        </w:rPr>
        <w:t>School </w:t>
      </w:r>
      <w:r>
        <w:rPr>
          <w:sz w:val="20"/>
        </w:rPr>
        <w:t>representative </w:t>
      </w:r>
      <w:r>
        <w:rPr>
          <w:spacing w:val="-3"/>
          <w:sz w:val="20"/>
        </w:rPr>
        <w:t>or </w:t>
      </w:r>
      <w:r>
        <w:rPr>
          <w:sz w:val="20"/>
        </w:rPr>
        <w:t>as a reader. If the external </w:t>
      </w:r>
      <w:r>
        <w:rPr>
          <w:spacing w:val="-3"/>
          <w:sz w:val="20"/>
        </w:rPr>
        <w:t>member </w:t>
      </w:r>
      <w:r>
        <w:rPr>
          <w:sz w:val="20"/>
        </w:rPr>
        <w:t>is not a member </w:t>
      </w:r>
      <w:r>
        <w:rPr>
          <w:spacing w:val="-3"/>
          <w:sz w:val="20"/>
        </w:rPr>
        <w:t>of </w:t>
      </w:r>
      <w:r>
        <w:rPr>
          <w:sz w:val="20"/>
        </w:rPr>
        <w:t>the graduate faculty, a curriculum vitae must accompany the</w:t>
      </w:r>
      <w:r>
        <w:rPr>
          <w:spacing w:val="-16"/>
          <w:sz w:val="20"/>
        </w:rPr>
        <w:t> </w:t>
      </w:r>
      <w:r>
        <w:rPr>
          <w:sz w:val="20"/>
        </w:rPr>
        <w:t>nomination.</w:t>
      </w:r>
    </w:p>
    <w:p>
      <w:pPr>
        <w:pStyle w:val="ListParagraph"/>
        <w:numPr>
          <w:ilvl w:val="2"/>
          <w:numId w:val="3"/>
        </w:numPr>
        <w:tabs>
          <w:tab w:pos="849" w:val="left" w:leader="none"/>
        </w:tabs>
        <w:spacing w:line="249" w:lineRule="auto" w:before="95" w:after="0"/>
        <w:ind w:left="847" w:right="628" w:hanging="215"/>
        <w:jc w:val="left"/>
        <w:rPr>
          <w:sz w:val="20"/>
        </w:rPr>
      </w:pPr>
      <w:r>
        <w:rPr>
          <w:b/>
          <w:spacing w:val="1"/>
          <w:w w:val="100"/>
          <w:sz w:val="20"/>
        </w:rPr>
        <w:br w:type="column"/>
      </w:r>
      <w:r>
        <w:rPr>
          <w:b/>
          <w:sz w:val="20"/>
        </w:rPr>
        <w:t>Graduate </w:t>
      </w:r>
      <w:r>
        <w:rPr>
          <w:b/>
          <w:spacing w:val="-3"/>
          <w:sz w:val="20"/>
        </w:rPr>
        <w:t>School </w:t>
      </w:r>
      <w:r>
        <w:rPr>
          <w:b/>
          <w:sz w:val="20"/>
        </w:rPr>
        <w:t>Representative: </w:t>
      </w:r>
      <w:r>
        <w:rPr>
          <w:sz w:val="20"/>
        </w:rPr>
        <w:t>One member </w:t>
      </w:r>
      <w:r>
        <w:rPr>
          <w:spacing w:val="-3"/>
          <w:sz w:val="20"/>
        </w:rPr>
        <w:t>of </w:t>
      </w:r>
      <w:r>
        <w:rPr>
          <w:sz w:val="20"/>
        </w:rPr>
        <w:t>the committee, designated </w:t>
      </w:r>
      <w:r>
        <w:rPr>
          <w:spacing w:val="-3"/>
          <w:sz w:val="20"/>
        </w:rPr>
        <w:t>by </w:t>
      </w:r>
      <w:r>
        <w:rPr>
          <w:sz w:val="20"/>
        </w:rPr>
        <w:t>the office of the dean </w:t>
      </w:r>
      <w:r>
        <w:rPr>
          <w:spacing w:val="-3"/>
          <w:sz w:val="20"/>
        </w:rPr>
        <w:t>of </w:t>
      </w:r>
      <w:r>
        <w:rPr>
          <w:sz w:val="20"/>
        </w:rPr>
        <w:t>the Graduate School, serves as the dean’s surrogate. The representative must </w:t>
      </w:r>
      <w:r>
        <w:rPr>
          <w:spacing w:val="-3"/>
          <w:sz w:val="20"/>
        </w:rPr>
        <w:t>be </w:t>
      </w:r>
      <w:r>
        <w:rPr>
          <w:sz w:val="20"/>
        </w:rPr>
        <w:t>a regular member </w:t>
      </w:r>
      <w:r>
        <w:rPr>
          <w:spacing w:val="-3"/>
          <w:sz w:val="20"/>
        </w:rPr>
        <w:t>of </w:t>
      </w:r>
      <w:r>
        <w:rPr>
          <w:sz w:val="20"/>
        </w:rPr>
        <w:t>the graduate faculty and cannot </w:t>
      </w:r>
      <w:r>
        <w:rPr>
          <w:spacing w:val="-3"/>
          <w:sz w:val="20"/>
        </w:rPr>
        <w:t>be </w:t>
      </w:r>
      <w:r>
        <w:rPr>
          <w:sz w:val="20"/>
        </w:rPr>
        <w:t>the committee chair. In addition to the normal responsibilities as a member of the committee, the representative has the responsibility of ensuring that the examination is conducted according to established procedures. Any questions </w:t>
      </w:r>
      <w:r>
        <w:rPr>
          <w:spacing w:val="-3"/>
          <w:sz w:val="20"/>
        </w:rPr>
        <w:t>or </w:t>
      </w:r>
      <w:r>
        <w:rPr>
          <w:sz w:val="20"/>
        </w:rPr>
        <w:t>disagreement over the examination procedure are referred to the Graduate </w:t>
      </w:r>
      <w:r>
        <w:rPr>
          <w:spacing w:val="-4"/>
          <w:sz w:val="20"/>
        </w:rPr>
        <w:t>School </w:t>
      </w:r>
      <w:r>
        <w:rPr>
          <w:sz w:val="20"/>
        </w:rPr>
        <w:t>representative for a decision. </w:t>
      </w:r>
      <w:r>
        <w:rPr>
          <w:spacing w:val="-3"/>
          <w:sz w:val="20"/>
        </w:rPr>
        <w:t>Upon </w:t>
      </w:r>
      <w:r>
        <w:rPr>
          <w:sz w:val="20"/>
        </w:rPr>
        <w:t>designation, the Graduate School representative will receive from the Graduate School a copy of the Procedures </w:t>
      </w:r>
      <w:r>
        <w:rPr>
          <w:spacing w:val="-4"/>
          <w:sz w:val="20"/>
        </w:rPr>
        <w:t>for </w:t>
      </w:r>
      <w:r>
        <w:rPr>
          <w:sz w:val="20"/>
        </w:rPr>
        <w:t>Examination </w:t>
      </w:r>
      <w:r>
        <w:rPr>
          <w:spacing w:val="-3"/>
          <w:sz w:val="20"/>
        </w:rPr>
        <w:t>of </w:t>
      </w:r>
      <w:r>
        <w:rPr>
          <w:sz w:val="20"/>
        </w:rPr>
        <w:t>the Doctoral</w:t>
      </w:r>
      <w:r>
        <w:rPr>
          <w:spacing w:val="3"/>
          <w:sz w:val="20"/>
        </w:rPr>
        <w:t> </w:t>
      </w:r>
      <w:r>
        <w:rPr>
          <w:sz w:val="20"/>
        </w:rPr>
        <w:t>Dissertation.</w:t>
      </w:r>
    </w:p>
    <w:p>
      <w:pPr>
        <w:pStyle w:val="ListParagraph"/>
        <w:numPr>
          <w:ilvl w:val="2"/>
          <w:numId w:val="3"/>
        </w:numPr>
        <w:tabs>
          <w:tab w:pos="848" w:val="left" w:leader="none"/>
        </w:tabs>
        <w:spacing w:line="249" w:lineRule="auto" w:before="189" w:after="0"/>
        <w:ind w:left="847" w:right="662" w:hanging="216"/>
        <w:jc w:val="left"/>
        <w:rPr>
          <w:sz w:val="20"/>
        </w:rPr>
      </w:pPr>
      <w:r>
        <w:rPr>
          <w:b/>
          <w:sz w:val="20"/>
        </w:rPr>
        <w:t>Other Committee Members: </w:t>
      </w:r>
      <w:r>
        <w:rPr>
          <w:sz w:val="20"/>
        </w:rPr>
        <w:t>There may </w:t>
      </w:r>
      <w:r>
        <w:rPr>
          <w:spacing w:val="-3"/>
          <w:sz w:val="20"/>
        </w:rPr>
        <w:t>be </w:t>
      </w:r>
      <w:r>
        <w:rPr>
          <w:sz w:val="20"/>
        </w:rPr>
        <w:t>up to seven members </w:t>
      </w:r>
      <w:r>
        <w:rPr>
          <w:spacing w:val="-3"/>
          <w:sz w:val="20"/>
        </w:rPr>
        <w:t>on </w:t>
      </w:r>
      <w:r>
        <w:rPr>
          <w:sz w:val="20"/>
        </w:rPr>
        <w:t>the committee. Beyond the </w:t>
      </w:r>
      <w:r>
        <w:rPr>
          <w:spacing w:val="-4"/>
          <w:sz w:val="20"/>
        </w:rPr>
        <w:t>five </w:t>
      </w:r>
      <w:r>
        <w:rPr>
          <w:sz w:val="20"/>
        </w:rPr>
        <w:t>required members described previously, up to two additional individuals may </w:t>
      </w:r>
      <w:r>
        <w:rPr>
          <w:spacing w:val="-3"/>
          <w:sz w:val="20"/>
        </w:rPr>
        <w:t>be </w:t>
      </w:r>
      <w:r>
        <w:rPr>
          <w:sz w:val="20"/>
        </w:rPr>
        <w:t>appointed to the committee. These members may </w:t>
      </w:r>
      <w:r>
        <w:rPr>
          <w:spacing w:val="-3"/>
          <w:sz w:val="20"/>
        </w:rPr>
        <w:t>be </w:t>
      </w:r>
      <w:r>
        <w:rPr>
          <w:sz w:val="20"/>
        </w:rPr>
        <w:t>individuals within </w:t>
      </w:r>
      <w:r>
        <w:rPr>
          <w:spacing w:val="-3"/>
          <w:sz w:val="20"/>
        </w:rPr>
        <w:t>or </w:t>
      </w:r>
      <w:r>
        <w:rPr>
          <w:sz w:val="20"/>
        </w:rPr>
        <w:t>outside the candidate’s program and may include scholars from other institutions </w:t>
      </w:r>
      <w:r>
        <w:rPr>
          <w:spacing w:val="-3"/>
          <w:sz w:val="20"/>
        </w:rPr>
        <w:t>or </w:t>
      </w:r>
      <w:r>
        <w:rPr>
          <w:sz w:val="20"/>
        </w:rPr>
        <w:t>other components </w:t>
      </w:r>
      <w:r>
        <w:rPr>
          <w:spacing w:val="-3"/>
          <w:sz w:val="20"/>
        </w:rPr>
        <w:t>of </w:t>
      </w:r>
      <w:r>
        <w:rPr>
          <w:sz w:val="20"/>
        </w:rPr>
        <w:t>the </w:t>
      </w:r>
      <w:r>
        <w:rPr>
          <w:spacing w:val="-3"/>
          <w:sz w:val="20"/>
        </w:rPr>
        <w:t>UMB </w:t>
      </w:r>
      <w:r>
        <w:rPr>
          <w:sz w:val="20"/>
        </w:rPr>
        <w:t>Graduate </w:t>
      </w:r>
      <w:r>
        <w:rPr>
          <w:spacing w:val="-3"/>
          <w:sz w:val="20"/>
        </w:rPr>
        <w:t>School. </w:t>
      </w:r>
      <w:r>
        <w:rPr>
          <w:spacing w:val="-2"/>
          <w:sz w:val="20"/>
        </w:rPr>
        <w:t>All </w:t>
      </w:r>
      <w:r>
        <w:rPr>
          <w:spacing w:val="-3"/>
          <w:sz w:val="20"/>
        </w:rPr>
        <w:t>such </w:t>
      </w:r>
      <w:r>
        <w:rPr>
          <w:sz w:val="20"/>
        </w:rPr>
        <w:t>members must hold a doctoral degree </w:t>
      </w:r>
      <w:r>
        <w:rPr>
          <w:spacing w:val="-3"/>
          <w:sz w:val="20"/>
        </w:rPr>
        <w:t>or </w:t>
      </w:r>
      <w:r>
        <w:rPr>
          <w:sz w:val="20"/>
        </w:rPr>
        <w:t>a terminal degree in their field. A curriculum vitae must accompany the nomination form submitted </w:t>
      </w:r>
      <w:r>
        <w:rPr>
          <w:spacing w:val="-3"/>
          <w:sz w:val="20"/>
        </w:rPr>
        <w:t>by </w:t>
      </w:r>
      <w:r>
        <w:rPr>
          <w:sz w:val="20"/>
        </w:rPr>
        <w:t>the committee chair to the dean </w:t>
      </w:r>
      <w:r>
        <w:rPr>
          <w:spacing w:val="-3"/>
          <w:sz w:val="20"/>
        </w:rPr>
        <w:t>of </w:t>
      </w:r>
      <w:r>
        <w:rPr>
          <w:sz w:val="20"/>
        </w:rPr>
        <w:t>the Graduate </w:t>
      </w:r>
      <w:r>
        <w:rPr>
          <w:spacing w:val="-4"/>
          <w:sz w:val="20"/>
        </w:rPr>
        <w:t>School </w:t>
      </w:r>
      <w:r>
        <w:rPr>
          <w:sz w:val="20"/>
        </w:rPr>
        <w:t>for any committee nominees who are not members </w:t>
      </w:r>
      <w:r>
        <w:rPr>
          <w:spacing w:val="-3"/>
          <w:sz w:val="20"/>
        </w:rPr>
        <w:t>of </w:t>
      </w:r>
      <w:r>
        <w:rPr>
          <w:sz w:val="20"/>
        </w:rPr>
        <w:t>the graduate</w:t>
      </w:r>
      <w:r>
        <w:rPr>
          <w:spacing w:val="-3"/>
          <w:sz w:val="20"/>
        </w:rPr>
        <w:t> </w:t>
      </w:r>
      <w:r>
        <w:rPr>
          <w:sz w:val="20"/>
        </w:rPr>
        <w:t>faculty.</w:t>
      </w:r>
    </w:p>
    <w:p>
      <w:pPr>
        <w:pStyle w:val="Heading6"/>
        <w:spacing w:line="249" w:lineRule="auto" w:before="192"/>
        <w:ind w:left="415" w:right="1087"/>
      </w:pPr>
      <w:r>
        <w:rPr/>
        <w:t>Documentation and Actions Required Prior to the Doctoral Examination</w:t>
      </w:r>
    </w:p>
    <w:p>
      <w:pPr>
        <w:pStyle w:val="BodyText"/>
        <w:spacing w:line="249" w:lineRule="auto" w:before="179"/>
        <w:ind w:left="415" w:right="921"/>
      </w:pPr>
      <w:r>
        <w:rPr/>
        <w:t>Prior to the doctoral examination, the following actions need to be completed:</w:t>
      </w:r>
    </w:p>
    <w:p>
      <w:pPr>
        <w:pStyle w:val="ListParagraph"/>
        <w:numPr>
          <w:ilvl w:val="2"/>
          <w:numId w:val="3"/>
        </w:numPr>
        <w:tabs>
          <w:tab w:pos="848" w:val="left" w:leader="none"/>
        </w:tabs>
        <w:spacing w:line="249" w:lineRule="auto" w:before="184" w:after="0"/>
        <w:ind w:left="847" w:right="996" w:hanging="216"/>
        <w:jc w:val="left"/>
        <w:rPr>
          <w:sz w:val="20"/>
        </w:rPr>
      </w:pPr>
      <w:r>
        <w:rPr>
          <w:b/>
          <w:sz w:val="20"/>
        </w:rPr>
        <w:t>Nomination </w:t>
      </w:r>
      <w:r>
        <w:rPr>
          <w:b/>
          <w:spacing w:val="-3"/>
          <w:sz w:val="20"/>
        </w:rPr>
        <w:t>of </w:t>
      </w:r>
      <w:r>
        <w:rPr>
          <w:b/>
          <w:sz w:val="20"/>
        </w:rPr>
        <w:t>Final Doctoral Examination Committee members: </w:t>
      </w:r>
      <w:r>
        <w:rPr>
          <w:sz w:val="20"/>
        </w:rPr>
        <w:t>Must </w:t>
      </w:r>
      <w:r>
        <w:rPr>
          <w:spacing w:val="-3"/>
          <w:sz w:val="20"/>
        </w:rPr>
        <w:t>be </w:t>
      </w:r>
      <w:r>
        <w:rPr>
          <w:sz w:val="20"/>
        </w:rPr>
        <w:t>submitted to the dean’s</w:t>
      </w:r>
      <w:r>
        <w:rPr>
          <w:spacing w:val="-4"/>
          <w:sz w:val="20"/>
        </w:rPr>
        <w:t> </w:t>
      </w:r>
      <w:r>
        <w:rPr>
          <w:spacing w:val="-3"/>
          <w:sz w:val="20"/>
        </w:rPr>
        <w:t>office.</w:t>
      </w:r>
    </w:p>
    <w:p>
      <w:pPr>
        <w:pStyle w:val="ListParagraph"/>
        <w:numPr>
          <w:ilvl w:val="2"/>
          <w:numId w:val="3"/>
        </w:numPr>
        <w:tabs>
          <w:tab w:pos="848" w:val="left" w:leader="none"/>
        </w:tabs>
        <w:spacing w:line="249" w:lineRule="auto" w:before="180" w:after="0"/>
        <w:ind w:left="847" w:right="620" w:hanging="216"/>
        <w:jc w:val="left"/>
        <w:rPr>
          <w:sz w:val="20"/>
        </w:rPr>
      </w:pPr>
      <w:r>
        <w:rPr>
          <w:b/>
          <w:sz w:val="20"/>
        </w:rPr>
        <w:t>Certification </w:t>
      </w:r>
      <w:r>
        <w:rPr>
          <w:b/>
          <w:spacing w:val="-3"/>
          <w:sz w:val="20"/>
        </w:rPr>
        <w:t>of </w:t>
      </w:r>
      <w:r>
        <w:rPr>
          <w:b/>
          <w:sz w:val="20"/>
        </w:rPr>
        <w:t>Completion </w:t>
      </w:r>
      <w:r>
        <w:rPr>
          <w:b/>
          <w:spacing w:val="-3"/>
          <w:sz w:val="20"/>
        </w:rPr>
        <w:t>of </w:t>
      </w:r>
      <w:r>
        <w:rPr>
          <w:b/>
          <w:sz w:val="20"/>
        </w:rPr>
        <w:t>the Doctoral Dissertation: </w:t>
      </w:r>
      <w:r>
        <w:rPr>
          <w:sz w:val="20"/>
        </w:rPr>
        <w:t>Must </w:t>
      </w:r>
      <w:r>
        <w:rPr>
          <w:spacing w:val="-3"/>
          <w:sz w:val="20"/>
        </w:rPr>
        <w:t>be </w:t>
      </w:r>
      <w:r>
        <w:rPr>
          <w:sz w:val="20"/>
        </w:rPr>
        <w:t>submitted to the dean’s</w:t>
      </w:r>
      <w:r>
        <w:rPr>
          <w:spacing w:val="5"/>
          <w:sz w:val="20"/>
        </w:rPr>
        <w:t> </w:t>
      </w:r>
      <w:r>
        <w:rPr>
          <w:spacing w:val="-3"/>
          <w:sz w:val="20"/>
        </w:rPr>
        <w:t>office.</w:t>
      </w:r>
    </w:p>
    <w:p>
      <w:pPr>
        <w:pStyle w:val="Heading6"/>
        <w:numPr>
          <w:ilvl w:val="2"/>
          <w:numId w:val="3"/>
        </w:numPr>
        <w:tabs>
          <w:tab w:pos="848" w:val="left" w:leader="none"/>
        </w:tabs>
        <w:spacing w:line="240" w:lineRule="auto" w:before="184" w:after="0"/>
        <w:ind w:left="847" w:right="0" w:hanging="216"/>
        <w:jc w:val="left"/>
      </w:pPr>
      <w:r>
        <w:rPr/>
        <w:t>Announcement </w:t>
      </w:r>
      <w:r>
        <w:rPr>
          <w:spacing w:val="-3"/>
        </w:rPr>
        <w:t>of </w:t>
      </w:r>
      <w:r>
        <w:rPr/>
        <w:t>Doctoral Dissertation</w:t>
      </w:r>
      <w:r>
        <w:rPr>
          <w:spacing w:val="8"/>
        </w:rPr>
        <w:t> </w:t>
      </w:r>
      <w:r>
        <w:rPr/>
        <w:t>Defense:</w:t>
      </w:r>
    </w:p>
    <w:p>
      <w:pPr>
        <w:pStyle w:val="ListParagraph"/>
        <w:numPr>
          <w:ilvl w:val="1"/>
          <w:numId w:val="5"/>
        </w:numPr>
        <w:tabs>
          <w:tab w:pos="1054" w:val="left" w:leader="none"/>
        </w:tabs>
        <w:spacing w:line="249" w:lineRule="auto" w:before="10" w:after="0"/>
        <w:ind w:left="847" w:right="615" w:firstLine="0"/>
        <w:jc w:val="left"/>
        <w:rPr>
          <w:sz w:val="20"/>
        </w:rPr>
      </w:pPr>
      <w:r>
        <w:rPr>
          <w:sz w:val="20"/>
        </w:rPr>
        <w:t>The dean </w:t>
      </w:r>
      <w:r>
        <w:rPr>
          <w:spacing w:val="-3"/>
          <w:sz w:val="20"/>
        </w:rPr>
        <w:t>of </w:t>
      </w:r>
      <w:r>
        <w:rPr>
          <w:sz w:val="20"/>
        </w:rPr>
        <w:t>the Graduate </w:t>
      </w:r>
      <w:r>
        <w:rPr>
          <w:spacing w:val="-3"/>
          <w:sz w:val="20"/>
        </w:rPr>
        <w:t>School </w:t>
      </w:r>
      <w:r>
        <w:rPr>
          <w:sz w:val="20"/>
        </w:rPr>
        <w:t>has the responsibility for making all members </w:t>
      </w:r>
      <w:r>
        <w:rPr>
          <w:spacing w:val="-3"/>
          <w:sz w:val="20"/>
        </w:rPr>
        <w:t>of </w:t>
      </w:r>
      <w:r>
        <w:rPr>
          <w:sz w:val="20"/>
        </w:rPr>
        <w:t>the graduate faculty aware </w:t>
      </w:r>
      <w:r>
        <w:rPr>
          <w:spacing w:val="-3"/>
          <w:sz w:val="20"/>
        </w:rPr>
        <w:t>of </w:t>
      </w:r>
      <w:r>
        <w:rPr>
          <w:sz w:val="20"/>
        </w:rPr>
        <w:t>the candidate’s doctoral examination at least one </w:t>
      </w:r>
      <w:r>
        <w:rPr>
          <w:spacing w:val="-4"/>
          <w:sz w:val="20"/>
        </w:rPr>
        <w:t>week </w:t>
      </w:r>
      <w:r>
        <w:rPr>
          <w:sz w:val="20"/>
        </w:rPr>
        <w:t>before the examination date. </w:t>
      </w:r>
      <w:r>
        <w:rPr>
          <w:spacing w:val="-3"/>
          <w:sz w:val="20"/>
        </w:rPr>
        <w:t>b) </w:t>
      </w:r>
      <w:r>
        <w:rPr>
          <w:sz w:val="20"/>
        </w:rPr>
        <w:t>Graduate programs are responsible </w:t>
      </w:r>
      <w:r>
        <w:rPr>
          <w:spacing w:val="-4"/>
          <w:sz w:val="20"/>
        </w:rPr>
        <w:t>for </w:t>
      </w:r>
      <w:r>
        <w:rPr>
          <w:sz w:val="20"/>
        </w:rPr>
        <w:t>notifying their students about the examination. The time and place </w:t>
      </w:r>
      <w:r>
        <w:rPr>
          <w:spacing w:val="-3"/>
          <w:sz w:val="20"/>
        </w:rPr>
        <w:t>of </w:t>
      </w:r>
      <w:r>
        <w:rPr>
          <w:sz w:val="20"/>
        </w:rPr>
        <w:t>the examination </w:t>
      </w:r>
      <w:r>
        <w:rPr>
          <w:spacing w:val="-3"/>
          <w:sz w:val="20"/>
        </w:rPr>
        <w:t>will be </w:t>
      </w:r>
      <w:r>
        <w:rPr>
          <w:sz w:val="20"/>
        </w:rPr>
        <w:t>established by the</w:t>
      </w:r>
      <w:r>
        <w:rPr>
          <w:spacing w:val="6"/>
          <w:sz w:val="20"/>
        </w:rPr>
        <w:t> </w:t>
      </w:r>
      <w:r>
        <w:rPr>
          <w:sz w:val="20"/>
        </w:rPr>
        <w:t>chair.</w:t>
      </w:r>
    </w:p>
    <w:p>
      <w:pPr>
        <w:pStyle w:val="Heading6"/>
        <w:numPr>
          <w:ilvl w:val="2"/>
          <w:numId w:val="3"/>
        </w:numPr>
        <w:tabs>
          <w:tab w:pos="848" w:val="left" w:leader="none"/>
        </w:tabs>
        <w:spacing w:line="240" w:lineRule="auto" w:before="182" w:after="0"/>
        <w:ind w:left="847" w:right="0" w:hanging="216"/>
        <w:jc w:val="left"/>
        <w:rPr>
          <w:b w:val="0"/>
        </w:rPr>
      </w:pPr>
      <w:r>
        <w:rPr/>
        <w:t>Submission </w:t>
      </w:r>
      <w:r>
        <w:rPr>
          <w:spacing w:val="-3"/>
        </w:rPr>
        <w:t>of </w:t>
      </w:r>
      <w:r>
        <w:rPr/>
        <w:t>the Doctoral Dissertation:</w:t>
      </w:r>
      <w:r>
        <w:rPr>
          <w:spacing w:val="14"/>
        </w:rPr>
        <w:t> </w:t>
      </w:r>
      <w:r>
        <w:rPr>
          <w:b w:val="0"/>
        </w:rPr>
        <w:t>All</w:t>
      </w:r>
    </w:p>
    <w:p>
      <w:pPr>
        <w:spacing w:after="0" w:line="240" w:lineRule="auto"/>
        <w:jc w:val="left"/>
        <w:sectPr>
          <w:pgSz w:w="12240" w:h="15840"/>
          <w:pgMar w:header="746" w:footer="0" w:top="1320" w:bottom="280" w:left="880" w:right="300"/>
          <w:cols w:num="2" w:equalWidth="0">
            <w:col w:w="4969" w:space="302"/>
            <w:col w:w="5789"/>
          </w:cols>
        </w:sectPr>
      </w:pPr>
    </w:p>
    <w:p>
      <w:pPr>
        <w:pStyle w:val="BodyText"/>
        <w:spacing w:line="249" w:lineRule="auto" w:before="100"/>
        <w:ind w:left="631" w:right="15"/>
      </w:pPr>
      <w:r>
        <w:rPr/>
        <w:t>members of the committee must receive a final version of the dissertation, as described previously, two weeks (i.e., a minimum of 10 working days) before the proposed examination date. This version of the dissertation should be substantially the same as that which was certified by the chair and the two readers as ready to be defended.</w:t>
      </w:r>
    </w:p>
    <w:p>
      <w:pPr>
        <w:pStyle w:val="Heading6"/>
        <w:spacing w:before="182"/>
        <w:ind w:left="199"/>
      </w:pPr>
      <w:r>
        <w:rPr/>
        <w:t>Conduct of the Doctoral Examination</w:t>
      </w:r>
    </w:p>
    <w:p>
      <w:pPr>
        <w:pStyle w:val="BodyText"/>
        <w:spacing w:line="249" w:lineRule="auto" w:before="193"/>
        <w:ind w:left="199" w:right="358"/>
      </w:pPr>
      <w:r>
        <w:rPr/>
        <w:t>The doctoral examination normally comprises two components: an open presentation by the doctoral candidate and a formal examination by members of the committee.</w:t>
      </w:r>
    </w:p>
    <w:p>
      <w:pPr>
        <w:pStyle w:val="ListParagraph"/>
        <w:numPr>
          <w:ilvl w:val="1"/>
          <w:numId w:val="3"/>
        </w:numPr>
        <w:tabs>
          <w:tab w:pos="632" w:val="left" w:leader="none"/>
        </w:tabs>
        <w:spacing w:line="249" w:lineRule="auto" w:before="180" w:after="0"/>
        <w:ind w:left="632" w:right="90" w:hanging="216"/>
        <w:jc w:val="left"/>
        <w:rPr>
          <w:sz w:val="20"/>
        </w:rPr>
      </w:pPr>
      <w:r>
        <w:rPr>
          <w:b/>
          <w:sz w:val="20"/>
        </w:rPr>
        <w:t>Open Presentation by </w:t>
      </w:r>
      <w:r>
        <w:rPr>
          <w:b/>
          <w:spacing w:val="-3"/>
          <w:sz w:val="20"/>
        </w:rPr>
        <w:t>the </w:t>
      </w:r>
      <w:r>
        <w:rPr>
          <w:b/>
          <w:sz w:val="20"/>
        </w:rPr>
        <w:t>Doctoral Candidate: </w:t>
      </w:r>
      <w:r>
        <w:rPr>
          <w:sz w:val="20"/>
        </w:rPr>
        <w:t>Each candidate is expected to give a presentation </w:t>
      </w:r>
      <w:r>
        <w:rPr>
          <w:spacing w:val="-3"/>
          <w:sz w:val="20"/>
        </w:rPr>
        <w:t>of </w:t>
      </w:r>
      <w:r>
        <w:rPr>
          <w:sz w:val="20"/>
        </w:rPr>
        <w:t>their dissertation in a forum </w:t>
      </w:r>
      <w:r>
        <w:rPr>
          <w:spacing w:val="-3"/>
          <w:sz w:val="20"/>
        </w:rPr>
        <w:t>open </w:t>
      </w:r>
      <w:r>
        <w:rPr>
          <w:sz w:val="20"/>
        </w:rPr>
        <w:t>to the general public and moderated by the committee chair. The open presentation should take place as close as possible to the time scheduled </w:t>
      </w:r>
      <w:r>
        <w:rPr>
          <w:spacing w:val="-4"/>
          <w:sz w:val="20"/>
        </w:rPr>
        <w:t>for </w:t>
      </w:r>
      <w:r>
        <w:rPr>
          <w:sz w:val="20"/>
        </w:rPr>
        <w:t>the doctoral examination. </w:t>
      </w:r>
      <w:r>
        <w:rPr>
          <w:spacing w:val="-3"/>
          <w:sz w:val="20"/>
        </w:rPr>
        <w:t>In </w:t>
      </w:r>
      <w:r>
        <w:rPr>
          <w:sz w:val="20"/>
        </w:rPr>
        <w:t>many cases the open presentation will immediately precede the formal doctoral examination; however, the exact timing and notice </w:t>
      </w:r>
      <w:r>
        <w:rPr>
          <w:spacing w:val="-3"/>
          <w:sz w:val="20"/>
        </w:rPr>
        <w:t>of </w:t>
      </w:r>
      <w:r>
        <w:rPr>
          <w:sz w:val="20"/>
        </w:rPr>
        <w:t>the presentation will </w:t>
      </w:r>
      <w:r>
        <w:rPr>
          <w:spacing w:val="-3"/>
          <w:sz w:val="20"/>
        </w:rPr>
        <w:t>be </w:t>
      </w:r>
      <w:r>
        <w:rPr>
          <w:sz w:val="20"/>
        </w:rPr>
        <w:t>in keeping </w:t>
      </w:r>
      <w:r>
        <w:rPr>
          <w:spacing w:val="-3"/>
          <w:sz w:val="20"/>
        </w:rPr>
        <w:t>with </w:t>
      </w:r>
      <w:r>
        <w:rPr>
          <w:sz w:val="20"/>
        </w:rPr>
        <w:t>the usual policy of the candidate’s program. </w:t>
      </w:r>
      <w:r>
        <w:rPr>
          <w:spacing w:val="-2"/>
          <w:sz w:val="20"/>
        </w:rPr>
        <w:t>All </w:t>
      </w:r>
      <w:r>
        <w:rPr>
          <w:sz w:val="20"/>
        </w:rPr>
        <w:t>members </w:t>
      </w:r>
      <w:r>
        <w:rPr>
          <w:spacing w:val="-3"/>
          <w:sz w:val="20"/>
        </w:rPr>
        <w:t>of </w:t>
      </w:r>
      <w:r>
        <w:rPr>
          <w:sz w:val="20"/>
        </w:rPr>
        <w:t>the committee must </w:t>
      </w:r>
      <w:r>
        <w:rPr>
          <w:spacing w:val="-3"/>
          <w:sz w:val="20"/>
        </w:rPr>
        <w:t>be </w:t>
      </w:r>
      <w:r>
        <w:rPr>
          <w:sz w:val="20"/>
        </w:rPr>
        <w:t>present (see the following </w:t>
      </w:r>
      <w:r>
        <w:rPr>
          <w:spacing w:val="-4"/>
          <w:sz w:val="20"/>
        </w:rPr>
        <w:t>for </w:t>
      </w:r>
      <w:r>
        <w:rPr>
          <w:sz w:val="20"/>
        </w:rPr>
        <w:t>definition </w:t>
      </w:r>
      <w:r>
        <w:rPr>
          <w:spacing w:val="-3"/>
          <w:sz w:val="20"/>
        </w:rPr>
        <w:t>of </w:t>
      </w:r>
      <w:r>
        <w:rPr>
          <w:sz w:val="20"/>
        </w:rPr>
        <w:t>“present”) at the </w:t>
      </w:r>
      <w:r>
        <w:rPr>
          <w:spacing w:val="-3"/>
          <w:sz w:val="20"/>
        </w:rPr>
        <w:t>open </w:t>
      </w:r>
      <w:r>
        <w:rPr>
          <w:sz w:val="20"/>
        </w:rPr>
        <w:t>presentation. Those attending the </w:t>
      </w:r>
      <w:r>
        <w:rPr>
          <w:spacing w:val="-3"/>
          <w:sz w:val="20"/>
        </w:rPr>
        <w:t>open </w:t>
      </w:r>
      <w:r>
        <w:rPr>
          <w:sz w:val="20"/>
        </w:rPr>
        <w:t>presentation may ask questions </w:t>
      </w:r>
      <w:r>
        <w:rPr>
          <w:spacing w:val="-3"/>
          <w:sz w:val="20"/>
        </w:rPr>
        <w:t>of </w:t>
      </w:r>
      <w:r>
        <w:rPr>
          <w:sz w:val="20"/>
        </w:rPr>
        <w:t>the candidate within a reasonable time interval </w:t>
      </w:r>
      <w:r>
        <w:rPr>
          <w:spacing w:val="-2"/>
          <w:sz w:val="20"/>
        </w:rPr>
        <w:t>set </w:t>
      </w:r>
      <w:r>
        <w:rPr>
          <w:sz w:val="20"/>
        </w:rPr>
        <w:t>by the candidate’s</w:t>
      </w:r>
      <w:r>
        <w:rPr>
          <w:spacing w:val="-4"/>
          <w:sz w:val="20"/>
        </w:rPr>
        <w:t> </w:t>
      </w:r>
      <w:r>
        <w:rPr>
          <w:sz w:val="20"/>
        </w:rPr>
        <w:t>committee.</w:t>
      </w:r>
    </w:p>
    <w:p>
      <w:pPr>
        <w:pStyle w:val="ListParagraph"/>
        <w:numPr>
          <w:ilvl w:val="1"/>
          <w:numId w:val="3"/>
        </w:numPr>
        <w:tabs>
          <w:tab w:pos="632" w:val="left" w:leader="none"/>
        </w:tabs>
        <w:spacing w:line="249" w:lineRule="auto" w:before="194" w:after="0"/>
        <w:ind w:left="632" w:right="54" w:hanging="216"/>
        <w:jc w:val="left"/>
        <w:rPr>
          <w:sz w:val="20"/>
        </w:rPr>
      </w:pPr>
      <w:r>
        <w:rPr>
          <w:b/>
          <w:spacing w:val="-3"/>
          <w:sz w:val="20"/>
        </w:rPr>
        <w:t>Formal </w:t>
      </w:r>
      <w:r>
        <w:rPr>
          <w:b/>
          <w:sz w:val="20"/>
        </w:rPr>
        <w:t>Doctoral Examination Procedures: </w:t>
      </w:r>
      <w:r>
        <w:rPr>
          <w:sz w:val="20"/>
        </w:rPr>
        <w:t>The formal doctoral examination is </w:t>
      </w:r>
      <w:r>
        <w:rPr>
          <w:spacing w:val="-3"/>
          <w:sz w:val="20"/>
        </w:rPr>
        <w:t>open </w:t>
      </w:r>
      <w:r>
        <w:rPr>
          <w:sz w:val="20"/>
        </w:rPr>
        <w:t>only to members of the candidate’s committee and other members </w:t>
      </w:r>
      <w:r>
        <w:rPr>
          <w:spacing w:val="-3"/>
          <w:sz w:val="20"/>
        </w:rPr>
        <w:t>of </w:t>
      </w:r>
      <w:r>
        <w:rPr>
          <w:sz w:val="20"/>
        </w:rPr>
        <w:t>the graduate faculty who wish to </w:t>
      </w:r>
      <w:r>
        <w:rPr>
          <w:spacing w:val="-3"/>
          <w:sz w:val="20"/>
        </w:rPr>
        <w:t>be </w:t>
      </w:r>
      <w:r>
        <w:rPr>
          <w:sz w:val="20"/>
        </w:rPr>
        <w:t>present and is conducted under the direction </w:t>
      </w:r>
      <w:r>
        <w:rPr>
          <w:spacing w:val="-3"/>
          <w:sz w:val="20"/>
        </w:rPr>
        <w:t>of </w:t>
      </w:r>
      <w:r>
        <w:rPr>
          <w:sz w:val="20"/>
        </w:rPr>
        <w:t>the examination committee’s chair. All members </w:t>
      </w:r>
      <w:r>
        <w:rPr>
          <w:spacing w:val="-3"/>
          <w:sz w:val="20"/>
        </w:rPr>
        <w:t>of </w:t>
      </w:r>
      <w:r>
        <w:rPr>
          <w:sz w:val="20"/>
        </w:rPr>
        <w:t>the committee must </w:t>
      </w:r>
      <w:r>
        <w:rPr>
          <w:spacing w:val="-3"/>
          <w:sz w:val="20"/>
        </w:rPr>
        <w:t>be </w:t>
      </w:r>
      <w:r>
        <w:rPr>
          <w:sz w:val="20"/>
        </w:rPr>
        <w:t>present </w:t>
      </w:r>
      <w:r>
        <w:rPr>
          <w:spacing w:val="-4"/>
          <w:sz w:val="20"/>
        </w:rPr>
        <w:t>for </w:t>
      </w:r>
      <w:r>
        <w:rPr>
          <w:sz w:val="20"/>
        </w:rPr>
        <w:t>the examination. Committee members may participate by video conference </w:t>
      </w:r>
      <w:r>
        <w:rPr>
          <w:spacing w:val="-3"/>
          <w:sz w:val="20"/>
        </w:rPr>
        <w:t>or </w:t>
      </w:r>
      <w:r>
        <w:rPr>
          <w:spacing w:val="-5"/>
          <w:sz w:val="20"/>
        </w:rPr>
        <w:t>by </w:t>
      </w:r>
      <w:r>
        <w:rPr>
          <w:sz w:val="20"/>
        </w:rPr>
        <w:t>telephone, if necessary. </w:t>
      </w:r>
      <w:r>
        <w:rPr>
          <w:spacing w:val="-3"/>
          <w:sz w:val="20"/>
        </w:rPr>
        <w:t>In such </w:t>
      </w:r>
      <w:r>
        <w:rPr>
          <w:sz w:val="20"/>
        </w:rPr>
        <w:t>cases, arrangements for the member not physically present should </w:t>
      </w:r>
      <w:r>
        <w:rPr>
          <w:spacing w:val="-3"/>
          <w:sz w:val="20"/>
        </w:rPr>
        <w:t>be </w:t>
      </w:r>
      <w:r>
        <w:rPr>
          <w:sz w:val="20"/>
        </w:rPr>
        <w:t>made </w:t>
      </w:r>
      <w:r>
        <w:rPr>
          <w:spacing w:val="-3"/>
          <w:sz w:val="20"/>
        </w:rPr>
        <w:t>such </w:t>
      </w:r>
      <w:r>
        <w:rPr>
          <w:sz w:val="20"/>
        </w:rPr>
        <w:t>that their participation can </w:t>
      </w:r>
      <w:r>
        <w:rPr>
          <w:spacing w:val="-3"/>
          <w:sz w:val="20"/>
        </w:rPr>
        <w:t>be </w:t>
      </w:r>
      <w:r>
        <w:rPr>
          <w:sz w:val="20"/>
        </w:rPr>
        <w:t>interactive and they have access to all audio and visual materials used by the candidate </w:t>
      </w:r>
      <w:r>
        <w:rPr>
          <w:spacing w:val="-3"/>
          <w:sz w:val="20"/>
        </w:rPr>
        <w:t>or </w:t>
      </w:r>
      <w:r>
        <w:rPr>
          <w:sz w:val="20"/>
        </w:rPr>
        <w:t>committee members during the formal doctoral examination, can ask questions and hear the candidate’s answers, and can fully participate in the committee’s discussions. This may require that the member not physically present participate by a video connection </w:t>
      </w:r>
      <w:r>
        <w:rPr>
          <w:spacing w:val="-3"/>
          <w:sz w:val="20"/>
        </w:rPr>
        <w:t>or </w:t>
      </w:r>
      <w:r>
        <w:rPr>
          <w:sz w:val="20"/>
        </w:rPr>
        <w:t>have access to presentation slides (sent in advance to the member), </w:t>
      </w:r>
      <w:r>
        <w:rPr>
          <w:spacing w:val="-3"/>
          <w:sz w:val="20"/>
        </w:rPr>
        <w:t>or </w:t>
      </w:r>
      <w:r>
        <w:rPr>
          <w:sz w:val="20"/>
        </w:rPr>
        <w:t>that other appropriate arrangements are made to allow the member to </w:t>
      </w:r>
      <w:r>
        <w:rPr>
          <w:spacing w:val="-3"/>
          <w:sz w:val="20"/>
        </w:rPr>
        <w:t>be </w:t>
      </w:r>
      <w:r>
        <w:rPr>
          <w:sz w:val="20"/>
        </w:rPr>
        <w:t>an active member </w:t>
      </w:r>
      <w:r>
        <w:rPr>
          <w:spacing w:val="-3"/>
          <w:sz w:val="20"/>
        </w:rPr>
        <w:t>of </w:t>
      </w:r>
      <w:r>
        <w:rPr>
          <w:sz w:val="20"/>
        </w:rPr>
        <w:t>the committee’s deliberations. The dean </w:t>
      </w:r>
      <w:r>
        <w:rPr>
          <w:spacing w:val="-3"/>
          <w:sz w:val="20"/>
        </w:rPr>
        <w:t>of </w:t>
      </w:r>
      <w:r>
        <w:rPr>
          <w:sz w:val="20"/>
        </w:rPr>
        <w:t>the</w:t>
      </w:r>
      <w:r>
        <w:rPr>
          <w:spacing w:val="-4"/>
          <w:sz w:val="20"/>
        </w:rPr>
        <w:t> </w:t>
      </w:r>
      <w:r>
        <w:rPr>
          <w:sz w:val="20"/>
        </w:rPr>
        <w:t>Graduate</w:t>
      </w:r>
    </w:p>
    <w:p>
      <w:pPr>
        <w:pStyle w:val="BodyText"/>
        <w:spacing w:line="249" w:lineRule="auto" w:before="95"/>
        <w:ind w:left="632" w:right="739"/>
      </w:pPr>
      <w:r>
        <w:rPr/>
        <w:br w:type="column"/>
      </w:r>
      <w:r>
        <w:rPr/>
        <w:t>School must be notified of an absence and the accommodations made. The formal examination is moderated by the committee chair, and only committee members may ask questions of the candidate. Other members of the graduate faculty who attend the examination do so only as observers. They are not permitted to participate verbally or otherwise in the proceedings.</w:t>
      </w:r>
    </w:p>
    <w:p>
      <w:pPr>
        <w:pStyle w:val="BodyText"/>
        <w:spacing w:line="249" w:lineRule="auto" w:before="184"/>
        <w:ind w:right="1277"/>
      </w:pPr>
      <w:r>
        <w:rPr/>
        <w:t>The formal doctoral examination has the following components:</w:t>
      </w:r>
    </w:p>
    <w:p>
      <w:pPr>
        <w:pStyle w:val="ListParagraph"/>
        <w:numPr>
          <w:ilvl w:val="0"/>
          <w:numId w:val="6"/>
        </w:numPr>
        <w:tabs>
          <w:tab w:pos="632" w:val="left" w:leader="none"/>
        </w:tabs>
        <w:spacing w:line="249" w:lineRule="auto" w:before="183" w:after="0"/>
        <w:ind w:left="632" w:right="658" w:hanging="216"/>
        <w:jc w:val="left"/>
        <w:rPr>
          <w:sz w:val="20"/>
        </w:rPr>
      </w:pPr>
      <w:r>
        <w:rPr>
          <w:sz w:val="20"/>
        </w:rPr>
        <w:t>An initial private discussion among the members </w:t>
      </w:r>
      <w:r>
        <w:rPr>
          <w:spacing w:val="-3"/>
          <w:sz w:val="20"/>
        </w:rPr>
        <w:t>of </w:t>
      </w:r>
      <w:r>
        <w:rPr>
          <w:sz w:val="20"/>
        </w:rPr>
        <w:t>the committee only (the candidate and </w:t>
      </w:r>
      <w:r>
        <w:rPr>
          <w:spacing w:val="-3"/>
          <w:sz w:val="20"/>
        </w:rPr>
        <w:t>other </w:t>
      </w:r>
      <w:r>
        <w:rPr>
          <w:sz w:val="20"/>
        </w:rPr>
        <w:t>graduate faculty members are not present during the discussion). This discussion should determine whether the written document is presentable as a dissertation and hence defensible. If a majority of the committee agrees that the dissertation is not defensible, the examination is canceled. Otherwise, the examination proceeds. The committee then determines procedures </w:t>
      </w:r>
      <w:r>
        <w:rPr>
          <w:spacing w:val="-4"/>
          <w:sz w:val="20"/>
        </w:rPr>
        <w:t>for </w:t>
      </w:r>
      <w:r>
        <w:rPr>
          <w:sz w:val="20"/>
        </w:rPr>
        <w:t>the examination, including the order and </w:t>
      </w:r>
      <w:r>
        <w:rPr>
          <w:spacing w:val="-2"/>
          <w:sz w:val="20"/>
        </w:rPr>
        <w:t>manner </w:t>
      </w:r>
      <w:r>
        <w:rPr>
          <w:spacing w:val="-3"/>
          <w:sz w:val="20"/>
        </w:rPr>
        <w:t>of</w:t>
      </w:r>
      <w:r>
        <w:rPr>
          <w:spacing w:val="5"/>
          <w:sz w:val="20"/>
        </w:rPr>
        <w:t> </w:t>
      </w:r>
      <w:r>
        <w:rPr>
          <w:sz w:val="20"/>
        </w:rPr>
        <w:t>questioning.</w:t>
      </w:r>
    </w:p>
    <w:p>
      <w:pPr>
        <w:pStyle w:val="ListParagraph"/>
        <w:numPr>
          <w:ilvl w:val="0"/>
          <w:numId w:val="6"/>
        </w:numPr>
        <w:tabs>
          <w:tab w:pos="632" w:val="left" w:leader="none"/>
        </w:tabs>
        <w:spacing w:line="249" w:lineRule="auto" w:before="186" w:after="0"/>
        <w:ind w:left="632" w:right="630" w:hanging="216"/>
        <w:jc w:val="left"/>
        <w:rPr>
          <w:sz w:val="20"/>
        </w:rPr>
      </w:pPr>
      <w:r>
        <w:rPr>
          <w:sz w:val="20"/>
        </w:rPr>
        <w:t>A presentation </w:t>
      </w:r>
      <w:r>
        <w:rPr>
          <w:spacing w:val="-3"/>
          <w:sz w:val="20"/>
        </w:rPr>
        <w:t>of </w:t>
      </w:r>
      <w:r>
        <w:rPr>
          <w:sz w:val="20"/>
        </w:rPr>
        <w:t>the dissertation by the candidate (if required by the </w:t>
      </w:r>
      <w:r>
        <w:rPr>
          <w:spacing w:val="-3"/>
          <w:sz w:val="20"/>
        </w:rPr>
        <w:t>committee) </w:t>
      </w:r>
      <w:r>
        <w:rPr>
          <w:sz w:val="20"/>
        </w:rPr>
        <w:t>is </w:t>
      </w:r>
      <w:r>
        <w:rPr>
          <w:spacing w:val="-3"/>
          <w:sz w:val="20"/>
        </w:rPr>
        <w:t>followed </w:t>
      </w:r>
      <w:r>
        <w:rPr>
          <w:sz w:val="20"/>
        </w:rPr>
        <w:t>by questions from the committee members. At the discretion </w:t>
      </w:r>
      <w:r>
        <w:rPr>
          <w:spacing w:val="-3"/>
          <w:sz w:val="20"/>
        </w:rPr>
        <w:t>of </w:t>
      </w:r>
      <w:r>
        <w:rPr>
          <w:sz w:val="20"/>
        </w:rPr>
        <w:t>the candidate’s program and the Doctoral Examination Committee, the open presentation may serve as the doctoral examination presentation. </w:t>
      </w:r>
      <w:r>
        <w:rPr>
          <w:spacing w:val="-3"/>
          <w:sz w:val="20"/>
        </w:rPr>
        <w:t>In </w:t>
      </w:r>
      <w:r>
        <w:rPr>
          <w:sz w:val="20"/>
        </w:rPr>
        <w:t>this case, no further formal presentation by the candidate </w:t>
      </w:r>
      <w:r>
        <w:rPr>
          <w:spacing w:val="-3"/>
          <w:sz w:val="20"/>
        </w:rPr>
        <w:t>will be </w:t>
      </w:r>
      <w:r>
        <w:rPr>
          <w:sz w:val="20"/>
        </w:rPr>
        <w:t>required and committee members may immediately begin questioning the candidate. No time limit is </w:t>
      </w:r>
      <w:r>
        <w:rPr>
          <w:spacing w:val="-3"/>
          <w:sz w:val="20"/>
        </w:rPr>
        <w:t>set </w:t>
      </w:r>
      <w:r>
        <w:rPr>
          <w:sz w:val="20"/>
        </w:rPr>
        <w:t>for this period, but it </w:t>
      </w:r>
      <w:r>
        <w:rPr>
          <w:spacing w:val="-3"/>
          <w:sz w:val="20"/>
        </w:rPr>
        <w:t>would be </w:t>
      </w:r>
      <w:r>
        <w:rPr>
          <w:sz w:val="20"/>
        </w:rPr>
        <w:t>considered unusual if the entire period exceeded three</w:t>
      </w:r>
      <w:r>
        <w:rPr>
          <w:spacing w:val="-8"/>
          <w:sz w:val="20"/>
        </w:rPr>
        <w:t> </w:t>
      </w:r>
      <w:r>
        <w:rPr>
          <w:sz w:val="20"/>
        </w:rPr>
        <w:t>hours.</w:t>
      </w:r>
    </w:p>
    <w:p>
      <w:pPr>
        <w:pStyle w:val="Heading6"/>
        <w:spacing w:before="190"/>
        <w:ind w:left="199"/>
      </w:pPr>
      <w:r>
        <w:rPr/>
        <w:t>Outcome of the Examination</w:t>
      </w:r>
    </w:p>
    <w:p>
      <w:pPr>
        <w:pStyle w:val="BodyText"/>
        <w:spacing w:line="249" w:lineRule="auto" w:before="188"/>
        <w:ind w:left="199" w:right="604"/>
      </w:pPr>
      <w:r>
        <w:rPr/>
        <w:t>At the end </w:t>
      </w:r>
      <w:r>
        <w:rPr>
          <w:spacing w:val="-3"/>
        </w:rPr>
        <w:t>of </w:t>
      </w:r>
      <w:r>
        <w:rPr/>
        <w:t>the examination, the candidate and any others in attendance who are not part </w:t>
      </w:r>
      <w:r>
        <w:rPr>
          <w:spacing w:val="-3"/>
        </w:rPr>
        <w:t>of </w:t>
      </w:r>
      <w:r>
        <w:rPr/>
        <w:t>the committee withdraw, and the committee deliberates in private </w:t>
      </w:r>
      <w:r>
        <w:rPr>
          <w:spacing w:val="-3"/>
        </w:rPr>
        <w:t>on </w:t>
      </w:r>
      <w:r>
        <w:rPr/>
        <w:t>the acceptability of the written dissertation and the oral performance </w:t>
      </w:r>
      <w:r>
        <w:rPr>
          <w:spacing w:val="-3"/>
        </w:rPr>
        <w:t>of </w:t>
      </w:r>
      <w:r>
        <w:rPr/>
        <w:t>the candidate. The </w:t>
      </w:r>
      <w:r>
        <w:rPr>
          <w:spacing w:val="-3"/>
        </w:rPr>
        <w:t>chair </w:t>
      </w:r>
      <w:r>
        <w:rPr/>
        <w:t>asks </w:t>
      </w:r>
      <w:r>
        <w:rPr>
          <w:spacing w:val="-3"/>
        </w:rPr>
        <w:t>each member </w:t>
      </w:r>
      <w:r>
        <w:rPr/>
        <w:t>for an opinion, and after these deliberations, the members vote </w:t>
      </w:r>
      <w:r>
        <w:rPr>
          <w:spacing w:val="-3"/>
        </w:rPr>
        <w:t>on </w:t>
      </w:r>
      <w:r>
        <w:rPr/>
        <w:t>whether the candidate has passed </w:t>
      </w:r>
      <w:r>
        <w:rPr>
          <w:spacing w:val="-3"/>
        </w:rPr>
        <w:t>or </w:t>
      </w:r>
      <w:r>
        <w:rPr/>
        <w:t>failed. There are two levels </w:t>
      </w:r>
      <w:r>
        <w:rPr>
          <w:spacing w:val="-3"/>
        </w:rPr>
        <w:t>of </w:t>
      </w:r>
      <w:r>
        <w:rPr/>
        <w:t>pass: 1) the dissertation is accepted with very minor changes, if </w:t>
      </w:r>
      <w:r>
        <w:rPr>
          <w:spacing w:val="-3"/>
        </w:rPr>
        <w:t>any; or </w:t>
      </w:r>
      <w:r>
        <w:rPr/>
        <w:t>2) the dissertation requires significant, nontrivial revisions. </w:t>
      </w:r>
      <w:r>
        <w:rPr>
          <w:spacing w:val="-3"/>
        </w:rPr>
        <w:t>In </w:t>
      </w:r>
      <w:r>
        <w:rPr/>
        <w:t>the latter case, the committee sets a timeline </w:t>
      </w:r>
      <w:r>
        <w:rPr>
          <w:spacing w:val="-4"/>
        </w:rPr>
        <w:t>for </w:t>
      </w:r>
      <w:r>
        <w:rPr/>
        <w:t>completion </w:t>
      </w:r>
      <w:r>
        <w:rPr>
          <w:spacing w:val="-3"/>
        </w:rPr>
        <w:t>of </w:t>
      </w:r>
      <w:r>
        <w:rPr/>
        <w:t>revisions and names the committee members </w:t>
      </w:r>
      <w:r>
        <w:rPr>
          <w:spacing w:val="-3"/>
        </w:rPr>
        <w:t>who </w:t>
      </w:r>
      <w:r>
        <w:rPr/>
        <w:t>will certify  satisfactory completion </w:t>
      </w:r>
      <w:r>
        <w:rPr>
          <w:spacing w:val="-3"/>
        </w:rPr>
        <w:t>of </w:t>
      </w:r>
      <w:r>
        <w:rPr/>
        <w:t>the revisions. The members sign the report </w:t>
      </w:r>
      <w:r>
        <w:rPr>
          <w:spacing w:val="-3"/>
        </w:rPr>
        <w:t>of </w:t>
      </w:r>
      <w:r>
        <w:rPr/>
        <w:t>the committee and register their </w:t>
      </w:r>
      <w:r>
        <w:rPr>
          <w:spacing w:val="-3"/>
        </w:rPr>
        <w:t>votes. </w:t>
      </w:r>
      <w:r>
        <w:rPr/>
        <w:t>The affirmative </w:t>
      </w:r>
      <w:r>
        <w:rPr>
          <w:spacing w:val="-3"/>
        </w:rPr>
        <w:t>votes </w:t>
      </w:r>
      <w:r>
        <w:rPr/>
        <w:t>of a majority plus one </w:t>
      </w:r>
      <w:r>
        <w:rPr>
          <w:spacing w:val="-3"/>
        </w:rPr>
        <w:t>of </w:t>
      </w:r>
      <w:r>
        <w:rPr/>
        <w:t>the committee members constitute a successful defense </w:t>
      </w:r>
      <w:r>
        <w:rPr>
          <w:spacing w:val="-3"/>
        </w:rPr>
        <w:t>of</w:t>
      </w:r>
      <w:r>
        <w:rPr>
          <w:spacing w:val="-4"/>
        </w:rPr>
        <w:t> </w:t>
      </w:r>
      <w:r>
        <w:rPr/>
        <w:t>the</w:t>
      </w:r>
    </w:p>
    <w:p>
      <w:pPr>
        <w:spacing w:after="0" w:line="249" w:lineRule="auto"/>
        <w:sectPr>
          <w:pgSz w:w="12240" w:h="15840"/>
          <w:pgMar w:header="746" w:footer="0" w:top="1320" w:bottom="280" w:left="880" w:right="300"/>
          <w:cols w:num="2" w:equalWidth="0">
            <w:col w:w="4987" w:space="499"/>
            <w:col w:w="5574"/>
          </w:cols>
        </w:sectPr>
      </w:pPr>
    </w:p>
    <w:p>
      <w:pPr>
        <w:pStyle w:val="BodyText"/>
        <w:spacing w:line="249" w:lineRule="auto" w:before="100"/>
        <w:ind w:right="86"/>
      </w:pPr>
      <w:r>
        <w:rPr/>
        <w:t>dissertation; this means that the required number of affirmative votes is four from a five-member committee or five from a six- or seven-member committee.</w:t>
      </w:r>
    </w:p>
    <w:p>
      <w:pPr>
        <w:pStyle w:val="BodyText"/>
        <w:spacing w:line="249" w:lineRule="auto" w:before="180"/>
        <w:ind w:right="58"/>
      </w:pPr>
      <w:r>
        <w:rPr/>
        <w:t>The candidate may be failed if the committee finds that the quality of the written dissertation or the candidate’s presentation is wanting. The committee may find that, despite a decision that the dissertation document was defensible, it has defects that prevent it from being accepted. If these defects are minor in nature, the committee may vote to accept the dissertation pending remedial modifications. If the defects are more serious, the committee may decide to fail the candidate and require a new examination. Alternatively, the dissertation document may be determined to be sound but the candidate’s defense inadequate. In this case, the committee must decide on a date for a new examination.</w:t>
      </w:r>
    </w:p>
    <w:p>
      <w:pPr>
        <w:pStyle w:val="BodyText"/>
        <w:spacing w:line="249" w:lineRule="auto" w:before="191"/>
        <w:ind w:right="97"/>
      </w:pPr>
      <w:r>
        <w:rPr/>
        <w:t>The Report of the Examination Committee form signed by the committee must be returned by the Graduate School representative to the Graduate School office no later than two working days after the examination. The candidate’s program director also must be provided with a copy of the report.</w:t>
      </w:r>
    </w:p>
    <w:p>
      <w:pPr>
        <w:pStyle w:val="BodyText"/>
        <w:spacing w:line="249" w:lineRule="auto" w:before="182"/>
        <w:ind w:right="38"/>
      </w:pPr>
      <w:r>
        <w:rPr/>
        <w:t>The candidate should </w:t>
      </w:r>
      <w:r>
        <w:rPr>
          <w:spacing w:val="-3"/>
        </w:rPr>
        <w:t>be </w:t>
      </w:r>
      <w:r>
        <w:rPr/>
        <w:t>informed </w:t>
      </w:r>
      <w:r>
        <w:rPr>
          <w:spacing w:val="-3"/>
        </w:rPr>
        <w:t>of </w:t>
      </w:r>
      <w:r>
        <w:rPr/>
        <w:t>the decision as </w:t>
      </w:r>
      <w:r>
        <w:rPr>
          <w:spacing w:val="-3"/>
        </w:rPr>
        <w:t>soon </w:t>
      </w:r>
      <w:r>
        <w:rPr/>
        <w:t>as possible. If the candidate fails the examination, the Graduate </w:t>
      </w:r>
      <w:r>
        <w:rPr>
          <w:spacing w:val="-2"/>
        </w:rPr>
        <w:t>School </w:t>
      </w:r>
      <w:r>
        <w:rPr/>
        <w:t>representative will submit a letter within two working </w:t>
      </w:r>
      <w:r>
        <w:rPr>
          <w:spacing w:val="-3"/>
        </w:rPr>
        <w:t>days </w:t>
      </w:r>
      <w:r>
        <w:rPr/>
        <w:t>to the dean </w:t>
      </w:r>
      <w:r>
        <w:rPr>
          <w:spacing w:val="-3"/>
        </w:rPr>
        <w:t>of </w:t>
      </w:r>
      <w:r>
        <w:rPr/>
        <w:t>the Graduate </w:t>
      </w:r>
      <w:r>
        <w:rPr>
          <w:spacing w:val="-4"/>
        </w:rPr>
        <w:t>School </w:t>
      </w:r>
      <w:r>
        <w:rPr/>
        <w:t>stating that the candidate has failed, the reasons </w:t>
      </w:r>
      <w:r>
        <w:rPr>
          <w:spacing w:val="-4"/>
        </w:rPr>
        <w:t>for </w:t>
      </w:r>
      <w:r>
        <w:rPr/>
        <w:t>the failure, the decisions concerning necessary remedial action, and approximately when a new examination will </w:t>
      </w:r>
      <w:r>
        <w:rPr>
          <w:spacing w:val="-3"/>
        </w:rPr>
        <w:t>be </w:t>
      </w:r>
      <w:r>
        <w:rPr/>
        <w:t>held. The Graduate School representative must return the letter with the signed Report </w:t>
      </w:r>
      <w:r>
        <w:rPr>
          <w:spacing w:val="-3"/>
        </w:rPr>
        <w:t>of </w:t>
      </w:r>
      <w:r>
        <w:rPr/>
        <w:t>the Examination</w:t>
      </w:r>
      <w:r>
        <w:rPr>
          <w:spacing w:val="-4"/>
        </w:rPr>
        <w:t> </w:t>
      </w:r>
      <w:r>
        <w:rPr/>
        <w:t>Committee.</w:t>
      </w:r>
    </w:p>
    <w:p>
      <w:pPr>
        <w:pStyle w:val="BodyText"/>
        <w:spacing w:line="249" w:lineRule="auto" w:before="7"/>
        <w:ind w:right="58"/>
      </w:pPr>
      <w:r>
        <w:rPr/>
        <w:t>Copies of the letter must be provided to the candidate, the chair, and the Graduate Program director. The new examination must be conducted within one year from the date of the defense of the first examination. The chair must notify the Graduate School of the date of the second examination so that the necessary paperwork may be sent to the Graduate School representative. The candidate may present himself or herself for the doctoral examination at most twice.</w:t>
      </w:r>
    </w:p>
    <w:p>
      <w:pPr>
        <w:pStyle w:val="Heading4"/>
        <w:spacing w:before="174"/>
      </w:pPr>
      <w:r>
        <w:rPr/>
        <w:t>Degree Certification and Awarding of Diploma</w:t>
      </w:r>
    </w:p>
    <w:p>
      <w:pPr>
        <w:pStyle w:val="BodyText"/>
        <w:spacing w:line="249" w:lineRule="auto" w:before="183"/>
        <w:ind w:left="199" w:right="26"/>
      </w:pPr>
      <w:r>
        <w:rPr/>
        <w:t>The Graduate School publishes a calendar each year showing dates by which students who are in the last semester of their programs must submit forms and meet requirements for graduation. Graduate students are responsible for meeting these deadlines. Students must file their applications for diplomas with the University registrar by the published diploma application deadline date.</w:t>
      </w:r>
    </w:p>
    <w:p>
      <w:pPr>
        <w:pStyle w:val="BodyText"/>
        <w:spacing w:line="249" w:lineRule="auto" w:before="99"/>
        <w:ind w:left="199" w:right="679"/>
      </w:pPr>
      <w:r>
        <w:rPr/>
        <w:br w:type="column"/>
      </w:r>
      <w:r>
        <w:rPr/>
        <w:t>The University issues diplomas at the end </w:t>
      </w:r>
      <w:r>
        <w:rPr>
          <w:spacing w:val="-3"/>
        </w:rPr>
        <w:t>of </w:t>
      </w:r>
      <w:r>
        <w:rPr/>
        <w:t>the summer, fall, and spring terms. Students who have applied </w:t>
      </w:r>
      <w:r>
        <w:rPr>
          <w:spacing w:val="-4"/>
        </w:rPr>
        <w:t>for </w:t>
      </w:r>
      <w:r>
        <w:rPr/>
        <w:t>a diploma but are not able to complete degree requirements as planned must inform the Graduate </w:t>
      </w:r>
      <w:r>
        <w:rPr>
          <w:spacing w:val="-2"/>
        </w:rPr>
        <w:t>School </w:t>
      </w:r>
      <w:r>
        <w:rPr/>
        <w:t>as </w:t>
      </w:r>
      <w:r>
        <w:rPr>
          <w:spacing w:val="-3"/>
        </w:rPr>
        <w:t>soon </w:t>
      </w:r>
      <w:r>
        <w:rPr/>
        <w:t>as it is determined they will not finish. These students must reapply and complete all remaining requirements </w:t>
      </w:r>
      <w:r>
        <w:rPr>
          <w:spacing w:val="-4"/>
        </w:rPr>
        <w:t>for </w:t>
      </w:r>
      <w:r>
        <w:rPr/>
        <w:t>the semester in which they </w:t>
      </w:r>
      <w:r>
        <w:rPr>
          <w:spacing w:val="-2"/>
        </w:rPr>
        <w:t>expect </w:t>
      </w:r>
      <w:r>
        <w:rPr/>
        <w:t>to graduate. Students do not need to pay another diploma </w:t>
      </w:r>
      <w:r>
        <w:rPr>
          <w:spacing w:val="-4"/>
        </w:rPr>
        <w:t>fee, </w:t>
      </w:r>
      <w:r>
        <w:rPr/>
        <w:t>but they must register </w:t>
      </w:r>
      <w:r>
        <w:rPr>
          <w:spacing w:val="-5"/>
        </w:rPr>
        <w:t>for </w:t>
      </w:r>
      <w:r>
        <w:rPr/>
        <w:t>at least 1 credit </w:t>
      </w:r>
      <w:r>
        <w:rPr>
          <w:spacing w:val="-3"/>
        </w:rPr>
        <w:t>per </w:t>
      </w:r>
      <w:r>
        <w:rPr/>
        <w:t>semester </w:t>
      </w:r>
      <w:r>
        <w:rPr>
          <w:spacing w:val="-5"/>
        </w:rPr>
        <w:t>or </w:t>
      </w:r>
      <w:r>
        <w:rPr/>
        <w:t>session until</w:t>
      </w:r>
      <w:r>
        <w:rPr>
          <w:spacing w:val="14"/>
        </w:rPr>
        <w:t> </w:t>
      </w:r>
      <w:r>
        <w:rPr/>
        <w:t>graduation.</w:t>
      </w:r>
    </w:p>
    <w:p>
      <w:pPr>
        <w:spacing w:after="0" w:line="249" w:lineRule="auto"/>
        <w:sectPr>
          <w:pgSz w:w="12240" w:h="15840"/>
          <w:pgMar w:header="746" w:footer="0" w:top="1320" w:bottom="280" w:left="880" w:right="300"/>
          <w:cols w:num="2" w:equalWidth="0">
            <w:col w:w="5005" w:space="481"/>
            <w:col w:w="5574"/>
          </w:cols>
        </w:sectPr>
      </w:pPr>
    </w:p>
    <w:p>
      <w:pPr>
        <w:pStyle w:val="Heading1"/>
      </w:pPr>
      <w:bookmarkStart w:name="Financial Information" w:id="11"/>
      <w:bookmarkEnd w:id="11"/>
      <w:r>
        <w:rPr>
          <w:b w:val="0"/>
        </w:rPr>
      </w:r>
      <w:bookmarkStart w:name="_bookmark5" w:id="12"/>
      <w:bookmarkEnd w:id="12"/>
      <w:r>
        <w:rPr>
          <w:b w:val="0"/>
        </w:rPr>
      </w:r>
      <w:r>
        <w:rPr/>
        <w:t>Financial Information</w:t>
      </w:r>
    </w:p>
    <w:p>
      <w:pPr>
        <w:pStyle w:val="BodyText"/>
        <w:spacing w:before="4"/>
        <w:ind w:left="0"/>
        <w:rPr>
          <w:b/>
          <w:sz w:val="19"/>
        </w:rPr>
      </w:pPr>
    </w:p>
    <w:p>
      <w:pPr>
        <w:spacing w:after="0"/>
        <w:rPr>
          <w:sz w:val="19"/>
        </w:rPr>
        <w:sectPr>
          <w:pgSz w:w="12240" w:h="15840"/>
          <w:pgMar w:header="746" w:footer="0" w:top="1320" w:bottom="280" w:left="880" w:right="300"/>
        </w:sectPr>
      </w:pPr>
    </w:p>
    <w:p>
      <w:pPr>
        <w:pStyle w:val="Heading4"/>
        <w:spacing w:before="92"/>
      </w:pPr>
      <w:r>
        <w:rPr/>
        <w:t>Tuition</w:t>
      </w:r>
    </w:p>
    <w:p>
      <w:pPr>
        <w:pStyle w:val="BodyText"/>
        <w:spacing w:line="249" w:lineRule="auto" w:before="183"/>
        <w:ind w:left="199" w:right="154"/>
      </w:pPr>
      <w:r>
        <w:rPr/>
        <w:t>Tuition is charged to students and applied to all instructional programs. Students admitted to the Graduate School must pay graduate tuition and fees whether the credits satisfy program requirements or not.</w:t>
      </w:r>
    </w:p>
    <w:p>
      <w:pPr>
        <w:pStyle w:val="BodyText"/>
        <w:spacing w:line="249" w:lineRule="auto" w:before="3"/>
        <w:ind w:left="199" w:right="38"/>
      </w:pPr>
      <w:r>
        <w:rPr/>
        <w:t>Notwithstanding any other provisions of this or any other University publication, the University reserves the right to change tuition, fees, and other charges at any time such changes are deemed necessary by the University or the University System of Maryland Board of Regents. The Graduate School tuition and fees schedule is located at </w:t>
      </w:r>
      <w:hyperlink r:id="rId28">
        <w:r>
          <w:rPr/>
          <w:t>www.umaryland.edu/financialservices/student-accounting/.</w:t>
        </w:r>
      </w:hyperlink>
    </w:p>
    <w:p>
      <w:pPr>
        <w:pStyle w:val="BodyText"/>
        <w:spacing w:line="249" w:lineRule="auto" w:before="188"/>
        <w:ind w:left="199" w:right="387"/>
      </w:pPr>
      <w:r>
        <w:rPr/>
        <w:t>According to University regulations, graduate students dropping courses receive a full refund of tuition if they drop courses before the first day of the semester. The University publishes the full refund schedule for withdrawal.</w:t>
      </w:r>
    </w:p>
    <w:p>
      <w:pPr>
        <w:pStyle w:val="Heading4"/>
        <w:spacing w:before="164"/>
      </w:pPr>
      <w:r>
        <w:rPr/>
        <w:t>Fees</w:t>
      </w:r>
    </w:p>
    <w:p>
      <w:pPr>
        <w:pStyle w:val="BodyText"/>
        <w:spacing w:line="249" w:lineRule="auto" w:before="188"/>
        <w:ind w:right="87"/>
      </w:pPr>
      <w:r>
        <w:rPr/>
        <w:t>In addition to tuition, graduate students are charged mandatory technology, auxiliary, and other fees. Auxiliary fees include University Student Government Association, supporting facilities, student activity, and shuttle fees.</w:t>
      </w:r>
    </w:p>
    <w:p>
      <w:pPr>
        <w:pStyle w:val="BodyText"/>
        <w:spacing w:line="249" w:lineRule="auto" w:before="3"/>
        <w:ind w:right="397"/>
      </w:pPr>
      <w:r>
        <w:rPr/>
        <w:t>Some online programs are exempt from the supporting facilities and shuttle fees.</w:t>
      </w:r>
    </w:p>
    <w:p>
      <w:pPr>
        <w:pStyle w:val="Heading4"/>
        <w:spacing w:before="161"/>
      </w:pPr>
      <w:r>
        <w:rPr/>
        <w:t>Indebtedness to the University</w:t>
      </w:r>
    </w:p>
    <w:p>
      <w:pPr>
        <w:pStyle w:val="BodyText"/>
        <w:spacing w:line="249" w:lineRule="auto" w:before="188"/>
        <w:ind w:left="199" w:right="54"/>
      </w:pPr>
      <w:r>
        <w:rPr/>
        <w:t>Students must pay debts before registration can be completed for the following semester or session. Students may not receive transcripts or diplomas until they pay their debts. The University applies refunds due to students against their outstanding debts to the University.</w:t>
      </w:r>
    </w:p>
    <w:p>
      <w:pPr>
        <w:pStyle w:val="BodyText"/>
        <w:spacing w:line="249" w:lineRule="auto" w:before="3"/>
        <w:ind w:left="199" w:right="321"/>
      </w:pPr>
      <w:r>
        <w:rPr/>
        <w:t>Uncollected debts are forwarded to the State Central Collection Unit with an additional 17 percent collection fee.</w:t>
      </w:r>
    </w:p>
    <w:p>
      <w:pPr>
        <w:pStyle w:val="Heading4"/>
        <w:spacing w:before="162"/>
      </w:pPr>
      <w:r>
        <w:rPr/>
        <w:t>Payment of Tuition and Fees</w:t>
      </w:r>
    </w:p>
    <w:p>
      <w:pPr>
        <w:pStyle w:val="BodyText"/>
        <w:spacing w:line="249" w:lineRule="auto" w:before="188"/>
        <w:ind w:left="199" w:right="148"/>
      </w:pPr>
      <w:r>
        <w:rPr/>
        <w:t>Credit card payments — Visa, MasterCard, Discover, and American Express — and checks are accepted via the internet by using the link </w:t>
      </w:r>
      <w:hyperlink r:id="rId29">
        <w:r>
          <w:rPr/>
          <w:t>http://umaryland.edu/surfs.</w:t>
        </w:r>
      </w:hyperlink>
    </w:p>
    <w:p>
      <w:pPr>
        <w:pStyle w:val="BodyText"/>
        <w:spacing w:line="249" w:lineRule="auto" w:before="3"/>
        <w:ind w:left="199" w:right="55"/>
      </w:pPr>
      <w:r>
        <w:rPr/>
        <w:t>Credit card payment may only </w:t>
      </w:r>
      <w:r>
        <w:rPr>
          <w:spacing w:val="-3"/>
        </w:rPr>
        <w:t>be </w:t>
      </w:r>
      <w:r>
        <w:rPr/>
        <w:t>used </w:t>
      </w:r>
      <w:r>
        <w:rPr>
          <w:spacing w:val="-4"/>
        </w:rPr>
        <w:t>for </w:t>
      </w:r>
      <w:r>
        <w:rPr/>
        <w:t>those charges not </w:t>
      </w:r>
      <w:r>
        <w:rPr>
          <w:spacing w:val="-3"/>
        </w:rPr>
        <w:t>covered </w:t>
      </w:r>
      <w:r>
        <w:rPr/>
        <w:t>by financial aid. Payments from any financial proceeds that create a credit balance because of prior credit card payments will </w:t>
      </w:r>
      <w:r>
        <w:rPr>
          <w:spacing w:val="-3"/>
        </w:rPr>
        <w:t>be </w:t>
      </w:r>
      <w:r>
        <w:rPr/>
        <w:t>credited to the cardholder’s account to the extent </w:t>
      </w:r>
      <w:r>
        <w:rPr>
          <w:spacing w:val="-3"/>
        </w:rPr>
        <w:t>of </w:t>
      </w:r>
      <w:r>
        <w:rPr/>
        <w:t>the original amount paid by that credit card.</w:t>
      </w:r>
    </w:p>
    <w:p>
      <w:pPr>
        <w:pStyle w:val="BodyText"/>
        <w:spacing w:line="249" w:lineRule="auto" w:before="110"/>
        <w:ind w:left="199" w:right="682"/>
      </w:pPr>
      <w:r>
        <w:rPr/>
        <w:br w:type="column"/>
      </w:r>
      <w:r>
        <w:rPr/>
        <w:t>An installment payment plan is available for the fall or spring semesters as provided by the University Policy for Payment of Tuition and Fees. Details and access to the plan may be obtained in the Student Accounting Office. The fee for setting up an installment plan is $10 per semester.</w:t>
      </w:r>
    </w:p>
    <w:p>
      <w:pPr>
        <w:pStyle w:val="Heading4"/>
        <w:spacing w:before="165"/>
      </w:pPr>
      <w:r>
        <w:rPr/>
        <w:t>Due Date</w:t>
      </w:r>
    </w:p>
    <w:p>
      <w:pPr>
        <w:pStyle w:val="BodyText"/>
        <w:spacing w:line="249" w:lineRule="auto" w:before="188"/>
        <w:ind w:right="594"/>
      </w:pPr>
      <w:r>
        <w:rPr/>
        <w:t>If payment is postmarked or paid in person or via the internet after the due date, you will be subject to a late payment fee of $100 or 5 percent of the balance, whichever is less. Any amount referred to the State Central Collection Unit for collection will be subject to an additional 17 percent collection fee.</w:t>
      </w:r>
    </w:p>
    <w:p>
      <w:pPr>
        <w:pStyle w:val="Heading4"/>
        <w:spacing w:before="163"/>
      </w:pPr>
      <w:r>
        <w:rPr/>
        <w:t>Returned Check Policy</w:t>
      </w:r>
    </w:p>
    <w:p>
      <w:pPr>
        <w:pStyle w:val="BodyText"/>
        <w:spacing w:line="249" w:lineRule="auto" w:before="189"/>
        <w:ind w:right="782"/>
      </w:pPr>
      <w:r>
        <w:rPr/>
        <w:t>A service charge of $25 is assessed for each check that is returned unpaid by the bank for any reason.</w:t>
      </w:r>
    </w:p>
    <w:p>
      <w:pPr>
        <w:pStyle w:val="Heading4"/>
        <w:spacing w:before="160"/>
      </w:pPr>
      <w:r>
        <w:rPr/>
        <w:t>Health Insurance Coverage</w:t>
      </w:r>
    </w:p>
    <w:p>
      <w:pPr>
        <w:pStyle w:val="BodyText"/>
        <w:spacing w:line="249" w:lineRule="auto" w:before="188"/>
        <w:ind w:right="617"/>
      </w:pPr>
      <w:r>
        <w:rPr/>
        <w:t>Full-time students are required to have health insurance coverage. Students are billed </w:t>
      </w:r>
      <w:r>
        <w:rPr>
          <w:spacing w:val="-3"/>
        </w:rPr>
        <w:t>each </w:t>
      </w:r>
      <w:r>
        <w:rPr/>
        <w:t>fall and spring semester for student health insurance. If a student has comparable coverage and does not want the </w:t>
      </w:r>
      <w:r>
        <w:rPr>
          <w:spacing w:val="-3"/>
        </w:rPr>
        <w:t>UMB </w:t>
      </w:r>
      <w:r>
        <w:rPr/>
        <w:t>health insurance policy, it is their responsibility to provide proof of coverage to the Student and Employee Health </w:t>
      </w:r>
      <w:r>
        <w:rPr>
          <w:spacing w:val="-3"/>
        </w:rPr>
        <w:t>Office </w:t>
      </w:r>
      <w:r>
        <w:rPr/>
        <w:t>(29 S. Paca St.) and </w:t>
      </w:r>
      <w:r>
        <w:rPr>
          <w:spacing w:val="-2"/>
        </w:rPr>
        <w:t>obtain </w:t>
      </w:r>
      <w:r>
        <w:rPr/>
        <w:t>a </w:t>
      </w:r>
      <w:r>
        <w:rPr>
          <w:spacing w:val="-3"/>
        </w:rPr>
        <w:t>waiver </w:t>
      </w:r>
      <w:r>
        <w:rPr/>
        <w:t>that authorizes removal </w:t>
      </w:r>
      <w:r>
        <w:rPr>
          <w:spacing w:val="-5"/>
        </w:rPr>
        <w:t>of  </w:t>
      </w:r>
      <w:r>
        <w:rPr/>
        <w:t>the charge </w:t>
      </w:r>
      <w:r>
        <w:rPr>
          <w:spacing w:val="-3"/>
        </w:rPr>
        <w:t>from </w:t>
      </w:r>
      <w:r>
        <w:rPr/>
        <w:t>the bill. Waivers are valid </w:t>
      </w:r>
      <w:r>
        <w:rPr>
          <w:spacing w:val="-4"/>
        </w:rPr>
        <w:t>for </w:t>
      </w:r>
      <w:r>
        <w:rPr/>
        <w:t>one academic year. Waiver deadline dates are Sept. 15 </w:t>
      </w:r>
      <w:r>
        <w:rPr>
          <w:spacing w:val="-4"/>
        </w:rPr>
        <w:t>for </w:t>
      </w:r>
      <w:r>
        <w:rPr/>
        <w:t>the fall semester and </w:t>
      </w:r>
      <w:r>
        <w:rPr>
          <w:spacing w:val="-3"/>
        </w:rPr>
        <w:t>Feb. </w:t>
      </w:r>
      <w:r>
        <w:rPr/>
        <w:t>15 </w:t>
      </w:r>
      <w:r>
        <w:rPr>
          <w:spacing w:val="-4"/>
        </w:rPr>
        <w:t>for </w:t>
      </w:r>
      <w:r>
        <w:rPr/>
        <w:t>the spring semester. The </w:t>
      </w:r>
      <w:r>
        <w:rPr>
          <w:spacing w:val="-3"/>
        </w:rPr>
        <w:t>waiver </w:t>
      </w:r>
      <w:r>
        <w:rPr/>
        <w:t>form is located </w:t>
      </w:r>
      <w:r>
        <w:rPr>
          <w:spacing w:val="-3"/>
        </w:rPr>
        <w:t>at </w:t>
      </w:r>
      <w:hyperlink r:id="rId30">
        <w:r>
          <w:rPr/>
          <w:t>www.umaryland.edu/financialservices/student-</w:t>
        </w:r>
      </w:hyperlink>
      <w:r>
        <w:rPr/>
        <w:t> accounting/health-insurance-waiver/.</w:t>
      </w:r>
    </w:p>
    <w:p>
      <w:pPr>
        <w:pStyle w:val="Heading4"/>
        <w:spacing w:before="170"/>
      </w:pPr>
      <w:r>
        <w:rPr/>
        <w:t>Up-To-Date Account Information</w:t>
      </w:r>
    </w:p>
    <w:p>
      <w:pPr>
        <w:pStyle w:val="BodyText"/>
        <w:spacing w:line="249" w:lineRule="auto" w:before="188"/>
        <w:ind w:right="628"/>
      </w:pPr>
      <w:r>
        <w:rPr/>
        <w:t>Students may view current information at </w:t>
      </w:r>
      <w:hyperlink r:id="rId29">
        <w:r>
          <w:rPr/>
          <w:t>http://umaryland.edu/surfs </w:t>
        </w:r>
      </w:hyperlink>
      <w:r>
        <w:rPr/>
        <w:t>by choosing Student Services, Student Records, and Account Summary by Term.</w:t>
      </w:r>
    </w:p>
    <w:p>
      <w:pPr>
        <w:pStyle w:val="Heading4"/>
        <w:spacing w:before="161"/>
      </w:pPr>
      <w:r>
        <w:rPr/>
        <w:t>Determination of Residency For Tuition Purposes</w:t>
      </w:r>
    </w:p>
    <w:p>
      <w:pPr>
        <w:pStyle w:val="BodyText"/>
        <w:spacing w:line="249" w:lineRule="auto" w:before="188"/>
        <w:ind w:right="681"/>
      </w:pPr>
      <w:r>
        <w:rPr/>
        <w:t>Applicants seeking classification as a Maryland resident for tuition and charge-differential purposes must complete a Maryland In-State Status form that accompanies the application for admission. It is important that all questions be answered on the form; omitting information will result in out-of-state classification. The statement of residency determination, as defined by the University System of</w:t>
      </w:r>
    </w:p>
    <w:p>
      <w:pPr>
        <w:spacing w:after="0" w:line="249" w:lineRule="auto"/>
        <w:sectPr>
          <w:type w:val="continuous"/>
          <w:pgSz w:w="12240" w:h="15840"/>
          <w:pgMar w:top="1500" w:bottom="280" w:left="880" w:right="300"/>
          <w:cols w:num="2" w:equalWidth="0">
            <w:col w:w="5000" w:space="487"/>
            <w:col w:w="5573"/>
          </w:cols>
        </w:sectPr>
      </w:pPr>
    </w:p>
    <w:p>
      <w:pPr>
        <w:pStyle w:val="BodyText"/>
        <w:spacing w:line="249" w:lineRule="auto" w:before="100"/>
        <w:ind w:left="199" w:right="64"/>
      </w:pPr>
      <w:r>
        <w:rPr/>
        <w:t>Maryland Board of Regents, and the procedures and policies of in-state residency determination may be found on the Office of the Registrar’s website, </w:t>
      </w:r>
      <w:hyperlink r:id="rId33">
        <w:r>
          <w:rPr/>
          <w:t>www.umaryland.edu/orr/. </w:t>
        </w:r>
      </w:hyperlink>
      <w:r>
        <w:rPr/>
        <w:t>An initial determination of in- state status for admission, tuition, and charge-differential purposes is made by the registrar when a student’s application for admission is under consideration. The determination made at that time and any determination made thereafter shall prevail for each subsequent semester until the determination is challenged successfully in a timely manner. Students may request a re-evaluation of their status by filing a petition for in-state classification for admission, tuition, and charge-differential purposes.</w:t>
      </w:r>
    </w:p>
    <w:p>
      <w:pPr>
        <w:pStyle w:val="BodyText"/>
        <w:spacing w:line="249" w:lineRule="auto" w:before="9"/>
        <w:ind w:right="57"/>
      </w:pPr>
      <w:r>
        <w:rPr/>
        <w:t>Students must meet the requirements for in-state status and submit a completed petition (including all documents required therein) by the last day of late registration for the semester in which they wish to be classified as in-state.</w:t>
      </w:r>
    </w:p>
    <w:p>
      <w:pPr>
        <w:pStyle w:val="BodyText"/>
        <w:spacing w:line="249" w:lineRule="auto" w:before="3"/>
        <w:ind w:right="19"/>
      </w:pPr>
      <w:r>
        <w:rPr/>
        <w:t>The burden rests upon students to demonstrate to the satisfaction of the University that an in-state classification is appropriate. No change in status requested by students shall be given retroactively. A determination of in-state status is valid only if a student enrolls in the semester for which they applied. Determinations made in cases in which students do not enroll are not valid for a subsequent semester (all requirements must be satisfied independently and a new and timely petition must be submitted).</w:t>
      </w:r>
    </w:p>
    <w:p>
      <w:pPr>
        <w:pStyle w:val="Heading4"/>
        <w:spacing w:before="168"/>
      </w:pPr>
      <w:r>
        <w:rPr/>
        <w:t>Graduate Assistantships</w:t>
      </w:r>
    </w:p>
    <w:p>
      <w:pPr>
        <w:pStyle w:val="BodyText"/>
        <w:spacing w:line="249" w:lineRule="auto" w:before="188"/>
        <w:ind w:right="43"/>
      </w:pPr>
      <w:r>
        <w:rPr/>
        <w:t>Graduate assistantships are available to qualified, full-time, degree-seeking graduate students. An assistantship is awarded to students to enable them to make progress toward a graduate degree and obtain academic or research experience. The duties of a graduate assistant must be consistent with the teaching and research missions of the University. Assistantships are awarded by the program in which the student is enrolled. The assignment depends on the program’s needs and the experience and qualifications of the student. Applicants should apply for an assistantship directly to the program in which they wish to study.</w:t>
      </w:r>
    </w:p>
    <w:p>
      <w:pPr>
        <w:pStyle w:val="BodyText"/>
        <w:spacing w:line="249" w:lineRule="auto" w:before="8"/>
        <w:ind w:right="38"/>
      </w:pPr>
      <w:r>
        <w:rPr/>
        <w:t>Programs </w:t>
      </w:r>
      <w:r>
        <w:rPr>
          <w:spacing w:val="-3"/>
        </w:rPr>
        <w:t>offer </w:t>
      </w:r>
      <w:r>
        <w:rPr/>
        <w:t>assistantships based </w:t>
      </w:r>
      <w:r>
        <w:rPr>
          <w:spacing w:val="-3"/>
        </w:rPr>
        <w:t>on </w:t>
      </w:r>
      <w:r>
        <w:rPr/>
        <w:t>the availability of funds and admission </w:t>
      </w:r>
      <w:r>
        <w:rPr>
          <w:spacing w:val="-3"/>
        </w:rPr>
        <w:t>of </w:t>
      </w:r>
      <w:r>
        <w:rPr/>
        <w:t>the student to degree-seeking status at the University. Graduate assistants must register as full- time students, enroll in degree programs, and make satisfactory progress toward their degrees. Programs normally award assistantships to students who have </w:t>
      </w:r>
      <w:r>
        <w:rPr>
          <w:spacing w:val="-3"/>
        </w:rPr>
        <w:t>shown </w:t>
      </w:r>
      <w:r>
        <w:rPr/>
        <w:t>superior aptitude in their fields </w:t>
      </w:r>
      <w:r>
        <w:rPr>
          <w:spacing w:val="-3"/>
        </w:rPr>
        <w:t>of </w:t>
      </w:r>
      <w:r>
        <w:rPr/>
        <w:t>study and appear likely to render a high quality of service to the University with their teaching and research activities. </w:t>
      </w:r>
      <w:r>
        <w:rPr>
          <w:spacing w:val="-2"/>
        </w:rPr>
        <w:t>All </w:t>
      </w:r>
      <w:r>
        <w:rPr/>
        <w:t>graduate assistants are eligible </w:t>
      </w:r>
      <w:r>
        <w:rPr>
          <w:spacing w:val="-4"/>
        </w:rPr>
        <w:t>for </w:t>
      </w:r>
      <w:r>
        <w:rPr/>
        <w:t>tuition remission. A full assistantship carries up to 10 credits </w:t>
      </w:r>
      <w:r>
        <w:rPr>
          <w:spacing w:val="-3"/>
        </w:rPr>
        <w:t>of </w:t>
      </w:r>
      <w:r>
        <w:rPr/>
        <w:t>tuition remission each </w:t>
      </w:r>
      <w:r>
        <w:rPr>
          <w:spacing w:val="-3"/>
        </w:rPr>
        <w:t>semester </w:t>
      </w:r>
      <w:r>
        <w:rPr/>
        <w:t>— fall and spring. All other </w:t>
      </w:r>
      <w:r>
        <w:rPr>
          <w:spacing w:val="-3"/>
        </w:rPr>
        <w:t>fees </w:t>
      </w:r>
      <w:r>
        <w:rPr/>
        <w:t>are the responsibility of the graduate student.</w:t>
      </w:r>
      <w:r>
        <w:rPr>
          <w:spacing w:val="-16"/>
        </w:rPr>
        <w:t> </w:t>
      </w:r>
      <w:r>
        <w:rPr/>
        <w:t>Graduate</w:t>
      </w:r>
    </w:p>
    <w:p>
      <w:pPr>
        <w:pStyle w:val="BodyText"/>
        <w:spacing w:line="249" w:lineRule="auto" w:before="97"/>
        <w:ind w:right="630"/>
      </w:pPr>
      <w:r>
        <w:rPr/>
        <w:br w:type="column"/>
      </w:r>
      <w:r>
        <w:rPr/>
        <w:t>assistantships are awarded </w:t>
      </w:r>
      <w:r>
        <w:rPr>
          <w:spacing w:val="-3"/>
        </w:rPr>
        <w:t>with </w:t>
      </w:r>
      <w:r>
        <w:rPr/>
        <w:t>the intent </w:t>
      </w:r>
      <w:r>
        <w:rPr>
          <w:spacing w:val="-3"/>
        </w:rPr>
        <w:t>of </w:t>
      </w:r>
      <w:r>
        <w:rPr/>
        <w:t>providing financial support and contributing to the recipient’s professional development. </w:t>
      </w:r>
      <w:r>
        <w:rPr>
          <w:spacing w:val="-3"/>
        </w:rPr>
        <w:t>In </w:t>
      </w:r>
      <w:r>
        <w:rPr/>
        <w:t>all instances, it is understood that the graduate student’s priority should </w:t>
      </w:r>
      <w:r>
        <w:rPr>
          <w:spacing w:val="-3"/>
        </w:rPr>
        <w:t>be </w:t>
      </w:r>
      <w:r>
        <w:rPr/>
        <w:t>their studies and research, and that 100 percent </w:t>
      </w:r>
      <w:r>
        <w:rPr>
          <w:spacing w:val="-3"/>
        </w:rPr>
        <w:t>of </w:t>
      </w:r>
      <w:r>
        <w:rPr/>
        <w:t>their effort will </w:t>
      </w:r>
      <w:r>
        <w:rPr>
          <w:spacing w:val="-3"/>
        </w:rPr>
        <w:t>be </w:t>
      </w:r>
      <w:r>
        <w:rPr/>
        <w:t>devoted to this endeavor. Therefore, graduate assistants are ineligible </w:t>
      </w:r>
      <w:r>
        <w:rPr>
          <w:spacing w:val="-4"/>
        </w:rPr>
        <w:t>for </w:t>
      </w:r>
      <w:r>
        <w:rPr/>
        <w:t>additional awards </w:t>
      </w:r>
      <w:r>
        <w:rPr>
          <w:spacing w:val="-3"/>
        </w:rPr>
        <w:t>or </w:t>
      </w:r>
      <w:r>
        <w:rPr/>
        <w:t>employment that includes a work component. A graduate assistant who receives external support </w:t>
      </w:r>
      <w:r>
        <w:rPr>
          <w:spacing w:val="-4"/>
        </w:rPr>
        <w:t>for </w:t>
      </w:r>
      <w:r>
        <w:rPr/>
        <w:t>their research will </w:t>
      </w:r>
      <w:r>
        <w:rPr>
          <w:spacing w:val="-3"/>
        </w:rPr>
        <w:t>be </w:t>
      </w:r>
      <w:r>
        <w:rPr/>
        <w:t>expected to end their graduate assistantship. These principles also will apply during the </w:t>
      </w:r>
      <w:r>
        <w:rPr>
          <w:spacing w:val="-3"/>
        </w:rPr>
        <w:t>summer </w:t>
      </w:r>
      <w:r>
        <w:rPr/>
        <w:t>months </w:t>
      </w:r>
      <w:r>
        <w:rPr>
          <w:spacing w:val="-4"/>
        </w:rPr>
        <w:t>for </w:t>
      </w:r>
      <w:r>
        <w:rPr/>
        <w:t>graduate assistants </w:t>
      </w:r>
      <w:r>
        <w:rPr>
          <w:spacing w:val="-3"/>
        </w:rPr>
        <w:t>with </w:t>
      </w:r>
      <w:r>
        <w:rPr/>
        <w:t>a 12-month appointment.</w:t>
      </w:r>
    </w:p>
    <w:p>
      <w:pPr>
        <w:pStyle w:val="BodyText"/>
        <w:spacing w:line="249" w:lineRule="auto" w:before="9"/>
        <w:ind w:right="721"/>
      </w:pPr>
      <w:r>
        <w:rPr/>
        <w:t>Exceptions to this policy require the prior approval of the Graduate School. The Graduate School produces the </w:t>
      </w:r>
      <w:r>
        <w:rPr>
          <w:i/>
        </w:rPr>
        <w:t>Graduate Assistant Policies and Guidelines </w:t>
      </w:r>
      <w:r>
        <w:rPr/>
        <w:t>handbook, which is available from the Graduate School and is on the Graduate School website.</w:t>
      </w:r>
    </w:p>
    <w:p>
      <w:pPr>
        <w:pStyle w:val="Heading4"/>
        <w:spacing w:before="167"/>
      </w:pPr>
      <w:r>
        <w:rPr/>
        <w:t>Other Funding Opportunities</w:t>
      </w:r>
    </w:p>
    <w:p>
      <w:pPr>
        <w:pStyle w:val="BodyText"/>
        <w:spacing w:line="249" w:lineRule="auto" w:before="188"/>
        <w:ind w:right="636"/>
      </w:pPr>
      <w:r>
        <w:rPr/>
        <w:t>Funding opportunities also are available to graduate students through National Science Foundation and National Institutes </w:t>
      </w:r>
      <w:r>
        <w:rPr>
          <w:spacing w:val="-3"/>
        </w:rPr>
        <w:t>of </w:t>
      </w:r>
      <w:r>
        <w:rPr/>
        <w:t>Health programs and many other public and private foundations. Students must apply directly to these programs </w:t>
      </w:r>
      <w:r>
        <w:rPr>
          <w:spacing w:val="-3"/>
        </w:rPr>
        <w:t>or </w:t>
      </w:r>
      <w:r>
        <w:rPr/>
        <w:t>foundations. Students eligible for federal Veterans Affairs (VA) benefits should contact the VA representative in the School </w:t>
      </w:r>
      <w:r>
        <w:rPr>
          <w:spacing w:val="-3"/>
        </w:rPr>
        <w:t>of </w:t>
      </w:r>
      <w:r>
        <w:rPr/>
        <w:t>Nursing </w:t>
      </w:r>
      <w:r>
        <w:rPr>
          <w:spacing w:val="-3"/>
        </w:rPr>
        <w:t>or </w:t>
      </w:r>
      <w:r>
        <w:rPr/>
        <w:t>the Graduate School regarding processing requirements and services for VA</w:t>
      </w:r>
      <w:r>
        <w:rPr>
          <w:spacing w:val="8"/>
        </w:rPr>
        <w:t> </w:t>
      </w:r>
      <w:r>
        <w:rPr/>
        <w:t>benefits.</w:t>
      </w:r>
    </w:p>
    <w:p>
      <w:pPr>
        <w:pStyle w:val="Heading4"/>
        <w:spacing w:line="228" w:lineRule="auto" w:before="176"/>
        <w:ind w:left="199" w:right="1223"/>
      </w:pPr>
      <w:r>
        <w:rPr/>
        <w:t>Need-Based Financial Assistance - Office of Student Financial Assistance and Education</w:t>
      </w:r>
    </w:p>
    <w:p>
      <w:pPr>
        <w:pStyle w:val="BodyText"/>
        <w:spacing w:line="249" w:lineRule="auto" w:before="190"/>
        <w:ind w:right="605"/>
      </w:pPr>
      <w:r>
        <w:rPr/>
        <w:t>Students may apply for need-based assistance to help meet the costs of tuition, fees, books, supplies, and normal living expenses not covered by tuition remission or other resources. Need-based assistance includes Federal Direct Stafford loans and Federal Direct Grad PLUS. Students seeking assistance from these programs must file a Free Application for Federal Student Aid (FAFSA) for the enrollment year. Students may apply online at </w:t>
      </w:r>
      <w:hyperlink r:id="rId34">
        <w:r>
          <w:rPr/>
          <w:t>www.fafsa.ed.gov. </w:t>
        </w:r>
      </w:hyperlink>
      <w:r>
        <w:rPr/>
        <w:t>More information is available from the Office of Student Financial Assistance and Education, which may be reached at 410-706-7347, via email at </w:t>
      </w:r>
      <w:hyperlink r:id="rId35">
        <w:r>
          <w:rPr/>
          <w:t>aidtalk@umaryland.edu</w:t>
        </w:r>
        <w:r>
          <w:rPr>
            <w:i/>
          </w:rPr>
          <w:t>,</w:t>
        </w:r>
      </w:hyperlink>
      <w:r>
        <w:rPr>
          <w:i/>
        </w:rPr>
        <w:t> </w:t>
      </w:r>
      <w:r>
        <w:rPr/>
        <w:t>or by viewing the eligibility for need-based assistance at </w:t>
      </w:r>
      <w:hyperlink r:id="rId36">
        <w:r>
          <w:rPr/>
          <w:t>www.umaryland.edu/fin.</w:t>
        </w:r>
      </w:hyperlink>
    </w:p>
    <w:p>
      <w:pPr>
        <w:spacing w:after="0" w:line="249" w:lineRule="auto"/>
        <w:sectPr>
          <w:headerReference w:type="default" r:id="rId31"/>
          <w:headerReference w:type="even" r:id="rId32"/>
          <w:pgSz w:w="12240" w:h="15840"/>
          <w:pgMar w:header="746" w:footer="0" w:top="1320" w:bottom="280" w:left="880" w:right="300"/>
          <w:pgNumType w:start="29"/>
          <w:cols w:num="2" w:equalWidth="0">
            <w:col w:w="4999" w:space="487"/>
            <w:col w:w="5574"/>
          </w:cols>
        </w:sectPr>
      </w:pPr>
    </w:p>
    <w:p>
      <w:pPr>
        <w:pStyle w:val="Heading1"/>
      </w:pPr>
      <w:bookmarkStart w:name="Graduate School Programs" w:id="13"/>
      <w:bookmarkEnd w:id="13"/>
      <w:r>
        <w:rPr>
          <w:b w:val="0"/>
        </w:rPr>
      </w:r>
      <w:bookmarkStart w:name="_bookmark6" w:id="14"/>
      <w:bookmarkEnd w:id="14"/>
      <w:r>
        <w:rPr>
          <w:b w:val="0"/>
        </w:rPr>
      </w:r>
      <w:r>
        <w:rPr/>
        <w:t>Graduate School Programs</w:t>
      </w:r>
    </w:p>
    <w:p>
      <w:pPr>
        <w:pStyle w:val="Heading3"/>
        <w:spacing w:before="340"/>
      </w:pPr>
      <w:bookmarkStart w:name="Aging and Applied Thanatology" w:id="15"/>
      <w:bookmarkEnd w:id="15"/>
      <w:r>
        <w:rPr/>
      </w:r>
      <w:bookmarkStart w:name="_bookmark7" w:id="16"/>
      <w:bookmarkEnd w:id="16"/>
      <w:r>
        <w:rPr/>
      </w:r>
      <w:r>
        <w:rPr/>
        <w:t>Aging and Applied Thanatology</w:t>
      </w:r>
    </w:p>
    <w:p>
      <w:pPr>
        <w:pStyle w:val="BodyText"/>
        <w:spacing w:before="190"/>
      </w:pPr>
      <w:hyperlink r:id="rId37">
        <w:r>
          <w:rPr>
            <w:color w:val="0000FF"/>
            <w:u w:val="single" w:color="0000FF"/>
          </w:rPr>
          <w:t>http://graduate.umaryland.edu/thanatology/</w:t>
        </w:r>
      </w:hyperlink>
    </w:p>
    <w:p>
      <w:pPr>
        <w:pStyle w:val="Heading6"/>
        <w:spacing w:before="187"/>
      </w:pPr>
      <w:r>
        <w:rPr/>
        <w:t>Degree Offered</w:t>
      </w:r>
    </w:p>
    <w:p>
      <w:pPr>
        <w:pStyle w:val="BodyText"/>
        <w:spacing w:before="0"/>
        <w:ind w:left="0"/>
        <w:rPr>
          <w:b/>
          <w:sz w:val="22"/>
        </w:rPr>
      </w:pPr>
      <w:r>
        <w:rPr/>
        <w:br w:type="column"/>
      </w:r>
      <w:r>
        <w:rPr>
          <w:b/>
          <w:sz w:val="22"/>
        </w:rPr>
      </w:r>
    </w:p>
    <w:p>
      <w:pPr>
        <w:pStyle w:val="BodyText"/>
        <w:spacing w:before="0"/>
        <w:ind w:left="0"/>
        <w:rPr>
          <w:b/>
          <w:sz w:val="22"/>
        </w:rPr>
      </w:pPr>
    </w:p>
    <w:p>
      <w:pPr>
        <w:pStyle w:val="BodyText"/>
        <w:spacing w:before="10"/>
        <w:ind w:left="0"/>
        <w:rPr>
          <w:b/>
          <w:sz w:val="24"/>
        </w:rPr>
      </w:pPr>
    </w:p>
    <w:p>
      <w:pPr>
        <w:pStyle w:val="BodyText"/>
        <w:spacing w:line="249" w:lineRule="auto" w:before="0"/>
        <w:ind w:right="750"/>
      </w:pPr>
      <w:r>
        <w:rPr/>
        <w:t>the most effective way to ensure availability to all interested individuals is to use online delivery methods. This allows participants from across the nation, and even across the world, to participate in a flexible and convenient manner.</w:t>
      </w:r>
    </w:p>
    <w:p>
      <w:pPr>
        <w:spacing w:after="0" w:line="249" w:lineRule="auto"/>
        <w:sectPr>
          <w:pgSz w:w="12240" w:h="15840"/>
          <w:pgMar w:header="746" w:footer="0" w:top="1320" w:bottom="280" w:left="880" w:right="300"/>
          <w:cols w:num="2" w:equalWidth="0">
            <w:col w:w="5832" w:space="87"/>
            <w:col w:w="5141"/>
          </w:cols>
        </w:sectPr>
      </w:pPr>
    </w:p>
    <w:p>
      <w:pPr>
        <w:pStyle w:val="BodyText"/>
        <w:spacing w:before="193"/>
      </w:pPr>
      <w:r>
        <w:rPr/>
        <w:t>Postbaccalaureate Certificate</w:t>
      </w:r>
    </w:p>
    <w:p>
      <w:pPr>
        <w:pStyle w:val="Heading6"/>
        <w:spacing w:before="187"/>
      </w:pPr>
      <w:r>
        <w:rPr/>
        <w:t>Program Description</w:t>
      </w:r>
    </w:p>
    <w:p>
      <w:pPr>
        <w:pStyle w:val="BodyText"/>
        <w:spacing w:line="249" w:lineRule="auto" w:before="193"/>
        <w:ind w:right="191" w:hanging="1"/>
      </w:pPr>
      <w:r>
        <w:rPr/>
        <w:t>Aging and Applied Thanatology is a one-year, 12-credit, online postbaccalaureate certificate program. Students learn about the key issues, theories, research, and clinical practices related to aging, dying, death, and grieving.</w:t>
      </w:r>
    </w:p>
    <w:p>
      <w:pPr>
        <w:pStyle w:val="BodyText"/>
        <w:spacing w:line="249" w:lineRule="auto" w:before="2"/>
        <w:ind w:right="157"/>
      </w:pPr>
      <w:r>
        <w:rPr/>
        <w:t>Students work with leaders in the field, studying topics such as psychosocial perspectives in aging, ethical and legal issues in death and dying, palliative care, and caring for the bereaved.</w:t>
      </w:r>
    </w:p>
    <w:p>
      <w:pPr>
        <w:pStyle w:val="BodyText"/>
        <w:spacing w:line="249" w:lineRule="auto" w:before="181"/>
        <w:ind w:right="152"/>
      </w:pPr>
      <w:r>
        <w:rPr/>
        <w:t>This program was designed with three guiding principles in mind: translating knowledge into action, taking a holistic and personal approach to learning, and making education available to all. These principles allow students to be better prepared to achieve success in the program while working in the thanatology field.</w:t>
      </w:r>
    </w:p>
    <w:p>
      <w:pPr>
        <w:pStyle w:val="Heading6"/>
        <w:spacing w:before="187"/>
      </w:pPr>
      <w:r>
        <w:rPr/>
        <w:t>Three Guiding</w:t>
      </w:r>
      <w:r>
        <w:rPr>
          <w:spacing w:val="-8"/>
        </w:rPr>
        <w:t> </w:t>
      </w:r>
      <w:r>
        <w:rPr/>
        <w:t>Principles</w:t>
      </w:r>
    </w:p>
    <w:p>
      <w:pPr>
        <w:pStyle w:val="ListParagraph"/>
        <w:numPr>
          <w:ilvl w:val="1"/>
          <w:numId w:val="3"/>
        </w:numPr>
        <w:tabs>
          <w:tab w:pos="633" w:val="left" w:leader="none"/>
        </w:tabs>
        <w:spacing w:line="249" w:lineRule="auto" w:before="187" w:after="0"/>
        <w:ind w:left="632" w:right="61" w:hanging="216"/>
        <w:jc w:val="left"/>
        <w:rPr>
          <w:sz w:val="20"/>
        </w:rPr>
      </w:pPr>
      <w:r>
        <w:rPr>
          <w:b/>
          <w:sz w:val="20"/>
        </w:rPr>
        <w:t>Translating Knowledge into Action: </w:t>
      </w:r>
      <w:r>
        <w:rPr>
          <w:sz w:val="20"/>
        </w:rPr>
        <w:t>We </w:t>
      </w:r>
      <w:r>
        <w:rPr>
          <w:spacing w:val="-3"/>
          <w:sz w:val="20"/>
        </w:rPr>
        <w:t>believe </w:t>
      </w:r>
      <w:r>
        <w:rPr>
          <w:sz w:val="20"/>
        </w:rPr>
        <w:t>it is important that a student’s educational experience is relevant, applicable, and practical. As such, course material and experiences focus </w:t>
      </w:r>
      <w:r>
        <w:rPr>
          <w:spacing w:val="-3"/>
          <w:sz w:val="20"/>
        </w:rPr>
        <w:t>on </w:t>
      </w:r>
      <w:r>
        <w:rPr>
          <w:sz w:val="20"/>
        </w:rPr>
        <w:t>skill-based learning and application, particularly in professional contexts.</w:t>
      </w:r>
    </w:p>
    <w:p>
      <w:pPr>
        <w:pStyle w:val="ListParagraph"/>
        <w:numPr>
          <w:ilvl w:val="1"/>
          <w:numId w:val="3"/>
        </w:numPr>
        <w:tabs>
          <w:tab w:pos="633" w:val="left" w:leader="none"/>
        </w:tabs>
        <w:spacing w:line="249" w:lineRule="auto" w:before="187" w:after="0"/>
        <w:ind w:left="631" w:right="38" w:hanging="215"/>
        <w:jc w:val="left"/>
        <w:rPr>
          <w:sz w:val="20"/>
        </w:rPr>
      </w:pPr>
      <w:r>
        <w:rPr>
          <w:b/>
          <w:sz w:val="20"/>
        </w:rPr>
        <w:t>Taking a Holistic and Personal Approach to Learning: </w:t>
      </w:r>
      <w:r>
        <w:rPr>
          <w:spacing w:val="-3"/>
          <w:sz w:val="20"/>
        </w:rPr>
        <w:t>Our </w:t>
      </w:r>
      <w:r>
        <w:rPr>
          <w:sz w:val="20"/>
        </w:rPr>
        <w:t>integrative and interdisciplinary stance is that the professional is an instrument, </w:t>
      </w:r>
      <w:r>
        <w:rPr>
          <w:spacing w:val="-3"/>
          <w:sz w:val="20"/>
        </w:rPr>
        <w:t>be </w:t>
      </w:r>
      <w:r>
        <w:rPr>
          <w:sz w:val="20"/>
        </w:rPr>
        <w:t>that a healing instrument, an educational instrument, a service instrument, </w:t>
      </w:r>
      <w:r>
        <w:rPr>
          <w:spacing w:val="-3"/>
          <w:sz w:val="20"/>
        </w:rPr>
        <w:t>or otherwise. Our </w:t>
      </w:r>
      <w:r>
        <w:rPr>
          <w:sz w:val="20"/>
        </w:rPr>
        <w:t>motto is to prepare the participant, not just their mind, to work effectively and compassionately in a </w:t>
      </w:r>
      <w:r>
        <w:rPr>
          <w:spacing w:val="-3"/>
          <w:sz w:val="20"/>
        </w:rPr>
        <w:t>chosen </w:t>
      </w:r>
      <w:r>
        <w:rPr>
          <w:sz w:val="20"/>
        </w:rPr>
        <w:t>vocation. We believe that to effectively work </w:t>
      </w:r>
      <w:r>
        <w:rPr>
          <w:spacing w:val="-3"/>
          <w:sz w:val="20"/>
        </w:rPr>
        <w:t>with </w:t>
      </w:r>
      <w:r>
        <w:rPr>
          <w:sz w:val="20"/>
        </w:rPr>
        <w:t>others who are dealing </w:t>
      </w:r>
      <w:r>
        <w:rPr>
          <w:spacing w:val="-3"/>
          <w:sz w:val="20"/>
        </w:rPr>
        <w:t>with </w:t>
      </w:r>
      <w:r>
        <w:rPr>
          <w:sz w:val="20"/>
        </w:rPr>
        <w:t>dying, death, and </w:t>
      </w:r>
      <w:r>
        <w:rPr>
          <w:spacing w:val="-3"/>
          <w:sz w:val="20"/>
        </w:rPr>
        <w:t>grief, </w:t>
      </w:r>
      <w:r>
        <w:rPr>
          <w:sz w:val="20"/>
        </w:rPr>
        <w:t>the professional needs to have addressed their </w:t>
      </w:r>
      <w:r>
        <w:rPr>
          <w:spacing w:val="-4"/>
          <w:sz w:val="20"/>
        </w:rPr>
        <w:t>own </w:t>
      </w:r>
      <w:r>
        <w:rPr>
          <w:sz w:val="20"/>
        </w:rPr>
        <w:t>personal issues related to these areas. As such, courses include relevant self-awareness and self- reflection exercises to prepare the individual personally and</w:t>
      </w:r>
      <w:r>
        <w:rPr>
          <w:spacing w:val="-11"/>
          <w:sz w:val="20"/>
        </w:rPr>
        <w:t> </w:t>
      </w:r>
      <w:r>
        <w:rPr>
          <w:sz w:val="20"/>
        </w:rPr>
        <w:t>professionally.</w:t>
      </w:r>
    </w:p>
    <w:p>
      <w:pPr>
        <w:pStyle w:val="ListParagraph"/>
        <w:numPr>
          <w:ilvl w:val="1"/>
          <w:numId w:val="3"/>
        </w:numPr>
        <w:tabs>
          <w:tab w:pos="632" w:val="left" w:leader="none"/>
        </w:tabs>
        <w:spacing w:line="240" w:lineRule="auto" w:before="188" w:after="0"/>
        <w:ind w:left="631" w:right="0" w:hanging="216"/>
        <w:jc w:val="left"/>
        <w:rPr>
          <w:sz w:val="20"/>
        </w:rPr>
      </w:pPr>
      <w:r>
        <w:rPr>
          <w:b/>
          <w:sz w:val="20"/>
        </w:rPr>
        <w:t>Making Education Available to All: </w:t>
      </w:r>
      <w:r>
        <w:rPr>
          <w:sz w:val="20"/>
        </w:rPr>
        <w:t>We</w:t>
      </w:r>
      <w:r>
        <w:rPr>
          <w:spacing w:val="-10"/>
          <w:sz w:val="20"/>
        </w:rPr>
        <w:t> </w:t>
      </w:r>
      <w:r>
        <w:rPr>
          <w:sz w:val="20"/>
        </w:rPr>
        <w:t>believe</w:t>
      </w:r>
    </w:p>
    <w:p>
      <w:pPr>
        <w:pStyle w:val="Heading6"/>
        <w:spacing w:before="30"/>
      </w:pPr>
      <w:r>
        <w:rPr>
          <w:b w:val="0"/>
        </w:rPr>
        <w:br w:type="column"/>
      </w:r>
      <w:r>
        <w:rPr/>
        <w:t>Certificate Objectives</w:t>
      </w:r>
    </w:p>
    <w:p>
      <w:pPr>
        <w:pStyle w:val="BodyText"/>
        <w:spacing w:line="249" w:lineRule="auto" w:before="188"/>
        <w:ind w:right="666"/>
      </w:pPr>
      <w:r>
        <w:rPr/>
        <w:t>Our goal is to provide our students with advanced knowledge and practical training to ensure that learning is relevant and applicable to each student’s professional goals. The program is designed to ensure students gain a greater sense of comfort and competence in addressing the sensitive and complex issues of aging, dying, death, and grieving.</w:t>
      </w:r>
    </w:p>
    <w:p>
      <w:pPr>
        <w:pStyle w:val="Heading6"/>
        <w:spacing w:before="187"/>
      </w:pPr>
      <w:r>
        <w:rPr/>
        <w:t>Learning Outcomes</w:t>
      </w:r>
    </w:p>
    <w:p>
      <w:pPr>
        <w:pStyle w:val="BodyText"/>
        <w:spacing w:line="249" w:lineRule="auto" w:before="188"/>
        <w:ind w:right="610"/>
      </w:pPr>
      <w:r>
        <w:rPr/>
        <w:t>Upon completion of this certificate, students will be able to do the following:</w:t>
      </w:r>
    </w:p>
    <w:p>
      <w:pPr>
        <w:pStyle w:val="ListParagraph"/>
        <w:numPr>
          <w:ilvl w:val="1"/>
          <w:numId w:val="3"/>
        </w:numPr>
        <w:tabs>
          <w:tab w:pos="632" w:val="left" w:leader="none"/>
        </w:tabs>
        <w:spacing w:line="249" w:lineRule="auto" w:before="184" w:after="0"/>
        <w:ind w:left="631" w:right="680" w:hanging="216"/>
        <w:jc w:val="left"/>
        <w:rPr>
          <w:sz w:val="20"/>
        </w:rPr>
      </w:pPr>
      <w:r>
        <w:rPr>
          <w:sz w:val="20"/>
        </w:rPr>
        <w:t>Recognize </w:t>
      </w:r>
      <w:r>
        <w:rPr>
          <w:spacing w:val="-2"/>
          <w:sz w:val="20"/>
        </w:rPr>
        <w:t>common </w:t>
      </w:r>
      <w:r>
        <w:rPr>
          <w:sz w:val="20"/>
        </w:rPr>
        <w:t>responses to aging, death, dying, and grief as experienced by adults and</w:t>
      </w:r>
      <w:r>
        <w:rPr>
          <w:spacing w:val="-14"/>
          <w:sz w:val="20"/>
        </w:rPr>
        <w:t> </w:t>
      </w:r>
      <w:r>
        <w:rPr>
          <w:sz w:val="20"/>
        </w:rPr>
        <w:t>children.</w:t>
      </w:r>
    </w:p>
    <w:p>
      <w:pPr>
        <w:pStyle w:val="ListParagraph"/>
        <w:numPr>
          <w:ilvl w:val="1"/>
          <w:numId w:val="3"/>
        </w:numPr>
        <w:tabs>
          <w:tab w:pos="632" w:val="left" w:leader="none"/>
        </w:tabs>
        <w:spacing w:line="249" w:lineRule="auto" w:before="179" w:after="0"/>
        <w:ind w:left="631" w:right="651" w:hanging="216"/>
        <w:jc w:val="both"/>
        <w:rPr>
          <w:sz w:val="20"/>
        </w:rPr>
      </w:pPr>
      <w:r>
        <w:rPr>
          <w:sz w:val="20"/>
        </w:rPr>
        <w:t>Demonstrate sensitivity to individual, developmental, and cultural variations in addressing and coping </w:t>
      </w:r>
      <w:r>
        <w:rPr>
          <w:spacing w:val="-3"/>
          <w:sz w:val="20"/>
        </w:rPr>
        <w:t>with </w:t>
      </w:r>
      <w:r>
        <w:rPr>
          <w:sz w:val="20"/>
        </w:rPr>
        <w:t>aging, dying, death, and</w:t>
      </w:r>
      <w:r>
        <w:rPr>
          <w:spacing w:val="2"/>
          <w:sz w:val="20"/>
        </w:rPr>
        <w:t> </w:t>
      </w:r>
      <w:r>
        <w:rPr>
          <w:spacing w:val="-3"/>
          <w:sz w:val="20"/>
        </w:rPr>
        <w:t>grief.</w:t>
      </w:r>
    </w:p>
    <w:p>
      <w:pPr>
        <w:pStyle w:val="ListParagraph"/>
        <w:numPr>
          <w:ilvl w:val="1"/>
          <w:numId w:val="3"/>
        </w:numPr>
        <w:tabs>
          <w:tab w:pos="632" w:val="left" w:leader="none"/>
        </w:tabs>
        <w:spacing w:line="249" w:lineRule="auto" w:before="184" w:after="0"/>
        <w:ind w:left="631" w:right="835" w:hanging="216"/>
        <w:jc w:val="left"/>
        <w:rPr>
          <w:sz w:val="20"/>
        </w:rPr>
      </w:pPr>
      <w:r>
        <w:rPr>
          <w:sz w:val="20"/>
        </w:rPr>
        <w:t>Communicate effectively with those who are dying and grieving, as </w:t>
      </w:r>
      <w:r>
        <w:rPr>
          <w:spacing w:val="-3"/>
          <w:sz w:val="20"/>
        </w:rPr>
        <w:t>well </w:t>
      </w:r>
      <w:r>
        <w:rPr>
          <w:sz w:val="20"/>
        </w:rPr>
        <w:t>as recognize barriers that </w:t>
      </w:r>
      <w:r>
        <w:rPr>
          <w:spacing w:val="-3"/>
          <w:sz w:val="20"/>
        </w:rPr>
        <w:t>can </w:t>
      </w:r>
      <w:r>
        <w:rPr>
          <w:sz w:val="20"/>
        </w:rPr>
        <w:t>impede effective communication </w:t>
      </w:r>
      <w:r>
        <w:rPr>
          <w:spacing w:val="-3"/>
          <w:sz w:val="20"/>
        </w:rPr>
        <w:t>with </w:t>
      </w:r>
      <w:r>
        <w:rPr>
          <w:sz w:val="20"/>
        </w:rPr>
        <w:t>these populations.</w:t>
      </w:r>
    </w:p>
    <w:p>
      <w:pPr>
        <w:pStyle w:val="ListParagraph"/>
        <w:numPr>
          <w:ilvl w:val="1"/>
          <w:numId w:val="3"/>
        </w:numPr>
        <w:tabs>
          <w:tab w:pos="632" w:val="left" w:leader="none"/>
        </w:tabs>
        <w:spacing w:line="249" w:lineRule="auto" w:before="181" w:after="0"/>
        <w:ind w:left="631" w:right="639" w:hanging="216"/>
        <w:jc w:val="left"/>
        <w:rPr>
          <w:sz w:val="20"/>
        </w:rPr>
      </w:pPr>
      <w:r>
        <w:rPr>
          <w:sz w:val="20"/>
        </w:rPr>
        <w:t>Use patient-sensitive methods </w:t>
      </w:r>
      <w:r>
        <w:rPr>
          <w:spacing w:val="-3"/>
          <w:sz w:val="20"/>
        </w:rPr>
        <w:t>of </w:t>
      </w:r>
      <w:r>
        <w:rPr>
          <w:sz w:val="20"/>
        </w:rPr>
        <w:t>palliative care based upon an interdisciplinary</w:t>
      </w:r>
      <w:r>
        <w:rPr>
          <w:spacing w:val="-5"/>
          <w:sz w:val="20"/>
        </w:rPr>
        <w:t> </w:t>
      </w:r>
      <w:r>
        <w:rPr>
          <w:sz w:val="20"/>
        </w:rPr>
        <w:t>perspective.</w:t>
      </w:r>
    </w:p>
    <w:p>
      <w:pPr>
        <w:pStyle w:val="ListParagraph"/>
        <w:numPr>
          <w:ilvl w:val="1"/>
          <w:numId w:val="3"/>
        </w:numPr>
        <w:tabs>
          <w:tab w:pos="632" w:val="left" w:leader="none"/>
        </w:tabs>
        <w:spacing w:line="249" w:lineRule="auto" w:before="184" w:after="0"/>
        <w:ind w:left="631" w:right="984" w:hanging="216"/>
        <w:jc w:val="left"/>
        <w:rPr>
          <w:sz w:val="20"/>
        </w:rPr>
      </w:pPr>
      <w:r>
        <w:rPr>
          <w:sz w:val="20"/>
        </w:rPr>
        <w:t>Describe and apply empirically based methods </w:t>
      </w:r>
      <w:r>
        <w:rPr>
          <w:spacing w:val="-3"/>
          <w:sz w:val="20"/>
        </w:rPr>
        <w:t>of </w:t>
      </w:r>
      <w:r>
        <w:rPr>
          <w:sz w:val="20"/>
        </w:rPr>
        <w:t>therapeutic grief</w:t>
      </w:r>
      <w:r>
        <w:rPr>
          <w:spacing w:val="-9"/>
          <w:sz w:val="20"/>
        </w:rPr>
        <w:t> </w:t>
      </w:r>
      <w:r>
        <w:rPr>
          <w:sz w:val="20"/>
        </w:rPr>
        <w:t>intervention.</w:t>
      </w:r>
    </w:p>
    <w:p>
      <w:pPr>
        <w:pStyle w:val="ListParagraph"/>
        <w:numPr>
          <w:ilvl w:val="1"/>
          <w:numId w:val="3"/>
        </w:numPr>
        <w:tabs>
          <w:tab w:pos="632" w:val="left" w:leader="none"/>
        </w:tabs>
        <w:spacing w:line="249" w:lineRule="auto" w:before="179" w:after="0"/>
        <w:ind w:left="631" w:right="677" w:hanging="216"/>
        <w:jc w:val="left"/>
        <w:rPr>
          <w:sz w:val="20"/>
        </w:rPr>
      </w:pPr>
      <w:r>
        <w:rPr>
          <w:sz w:val="20"/>
        </w:rPr>
        <w:t>Analyze and evaluate legal and ethical principles and dilemmas regarding death, dying, and end-of-life choices.</w:t>
      </w:r>
    </w:p>
    <w:p>
      <w:pPr>
        <w:pStyle w:val="ListParagraph"/>
        <w:numPr>
          <w:ilvl w:val="1"/>
          <w:numId w:val="3"/>
        </w:numPr>
        <w:tabs>
          <w:tab w:pos="632" w:val="left" w:leader="none"/>
        </w:tabs>
        <w:spacing w:line="249" w:lineRule="auto" w:before="185" w:after="0"/>
        <w:ind w:left="631" w:right="634" w:hanging="216"/>
        <w:jc w:val="left"/>
        <w:rPr>
          <w:sz w:val="20"/>
        </w:rPr>
      </w:pPr>
      <w:r>
        <w:rPr>
          <w:sz w:val="20"/>
        </w:rPr>
        <w:t>Work effectively as an interprofessional team member around issues related to aging, dying, and grief by developing and applying the competencies </w:t>
      </w:r>
      <w:r>
        <w:rPr>
          <w:spacing w:val="-3"/>
          <w:sz w:val="20"/>
        </w:rPr>
        <w:t>of </w:t>
      </w:r>
      <w:r>
        <w:rPr>
          <w:sz w:val="20"/>
        </w:rPr>
        <w:t>interprofessional</w:t>
      </w:r>
      <w:r>
        <w:rPr>
          <w:spacing w:val="-2"/>
          <w:sz w:val="20"/>
        </w:rPr>
        <w:t> </w:t>
      </w:r>
      <w:r>
        <w:rPr>
          <w:sz w:val="20"/>
        </w:rPr>
        <w:t>practices.</w:t>
      </w:r>
    </w:p>
    <w:p>
      <w:pPr>
        <w:pStyle w:val="ListParagraph"/>
        <w:numPr>
          <w:ilvl w:val="1"/>
          <w:numId w:val="3"/>
        </w:numPr>
        <w:tabs>
          <w:tab w:pos="632" w:val="left" w:leader="none"/>
        </w:tabs>
        <w:spacing w:line="249" w:lineRule="auto" w:before="180" w:after="0"/>
        <w:ind w:left="631" w:right="721" w:hanging="216"/>
        <w:jc w:val="left"/>
        <w:rPr>
          <w:sz w:val="20"/>
        </w:rPr>
      </w:pPr>
      <w:r>
        <w:rPr>
          <w:sz w:val="20"/>
        </w:rPr>
        <w:t>Evaluate the societal, cultural, and religious/spiritual influences </w:t>
      </w:r>
      <w:r>
        <w:rPr>
          <w:spacing w:val="-3"/>
          <w:sz w:val="20"/>
        </w:rPr>
        <w:t>on </w:t>
      </w:r>
      <w:r>
        <w:rPr>
          <w:sz w:val="20"/>
        </w:rPr>
        <w:t>responses to </w:t>
      </w:r>
      <w:r>
        <w:rPr>
          <w:spacing w:val="-3"/>
          <w:sz w:val="20"/>
        </w:rPr>
        <w:t>death </w:t>
      </w:r>
      <w:r>
        <w:rPr>
          <w:sz w:val="20"/>
        </w:rPr>
        <w:t>and</w:t>
      </w:r>
      <w:r>
        <w:rPr>
          <w:spacing w:val="8"/>
          <w:sz w:val="20"/>
        </w:rPr>
        <w:t> </w:t>
      </w:r>
      <w:r>
        <w:rPr>
          <w:sz w:val="20"/>
        </w:rPr>
        <w:t>dying.</w:t>
      </w:r>
    </w:p>
    <w:p>
      <w:pPr>
        <w:pStyle w:val="ListParagraph"/>
        <w:numPr>
          <w:ilvl w:val="1"/>
          <w:numId w:val="3"/>
        </w:numPr>
        <w:tabs>
          <w:tab w:pos="632" w:val="left" w:leader="none"/>
        </w:tabs>
        <w:spacing w:line="249" w:lineRule="auto" w:before="184" w:after="0"/>
        <w:ind w:left="631" w:right="806" w:hanging="216"/>
        <w:jc w:val="left"/>
        <w:rPr>
          <w:sz w:val="20"/>
        </w:rPr>
      </w:pPr>
      <w:r>
        <w:rPr>
          <w:sz w:val="20"/>
        </w:rPr>
        <w:t>Develop greater self-awareness </w:t>
      </w:r>
      <w:r>
        <w:rPr>
          <w:spacing w:val="-3"/>
          <w:sz w:val="20"/>
        </w:rPr>
        <w:t>of </w:t>
      </w:r>
      <w:r>
        <w:rPr>
          <w:sz w:val="20"/>
        </w:rPr>
        <w:t>and coping skills for one’s </w:t>
      </w:r>
      <w:r>
        <w:rPr>
          <w:spacing w:val="-4"/>
          <w:sz w:val="20"/>
        </w:rPr>
        <w:t>own </w:t>
      </w:r>
      <w:r>
        <w:rPr>
          <w:sz w:val="20"/>
        </w:rPr>
        <w:t>experiences of and attitudes</w:t>
      </w:r>
      <w:r>
        <w:rPr>
          <w:spacing w:val="6"/>
          <w:sz w:val="20"/>
        </w:rPr>
        <w:t> </w:t>
      </w:r>
      <w:r>
        <w:rPr>
          <w:sz w:val="20"/>
        </w:rPr>
        <w:t>toward</w:t>
      </w:r>
    </w:p>
    <w:p>
      <w:pPr>
        <w:spacing w:after="0" w:line="249" w:lineRule="auto"/>
        <w:jc w:val="left"/>
        <w:rPr>
          <w:sz w:val="20"/>
        </w:rPr>
        <w:sectPr>
          <w:type w:val="continuous"/>
          <w:pgSz w:w="12240" w:h="15840"/>
          <w:pgMar w:top="1500" w:bottom="280" w:left="880" w:right="300"/>
          <w:cols w:num="2" w:equalWidth="0">
            <w:col w:w="4993" w:space="493"/>
            <w:col w:w="5574"/>
          </w:cols>
        </w:sectPr>
      </w:pPr>
    </w:p>
    <w:p>
      <w:pPr>
        <w:pStyle w:val="BodyText"/>
        <w:spacing w:before="100"/>
        <w:ind w:left="631"/>
      </w:pPr>
      <w:r>
        <w:rPr/>
        <w:t>aging, death, and grief.</w:t>
      </w:r>
    </w:p>
    <w:p>
      <w:pPr>
        <w:pStyle w:val="ListParagraph"/>
        <w:numPr>
          <w:ilvl w:val="1"/>
          <w:numId w:val="3"/>
        </w:numPr>
        <w:tabs>
          <w:tab w:pos="632" w:val="left" w:leader="none"/>
        </w:tabs>
        <w:spacing w:line="249" w:lineRule="auto" w:before="187" w:after="0"/>
        <w:ind w:left="632" w:right="6504" w:hanging="216"/>
        <w:jc w:val="left"/>
        <w:rPr>
          <w:sz w:val="20"/>
        </w:rPr>
      </w:pPr>
      <w:r>
        <w:rPr>
          <w:sz w:val="20"/>
        </w:rPr>
        <w:t>Apply this training </w:t>
      </w:r>
      <w:r>
        <w:rPr>
          <w:spacing w:val="-4"/>
          <w:sz w:val="20"/>
        </w:rPr>
        <w:t>for </w:t>
      </w:r>
      <w:r>
        <w:rPr>
          <w:sz w:val="20"/>
        </w:rPr>
        <w:t>certification through the Association </w:t>
      </w:r>
      <w:r>
        <w:rPr>
          <w:spacing w:val="-4"/>
          <w:sz w:val="20"/>
        </w:rPr>
        <w:t>for </w:t>
      </w:r>
      <w:r>
        <w:rPr>
          <w:sz w:val="20"/>
        </w:rPr>
        <w:t>Death Education and Counseling (ADEC).</w:t>
      </w:r>
    </w:p>
    <w:p>
      <w:pPr>
        <w:pStyle w:val="Heading6"/>
        <w:spacing w:before="185"/>
        <w:ind w:left="199"/>
      </w:pPr>
      <w:r>
        <w:rPr/>
        <w:t>Program Admission</w:t>
      </w:r>
    </w:p>
    <w:p>
      <w:pPr>
        <w:pStyle w:val="BodyText"/>
        <w:spacing w:line="249" w:lineRule="auto" w:before="187"/>
        <w:ind w:left="199" w:right="6136"/>
      </w:pPr>
      <w:r>
        <w:rPr/>
        <w:t>Candidates for admission must meet the minimum standards of admission established by the Graduate School and provide the requisite credentials. Admission to the certificate program is selective. A U.S. bachelor’s degree or its equivalent from a non-U.S. educational institution is required. No specific undergraduate course of study is required or recommended. The Graduate Record Examination is not required for admission.</w:t>
      </w:r>
    </w:p>
    <w:p>
      <w:pPr>
        <w:pStyle w:val="Heading6"/>
        <w:spacing w:before="189"/>
        <w:ind w:left="199"/>
      </w:pPr>
      <w:r>
        <w:rPr/>
        <w:t>Degree Requirements</w:t>
      </w:r>
    </w:p>
    <w:p>
      <w:pPr>
        <w:pStyle w:val="BodyText"/>
        <w:spacing w:line="249" w:lineRule="auto" w:before="187"/>
        <w:ind w:left="199" w:right="6107"/>
      </w:pPr>
      <w:r>
        <w:rPr/>
        <w:t>Certificate candidates must complete a minimum </w:t>
      </w:r>
      <w:r>
        <w:rPr>
          <w:spacing w:val="-3"/>
        </w:rPr>
        <w:t>of </w:t>
      </w:r>
      <w:r>
        <w:rPr/>
        <w:t>12 credits. Students must maintain a minimum, cumulative 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courses </w:t>
      </w:r>
      <w:r>
        <w:rPr>
          <w:spacing w:val="-3"/>
        </w:rPr>
        <w:t>taken </w:t>
      </w:r>
      <w:r>
        <w:rPr/>
        <w:t>as Pass/Fail (P/F) </w:t>
      </w:r>
      <w:r>
        <w:rPr>
          <w:spacing w:val="-3"/>
        </w:rPr>
        <w:t>or </w:t>
      </w:r>
      <w:r>
        <w:rPr/>
        <w:t>Audit </w:t>
      </w:r>
      <w:r>
        <w:rPr>
          <w:spacing w:val="-3"/>
        </w:rPr>
        <w:t>(AU) </w:t>
      </w:r>
      <w:r>
        <w:rPr/>
        <w:t>do not count toward the certificate. </w:t>
      </w:r>
      <w:r>
        <w:rPr>
          <w:spacing w:val="-2"/>
        </w:rPr>
        <w:t>All </w:t>
      </w:r>
      <w:r>
        <w:rPr/>
        <w:t>requirements </w:t>
      </w:r>
      <w:r>
        <w:rPr>
          <w:spacing w:val="-4"/>
        </w:rPr>
        <w:t>for </w:t>
      </w:r>
      <w:r>
        <w:rPr/>
        <w:t>the certificate must </w:t>
      </w:r>
      <w:r>
        <w:rPr>
          <w:spacing w:val="-3"/>
        </w:rPr>
        <w:t>be </w:t>
      </w:r>
      <w:r>
        <w:rPr/>
        <w:t>completed within three years after admission and all credits </w:t>
      </w:r>
      <w:r>
        <w:rPr>
          <w:spacing w:val="-4"/>
        </w:rPr>
        <w:t>for </w:t>
      </w:r>
      <w:r>
        <w:rPr/>
        <w:t>the certificate must </w:t>
      </w:r>
      <w:r>
        <w:rPr>
          <w:spacing w:val="-3"/>
        </w:rPr>
        <w:t>be </w:t>
      </w:r>
      <w:r>
        <w:rPr/>
        <w:t>completed at the University of Maryland, Baltimore. Complete guideline and requirements </w:t>
      </w:r>
      <w:r>
        <w:rPr>
          <w:spacing w:val="-4"/>
        </w:rPr>
        <w:t>for </w:t>
      </w:r>
      <w:r>
        <w:rPr/>
        <w:t>progression and completion are outlined in the Academic Performance and Progress in a Postbaccalaureate Certificate Program section </w:t>
      </w:r>
      <w:r>
        <w:rPr>
          <w:spacing w:val="-3"/>
        </w:rPr>
        <w:t>of </w:t>
      </w:r>
      <w:r>
        <w:rPr/>
        <w:t>this catalog.</w:t>
      </w:r>
    </w:p>
    <w:p>
      <w:pPr>
        <w:pStyle w:val="Heading5"/>
        <w:spacing w:before="184"/>
      </w:pPr>
      <w:r>
        <w:rPr/>
        <w:t>Required Courses</w:t>
      </w:r>
    </w:p>
    <w:p>
      <w:pPr>
        <w:pStyle w:val="BodyText"/>
        <w:spacing w:line="249" w:lineRule="auto" w:before="186" w:after="10"/>
        <w:ind w:right="6641"/>
      </w:pPr>
      <w:r>
        <w:rPr/>
        <w:t>Completion of these four courses (3 credits each) is required to obtain a certificate in Aging and Applied Thanatology:</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2"/>
        <w:gridCol w:w="2956"/>
        <w:gridCol w:w="711"/>
      </w:tblGrid>
      <w:tr>
        <w:trPr>
          <w:trHeight w:val="231" w:hRule="atLeast"/>
        </w:trPr>
        <w:tc>
          <w:tcPr>
            <w:tcW w:w="1282" w:type="dxa"/>
          </w:tcPr>
          <w:p>
            <w:pPr>
              <w:pStyle w:val="TableParagraph"/>
              <w:spacing w:line="212" w:lineRule="exact" w:before="0"/>
              <w:ind w:right="172"/>
              <w:jc w:val="right"/>
              <w:rPr>
                <w:sz w:val="20"/>
              </w:rPr>
            </w:pPr>
            <w:r>
              <w:rPr>
                <w:sz w:val="20"/>
              </w:rPr>
              <w:t>THAN 609</w:t>
            </w:r>
          </w:p>
        </w:tc>
        <w:tc>
          <w:tcPr>
            <w:tcW w:w="2956" w:type="dxa"/>
          </w:tcPr>
          <w:p>
            <w:pPr>
              <w:pStyle w:val="TableParagraph"/>
              <w:spacing w:line="212" w:lineRule="exact" w:before="0"/>
              <w:ind w:left="175"/>
              <w:rPr>
                <w:sz w:val="20"/>
              </w:rPr>
            </w:pPr>
            <w:r>
              <w:rPr>
                <w:sz w:val="20"/>
              </w:rPr>
              <w:t>PERSPECTIVES IN AGING</w:t>
            </w:r>
          </w:p>
        </w:tc>
        <w:tc>
          <w:tcPr>
            <w:tcW w:w="711" w:type="dxa"/>
          </w:tcPr>
          <w:p>
            <w:pPr>
              <w:pStyle w:val="TableParagraph"/>
              <w:spacing w:line="212" w:lineRule="exact" w:before="0"/>
              <w:ind w:right="196"/>
              <w:jc w:val="right"/>
              <w:rPr>
                <w:sz w:val="20"/>
              </w:rPr>
            </w:pPr>
            <w:r>
              <w:rPr>
                <w:w w:val="100"/>
                <w:sz w:val="20"/>
              </w:rPr>
              <w:t>3</w:t>
            </w:r>
          </w:p>
        </w:tc>
      </w:tr>
      <w:tr>
        <w:trPr>
          <w:trHeight w:val="720" w:hRule="atLeast"/>
        </w:trPr>
        <w:tc>
          <w:tcPr>
            <w:tcW w:w="1282" w:type="dxa"/>
          </w:tcPr>
          <w:p>
            <w:pPr>
              <w:pStyle w:val="TableParagraph"/>
              <w:ind w:right="172"/>
              <w:jc w:val="right"/>
              <w:rPr>
                <w:sz w:val="20"/>
              </w:rPr>
            </w:pPr>
            <w:r>
              <w:rPr>
                <w:sz w:val="20"/>
              </w:rPr>
              <w:t>THAN 604</w:t>
            </w:r>
          </w:p>
        </w:tc>
        <w:tc>
          <w:tcPr>
            <w:tcW w:w="2956" w:type="dxa"/>
          </w:tcPr>
          <w:p>
            <w:pPr>
              <w:pStyle w:val="TableParagraph"/>
              <w:spacing w:line="249" w:lineRule="auto"/>
              <w:ind w:left="175" w:right="716"/>
              <w:rPr>
                <w:sz w:val="20"/>
              </w:rPr>
            </w:pPr>
            <w:r>
              <w:rPr>
                <w:sz w:val="20"/>
              </w:rPr>
              <w:t>DEATH AND DYING: ETHICAL AND LEGAL</w:t>
            </w:r>
          </w:p>
          <w:p>
            <w:pPr>
              <w:pStyle w:val="TableParagraph"/>
              <w:spacing w:line="219" w:lineRule="exact" w:before="2"/>
              <w:ind w:left="175"/>
              <w:rPr>
                <w:sz w:val="20"/>
              </w:rPr>
            </w:pPr>
            <w:r>
              <w:rPr>
                <w:sz w:val="20"/>
              </w:rPr>
              <w:t>CONSIDERATIONS</w:t>
            </w:r>
          </w:p>
        </w:tc>
        <w:tc>
          <w:tcPr>
            <w:tcW w:w="711" w:type="dxa"/>
          </w:tcPr>
          <w:p>
            <w:pPr>
              <w:pStyle w:val="TableParagraph"/>
              <w:ind w:right="196"/>
              <w:jc w:val="right"/>
              <w:rPr>
                <w:sz w:val="20"/>
              </w:rPr>
            </w:pPr>
            <w:r>
              <w:rPr>
                <w:w w:val="100"/>
                <w:sz w:val="20"/>
              </w:rPr>
              <w:t>3</w:t>
            </w:r>
          </w:p>
        </w:tc>
      </w:tr>
      <w:tr>
        <w:trPr>
          <w:trHeight w:val="240" w:hRule="atLeast"/>
        </w:trPr>
        <w:tc>
          <w:tcPr>
            <w:tcW w:w="1282" w:type="dxa"/>
          </w:tcPr>
          <w:p>
            <w:pPr>
              <w:pStyle w:val="TableParagraph"/>
              <w:spacing w:line="219" w:lineRule="exact"/>
              <w:ind w:right="172"/>
              <w:jc w:val="right"/>
              <w:rPr>
                <w:sz w:val="20"/>
              </w:rPr>
            </w:pPr>
            <w:r>
              <w:rPr>
                <w:sz w:val="20"/>
              </w:rPr>
              <w:t>THAN 605</w:t>
            </w:r>
          </w:p>
        </w:tc>
        <w:tc>
          <w:tcPr>
            <w:tcW w:w="2956" w:type="dxa"/>
          </w:tcPr>
          <w:p>
            <w:pPr>
              <w:pStyle w:val="TableParagraph"/>
              <w:spacing w:line="219" w:lineRule="exact"/>
              <w:ind w:left="175"/>
              <w:rPr>
                <w:sz w:val="20"/>
              </w:rPr>
            </w:pPr>
            <w:r>
              <w:rPr>
                <w:sz w:val="20"/>
              </w:rPr>
              <w:t>PALLIATIVE CARE</w:t>
            </w:r>
          </w:p>
        </w:tc>
        <w:tc>
          <w:tcPr>
            <w:tcW w:w="711" w:type="dxa"/>
          </w:tcPr>
          <w:p>
            <w:pPr>
              <w:pStyle w:val="TableParagraph"/>
              <w:spacing w:line="219" w:lineRule="exact"/>
              <w:ind w:right="196"/>
              <w:jc w:val="right"/>
              <w:rPr>
                <w:sz w:val="20"/>
              </w:rPr>
            </w:pPr>
            <w:r>
              <w:rPr>
                <w:w w:val="100"/>
                <w:sz w:val="20"/>
              </w:rPr>
              <w:t>3</w:t>
            </w:r>
          </w:p>
        </w:tc>
      </w:tr>
      <w:tr>
        <w:trPr>
          <w:trHeight w:val="471" w:hRule="atLeast"/>
        </w:trPr>
        <w:tc>
          <w:tcPr>
            <w:tcW w:w="1282" w:type="dxa"/>
          </w:tcPr>
          <w:p>
            <w:pPr>
              <w:pStyle w:val="TableParagraph"/>
              <w:ind w:right="172"/>
              <w:jc w:val="right"/>
              <w:rPr>
                <w:sz w:val="20"/>
              </w:rPr>
            </w:pPr>
            <w:r>
              <w:rPr>
                <w:sz w:val="20"/>
              </w:rPr>
              <w:t>THAN 606</w:t>
            </w:r>
          </w:p>
        </w:tc>
        <w:tc>
          <w:tcPr>
            <w:tcW w:w="2956" w:type="dxa"/>
          </w:tcPr>
          <w:p>
            <w:pPr>
              <w:pStyle w:val="TableParagraph"/>
              <w:ind w:left="175"/>
              <w:rPr>
                <w:sz w:val="20"/>
              </w:rPr>
            </w:pPr>
            <w:r>
              <w:rPr>
                <w:sz w:val="20"/>
              </w:rPr>
              <w:t>CARING FOR THE</w:t>
            </w:r>
          </w:p>
          <w:p>
            <w:pPr>
              <w:pStyle w:val="TableParagraph"/>
              <w:spacing w:line="210" w:lineRule="exact" w:before="10"/>
              <w:ind w:left="175"/>
              <w:rPr>
                <w:sz w:val="20"/>
              </w:rPr>
            </w:pPr>
            <w:r>
              <w:rPr>
                <w:sz w:val="20"/>
              </w:rPr>
              <w:t>BEREAVED</w:t>
            </w:r>
          </w:p>
        </w:tc>
        <w:tc>
          <w:tcPr>
            <w:tcW w:w="711" w:type="dxa"/>
          </w:tcPr>
          <w:p>
            <w:pPr>
              <w:pStyle w:val="TableParagraph"/>
              <w:ind w:right="196"/>
              <w:jc w:val="right"/>
              <w:rPr>
                <w:sz w:val="20"/>
              </w:rPr>
            </w:pPr>
            <w:r>
              <w:rPr>
                <w:w w:val="100"/>
                <w:sz w:val="20"/>
              </w:rPr>
              <w:t>3</w:t>
            </w:r>
          </w:p>
        </w:tc>
      </w:tr>
    </w:tbl>
    <w:p>
      <w:pPr>
        <w:pStyle w:val="BodyText"/>
        <w:spacing w:line="249" w:lineRule="auto" w:before="192"/>
        <w:ind w:right="6391"/>
      </w:pPr>
      <w:r>
        <w:rPr/>
        <w:t>Details are given in the Course Descriptions part of this catalog.</w:t>
      </w:r>
    </w:p>
    <w:p>
      <w:pPr>
        <w:spacing w:after="0" w:line="249" w:lineRule="auto"/>
        <w:sectPr>
          <w:headerReference w:type="default" r:id="rId38"/>
          <w:headerReference w:type="even" r:id="rId39"/>
          <w:pgSz w:w="12240" w:h="15840"/>
          <w:pgMar w:header="746" w:footer="0" w:top="1320" w:bottom="280" w:left="880" w:right="300"/>
          <w:pgNumType w:start="31"/>
        </w:sectPr>
      </w:pPr>
    </w:p>
    <w:p>
      <w:pPr>
        <w:pStyle w:val="Heading3"/>
      </w:pPr>
      <w:bookmarkStart w:name="Biomedical Sciences-Dental School" w:id="17"/>
      <w:bookmarkEnd w:id="17"/>
      <w:r>
        <w:rPr/>
      </w:r>
      <w:bookmarkStart w:name="_bookmark8" w:id="18"/>
      <w:bookmarkEnd w:id="18"/>
      <w:r>
        <w:rPr/>
      </w:r>
      <w:r>
        <w:rPr/>
        <w:t>Biomedical Sciences-Dental School</w:t>
      </w:r>
    </w:p>
    <w:p>
      <w:pPr>
        <w:pStyle w:val="BodyText"/>
        <w:spacing w:line="249" w:lineRule="auto" w:before="190"/>
        <w:ind w:right="492"/>
      </w:pPr>
      <w:hyperlink r:id="rId40">
        <w:r>
          <w:rPr>
            <w:color w:val="0000FF"/>
            <w:u w:val="single" w:color="0000FF"/>
          </w:rPr>
          <w:t>https://www.dental.umaryland.edu/research/graduate-</w:t>
        </w:r>
      </w:hyperlink>
      <w:r>
        <w:rPr>
          <w:color w:val="0000FF"/>
        </w:rPr>
        <w:t> </w:t>
      </w:r>
      <w:hyperlink r:id="rId40">
        <w:r>
          <w:rPr>
            <w:color w:val="0000FF"/>
            <w:u w:val="single" w:color="0000FF"/>
          </w:rPr>
          <w:t>programs/biomedical-phd-program/</w:t>
        </w:r>
      </w:hyperlink>
    </w:p>
    <w:p>
      <w:pPr>
        <w:pStyle w:val="Heading6"/>
        <w:spacing w:before="184"/>
      </w:pPr>
      <w:r>
        <w:rPr/>
        <w:t>Degrees Offered</w:t>
      </w:r>
    </w:p>
    <w:p>
      <w:pPr>
        <w:pStyle w:val="BodyText"/>
        <w:spacing w:before="188"/>
      </w:pPr>
      <w:r>
        <w:rPr/>
        <w:t>BMS-PhD, DDS/PhD, BMS-MS, DDS/MS</w:t>
      </w:r>
    </w:p>
    <w:p>
      <w:pPr>
        <w:pStyle w:val="Heading6"/>
        <w:spacing w:before="192"/>
        <w:ind w:left="199"/>
      </w:pPr>
      <w:r>
        <w:rPr/>
        <w:t>Program Description</w:t>
      </w:r>
    </w:p>
    <w:p>
      <w:pPr>
        <w:pStyle w:val="BodyText"/>
        <w:spacing w:line="249" w:lineRule="auto" w:before="187"/>
        <w:ind w:left="199" w:right="126"/>
      </w:pPr>
      <w:r>
        <w:rPr/>
        <w:t>This program provides specialized training for individuals with a background in the oral health professions through the offerings described below.</w:t>
      </w:r>
    </w:p>
    <w:p>
      <w:pPr>
        <w:pStyle w:val="BodyText"/>
        <w:spacing w:line="249" w:lineRule="auto"/>
        <w:ind w:left="199" w:right="127"/>
      </w:pPr>
      <w:r>
        <w:rPr/>
        <w:t>The Doctor of Philosophy degree (BMS-PhD) offered through this program is designed for dental professionals who wish to develop a career in science. The doctoral program includes directed coursework, seminars, and research experiences. Scholarly activities within the program prepare students to become independent research investigators and competent teachers.</w:t>
      </w:r>
    </w:p>
    <w:p>
      <w:pPr>
        <w:pStyle w:val="BodyText"/>
        <w:spacing w:line="249" w:lineRule="auto" w:before="183"/>
        <w:ind w:left="199" w:right="234"/>
      </w:pPr>
      <w:r>
        <w:rPr/>
        <w:t>The Doctor of Dental Surgery/PhD dual degree is for students who want to pursue their undergraduate dental education with in-depth research training in specific biological science disciplines. The program is based on a seven-year design.</w:t>
      </w:r>
    </w:p>
    <w:p>
      <w:pPr>
        <w:pStyle w:val="BodyText"/>
        <w:spacing w:line="249" w:lineRule="auto" w:before="186"/>
        <w:ind w:left="199" w:right="38"/>
      </w:pPr>
      <w:r>
        <w:rPr/>
        <w:t>In Years 1 and 2, DDS/PhD students complete the dental program’s predoctoral requirements with the addition of graduate-level basic science courses, weekly research seminars, biostatistics, and laboratory rotations. In Years 3 through 5, students complete elective coursework tailored to a selected research area, progressing through doctoral degree candidacy and doctoral dissertation. The student’s dental preclinical skills are reassessed in the spring semester of Year 5, followed by appropriate training before returning to the dental training program in Years 6 and 7. Upon completion of the dental clinical requirements, students receive the DDS and PhD degrees simultaneously.</w:t>
      </w:r>
    </w:p>
    <w:p>
      <w:pPr>
        <w:pStyle w:val="BodyText"/>
        <w:spacing w:line="249" w:lineRule="auto" w:before="186"/>
        <w:ind w:left="199" w:right="86"/>
      </w:pPr>
      <w:r>
        <w:rPr/>
        <w:t>The Master </w:t>
      </w:r>
      <w:r>
        <w:rPr>
          <w:spacing w:val="-3"/>
        </w:rPr>
        <w:t>of </w:t>
      </w:r>
      <w:r>
        <w:rPr/>
        <w:t>Science degree (BMS-MS) is designed to complement training undertaken </w:t>
      </w:r>
      <w:r>
        <w:rPr>
          <w:spacing w:val="-3"/>
        </w:rPr>
        <w:t>by </w:t>
      </w:r>
      <w:r>
        <w:rPr/>
        <w:t>students in the dental school’s certificate programs, i.e., dental postgraduate trainees. This stand-alone degree is offered exclusively to residents in the dental school’s clinical specialty programs who wish to earn the MS degree as part </w:t>
      </w:r>
      <w:r>
        <w:rPr>
          <w:spacing w:val="-3"/>
        </w:rPr>
        <w:t>of </w:t>
      </w:r>
      <w:r>
        <w:rPr/>
        <w:t>their advanced training. The BMS-MS prepares dentists </w:t>
      </w:r>
      <w:r>
        <w:rPr>
          <w:spacing w:val="-4"/>
        </w:rPr>
        <w:t>for </w:t>
      </w:r>
      <w:r>
        <w:rPr/>
        <w:t>careers in dental education and research. Trainees receive graduate training in the basic sciences, oral </w:t>
      </w:r>
      <w:r>
        <w:rPr>
          <w:spacing w:val="-3"/>
        </w:rPr>
        <w:t>biology, </w:t>
      </w:r>
      <w:r>
        <w:rPr/>
        <w:t>and dentistry. Although lecture courses comprise most </w:t>
      </w:r>
      <w:r>
        <w:rPr>
          <w:spacing w:val="-3"/>
        </w:rPr>
        <w:t>of </w:t>
      </w:r>
      <w:r>
        <w:rPr/>
        <w:t>the curriculum, many basic science courses include a laboratory component. A significant portion </w:t>
      </w:r>
      <w:r>
        <w:rPr>
          <w:spacing w:val="-3"/>
        </w:rPr>
        <w:t>of </w:t>
      </w:r>
      <w:r>
        <w:rPr/>
        <w:t>the program </w:t>
      </w:r>
      <w:r>
        <w:rPr>
          <w:spacing w:val="-3"/>
        </w:rPr>
        <w:t>focuses on </w:t>
      </w:r>
      <w:r>
        <w:rPr/>
        <w:t>the design and completion </w:t>
      </w:r>
      <w:r>
        <w:rPr>
          <w:spacing w:val="-3"/>
        </w:rPr>
        <w:t>of </w:t>
      </w:r>
      <w:r>
        <w:rPr/>
        <w:t>a master’s thesis</w:t>
      </w:r>
      <w:r>
        <w:rPr>
          <w:spacing w:val="-4"/>
        </w:rPr>
        <w:t> </w:t>
      </w:r>
      <w:r>
        <w:rPr/>
        <w:t>research</w:t>
      </w:r>
    </w:p>
    <w:p>
      <w:pPr>
        <w:pStyle w:val="BodyText"/>
        <w:spacing w:line="249" w:lineRule="auto" w:before="96"/>
        <w:ind w:right="639"/>
      </w:pPr>
      <w:r>
        <w:rPr/>
        <w:br w:type="column"/>
      </w:r>
      <w:r>
        <w:rPr/>
        <w:t>project — a requirement of the program. Students may select research advisors from several disciplines and topics from many basic science and clinical research areas.</w:t>
      </w:r>
    </w:p>
    <w:p>
      <w:pPr>
        <w:pStyle w:val="BodyText"/>
        <w:spacing w:line="249" w:lineRule="auto" w:before="2"/>
        <w:ind w:right="1145"/>
      </w:pPr>
      <w:r>
        <w:rPr/>
        <w:t>Specialty certificate programs that offer the master’s degree in oral biology include:</w:t>
      </w:r>
    </w:p>
    <w:p>
      <w:pPr>
        <w:pStyle w:val="ListParagraph"/>
        <w:numPr>
          <w:ilvl w:val="1"/>
          <w:numId w:val="3"/>
        </w:numPr>
        <w:tabs>
          <w:tab w:pos="633" w:val="left" w:leader="none"/>
        </w:tabs>
        <w:spacing w:line="240" w:lineRule="auto" w:before="179" w:after="0"/>
        <w:ind w:left="632" w:right="0" w:hanging="216"/>
        <w:jc w:val="left"/>
        <w:rPr>
          <w:sz w:val="20"/>
        </w:rPr>
      </w:pPr>
      <w:r>
        <w:rPr>
          <w:sz w:val="20"/>
        </w:rPr>
        <w:t>Endodontics</w:t>
      </w:r>
    </w:p>
    <w:p>
      <w:pPr>
        <w:pStyle w:val="ListParagraph"/>
        <w:numPr>
          <w:ilvl w:val="1"/>
          <w:numId w:val="3"/>
        </w:numPr>
        <w:tabs>
          <w:tab w:pos="633" w:val="left" w:leader="none"/>
        </w:tabs>
        <w:spacing w:line="240" w:lineRule="auto" w:before="192" w:after="0"/>
        <w:ind w:left="632" w:right="0" w:hanging="216"/>
        <w:jc w:val="left"/>
        <w:rPr>
          <w:sz w:val="20"/>
        </w:rPr>
      </w:pPr>
      <w:r>
        <w:rPr>
          <w:sz w:val="20"/>
        </w:rPr>
        <w:t>Prosthodontics</w:t>
      </w:r>
    </w:p>
    <w:p>
      <w:pPr>
        <w:pStyle w:val="ListParagraph"/>
        <w:numPr>
          <w:ilvl w:val="1"/>
          <w:numId w:val="3"/>
        </w:numPr>
        <w:tabs>
          <w:tab w:pos="633" w:val="left" w:leader="none"/>
        </w:tabs>
        <w:spacing w:line="240" w:lineRule="auto" w:before="188" w:after="0"/>
        <w:ind w:left="632" w:right="0" w:hanging="216"/>
        <w:jc w:val="left"/>
        <w:rPr>
          <w:sz w:val="20"/>
        </w:rPr>
      </w:pPr>
      <w:r>
        <w:rPr>
          <w:sz w:val="20"/>
        </w:rPr>
        <w:t>Orthodontics</w:t>
      </w:r>
    </w:p>
    <w:p>
      <w:pPr>
        <w:pStyle w:val="ListParagraph"/>
        <w:numPr>
          <w:ilvl w:val="1"/>
          <w:numId w:val="3"/>
        </w:numPr>
        <w:tabs>
          <w:tab w:pos="633" w:val="left" w:leader="none"/>
        </w:tabs>
        <w:spacing w:line="240" w:lineRule="auto" w:before="192" w:after="0"/>
        <w:ind w:left="632" w:right="0" w:hanging="216"/>
        <w:jc w:val="left"/>
        <w:rPr>
          <w:sz w:val="20"/>
        </w:rPr>
      </w:pPr>
      <w:r>
        <w:rPr>
          <w:sz w:val="20"/>
        </w:rPr>
        <w:t>Pediatric</w:t>
      </w:r>
      <w:r>
        <w:rPr>
          <w:spacing w:val="-6"/>
          <w:sz w:val="20"/>
        </w:rPr>
        <w:t> </w:t>
      </w:r>
      <w:r>
        <w:rPr>
          <w:sz w:val="20"/>
        </w:rPr>
        <w:t>dentistry</w:t>
      </w:r>
    </w:p>
    <w:p>
      <w:pPr>
        <w:pStyle w:val="ListParagraph"/>
        <w:numPr>
          <w:ilvl w:val="1"/>
          <w:numId w:val="3"/>
        </w:numPr>
        <w:tabs>
          <w:tab w:pos="633" w:val="left" w:leader="none"/>
        </w:tabs>
        <w:spacing w:line="240" w:lineRule="auto" w:before="188" w:after="0"/>
        <w:ind w:left="632" w:right="0" w:hanging="216"/>
        <w:jc w:val="left"/>
        <w:rPr>
          <w:sz w:val="20"/>
        </w:rPr>
      </w:pPr>
      <w:r>
        <w:rPr>
          <w:sz w:val="20"/>
        </w:rPr>
        <w:t>Periodontics</w:t>
      </w:r>
    </w:p>
    <w:p>
      <w:pPr>
        <w:pStyle w:val="ListParagraph"/>
        <w:numPr>
          <w:ilvl w:val="1"/>
          <w:numId w:val="3"/>
        </w:numPr>
        <w:tabs>
          <w:tab w:pos="632" w:val="left" w:leader="none"/>
        </w:tabs>
        <w:spacing w:line="240" w:lineRule="auto" w:before="192" w:after="0"/>
        <w:ind w:left="631" w:right="0" w:hanging="216"/>
        <w:jc w:val="left"/>
        <w:rPr>
          <w:sz w:val="20"/>
        </w:rPr>
      </w:pPr>
      <w:r>
        <w:rPr>
          <w:sz w:val="20"/>
        </w:rPr>
        <w:t>Advanced general dentistry</w:t>
      </w:r>
    </w:p>
    <w:p>
      <w:pPr>
        <w:pStyle w:val="BodyText"/>
        <w:spacing w:line="249" w:lineRule="auto" w:before="188"/>
        <w:ind w:left="199" w:right="624"/>
      </w:pPr>
      <w:r>
        <w:rPr/>
        <w:t>The objective of the DDS/MS dual-degree program is to graduate outstanding individuals </w:t>
      </w:r>
      <w:r>
        <w:rPr>
          <w:spacing w:val="-3"/>
        </w:rPr>
        <w:t>with </w:t>
      </w:r>
      <w:r>
        <w:rPr/>
        <w:t>a combination </w:t>
      </w:r>
      <w:r>
        <w:rPr>
          <w:spacing w:val="-3"/>
        </w:rPr>
        <w:t>of </w:t>
      </w:r>
      <w:r>
        <w:rPr/>
        <w:t>excellence in clinical skills and training in clinical research to prepare them </w:t>
      </w:r>
      <w:r>
        <w:rPr>
          <w:spacing w:val="-4"/>
        </w:rPr>
        <w:t>for </w:t>
      </w:r>
      <w:r>
        <w:rPr/>
        <w:t>an academic career in</w:t>
      </w:r>
      <w:r>
        <w:rPr>
          <w:spacing w:val="3"/>
        </w:rPr>
        <w:t> </w:t>
      </w:r>
      <w:r>
        <w:rPr/>
        <w:t>dentistry.</w:t>
      </w:r>
    </w:p>
    <w:p>
      <w:pPr>
        <w:pStyle w:val="BodyText"/>
        <w:spacing w:line="249" w:lineRule="auto" w:before="3"/>
        <w:ind w:left="199" w:right="624"/>
      </w:pPr>
      <w:r>
        <w:rPr/>
        <w:t>Graduates </w:t>
      </w:r>
      <w:r>
        <w:rPr>
          <w:spacing w:val="-3"/>
        </w:rPr>
        <w:t>of </w:t>
      </w:r>
      <w:r>
        <w:rPr/>
        <w:t>this program </w:t>
      </w:r>
      <w:r>
        <w:rPr>
          <w:spacing w:val="-3"/>
        </w:rPr>
        <w:t>will </w:t>
      </w:r>
      <w:r>
        <w:rPr/>
        <w:t>understand the scientific principles that form the basis </w:t>
      </w:r>
      <w:r>
        <w:rPr>
          <w:spacing w:val="-3"/>
        </w:rPr>
        <w:t>of </w:t>
      </w:r>
      <w:r>
        <w:rPr/>
        <w:t>clinical practice, </w:t>
      </w:r>
      <w:r>
        <w:rPr>
          <w:spacing w:val="-3"/>
        </w:rPr>
        <w:t>be </w:t>
      </w:r>
      <w:r>
        <w:rPr/>
        <w:t>able to identify significant problems in </w:t>
      </w:r>
      <w:r>
        <w:rPr>
          <w:spacing w:val="-3"/>
        </w:rPr>
        <w:t>oral </w:t>
      </w:r>
      <w:r>
        <w:rPr/>
        <w:t>health, and have the requisite tools to develop testable hypotheses that address these problems. Motivated and talented dental students are admitted into the program early during the first </w:t>
      </w:r>
      <w:r>
        <w:rPr>
          <w:spacing w:val="-4"/>
        </w:rPr>
        <w:t>year </w:t>
      </w:r>
      <w:r>
        <w:rPr>
          <w:spacing w:val="-3"/>
        </w:rPr>
        <w:t>of </w:t>
      </w:r>
      <w:r>
        <w:rPr/>
        <w:t>dental </w:t>
      </w:r>
      <w:r>
        <w:rPr>
          <w:spacing w:val="-2"/>
        </w:rPr>
        <w:t>school </w:t>
      </w:r>
      <w:r>
        <w:rPr>
          <w:spacing w:val="-3"/>
        </w:rPr>
        <w:t>with </w:t>
      </w:r>
      <w:r>
        <w:rPr/>
        <w:t>the requirement that they stay for a fifth year to complete the combined program. </w:t>
      </w:r>
      <w:r>
        <w:rPr>
          <w:spacing w:val="-3"/>
        </w:rPr>
        <w:t>UMB </w:t>
      </w:r>
      <w:r>
        <w:rPr/>
        <w:t>master’s program courses will </w:t>
      </w:r>
      <w:r>
        <w:rPr>
          <w:spacing w:val="-3"/>
        </w:rPr>
        <w:t>be </w:t>
      </w:r>
      <w:r>
        <w:rPr/>
        <w:t>substituted </w:t>
      </w:r>
      <w:r>
        <w:rPr>
          <w:spacing w:val="-4"/>
        </w:rPr>
        <w:t>for </w:t>
      </w:r>
      <w:r>
        <w:rPr/>
        <w:t>DDS program courses as appropriate to fulfill didactic requirements </w:t>
      </w:r>
      <w:r>
        <w:rPr>
          <w:spacing w:val="-3"/>
        </w:rPr>
        <w:t>of </w:t>
      </w:r>
      <w:r>
        <w:rPr/>
        <w:t>both programs (DDS and master’s) during the program’s third year. Development </w:t>
      </w:r>
      <w:r>
        <w:rPr>
          <w:spacing w:val="-3"/>
        </w:rPr>
        <w:t>of </w:t>
      </w:r>
      <w:r>
        <w:rPr/>
        <w:t>a research project and formulation </w:t>
      </w:r>
      <w:r>
        <w:rPr>
          <w:spacing w:val="-3"/>
        </w:rPr>
        <w:t>of </w:t>
      </w:r>
      <w:r>
        <w:rPr/>
        <w:t>the mentoring team </w:t>
      </w:r>
      <w:r>
        <w:rPr>
          <w:spacing w:val="-3"/>
        </w:rPr>
        <w:t>will occur </w:t>
      </w:r>
      <w:r>
        <w:rPr/>
        <w:t>during the summer before that year (third-year program and the </w:t>
      </w:r>
      <w:r>
        <w:rPr>
          <w:spacing w:val="-2"/>
        </w:rPr>
        <w:t>DDS </w:t>
      </w:r>
      <w:r>
        <w:rPr/>
        <w:t>junior year). Additional coursework and the research project </w:t>
      </w:r>
      <w:r>
        <w:rPr>
          <w:spacing w:val="-3"/>
        </w:rPr>
        <w:t>or </w:t>
      </w:r>
      <w:r>
        <w:rPr/>
        <w:t>practicum experience will comprise the fourth year to complete the master’s degree</w:t>
      </w:r>
      <w:r>
        <w:rPr>
          <w:spacing w:val="-10"/>
        </w:rPr>
        <w:t> </w:t>
      </w:r>
      <w:r>
        <w:rPr/>
        <w:t>requirements.</w:t>
      </w:r>
    </w:p>
    <w:p>
      <w:pPr>
        <w:pStyle w:val="BodyText"/>
        <w:spacing w:line="249" w:lineRule="auto" w:before="12"/>
        <w:ind w:left="199" w:right="668"/>
      </w:pPr>
      <w:r>
        <w:rPr/>
        <w:t>Elective credits from the DDS curriculum during the program’s fifth year (DDS senior year) are available for students completing their research and will be used toward time to prepare and submit research results. Through this five-year program, graduates will be appropriately prepared clinical research scientists.</w:t>
      </w:r>
    </w:p>
    <w:p>
      <w:pPr>
        <w:pStyle w:val="BodyText"/>
        <w:spacing w:line="249" w:lineRule="auto" w:before="187"/>
        <w:ind w:left="199" w:right="685"/>
      </w:pPr>
      <w:r>
        <w:rPr/>
        <w:t>The PhD, MS, and dual degrees are offered in conjunction with the Graduate School. They are interdepartmental programs.</w:t>
      </w:r>
    </w:p>
    <w:p>
      <w:pPr>
        <w:pStyle w:val="Heading6"/>
        <w:spacing w:before="180"/>
        <w:ind w:left="199"/>
      </w:pPr>
      <w:r>
        <w:rPr/>
        <w:t>Program Admission</w:t>
      </w:r>
    </w:p>
    <w:p>
      <w:pPr>
        <w:pStyle w:val="BodyText"/>
        <w:spacing w:line="249" w:lineRule="auto" w:before="192"/>
        <w:ind w:left="199" w:right="595"/>
      </w:pPr>
      <w:r>
        <w:rPr/>
        <w:t>Applicants to the BMS-PhD program must meet all minimum admission requirements and should have a dental background with courses in biology, physics, chemistry,</w:t>
      </w:r>
    </w:p>
    <w:p>
      <w:pPr>
        <w:spacing w:after="0" w:line="249" w:lineRule="auto"/>
        <w:sectPr>
          <w:pgSz w:w="12240" w:h="15840"/>
          <w:pgMar w:header="746" w:footer="0" w:top="1320" w:bottom="280" w:left="880" w:right="300"/>
          <w:cols w:num="2" w:equalWidth="0">
            <w:col w:w="5000" w:space="485"/>
            <w:col w:w="5575"/>
          </w:cols>
        </w:sectPr>
      </w:pPr>
    </w:p>
    <w:p>
      <w:pPr>
        <w:pStyle w:val="BodyText"/>
        <w:spacing w:line="249" w:lineRule="auto" w:before="100"/>
        <w:ind w:right="181"/>
      </w:pPr>
      <w:r>
        <w:rPr/>
        <w:t>and mathematics through calculus. Applicants should apply directly to the Graduate School online. Non-U.S. residents also must include the results of the Test of English as a Foreign Language (TOEFL) or International English Language Testing System (IELTS) exams. The Graduate School requires a minimum score of 80 on the TOEFL or a minimum score of Band 7 on the IELTS.</w:t>
      </w:r>
    </w:p>
    <w:p>
      <w:pPr>
        <w:pStyle w:val="BodyText"/>
        <w:spacing w:line="249" w:lineRule="auto" w:before="182"/>
        <w:ind w:left="199" w:right="38"/>
      </w:pPr>
      <w:r>
        <w:rPr/>
        <w:t>Information about the BMS-MS program is presented during the July orientation </w:t>
      </w:r>
      <w:r>
        <w:rPr>
          <w:spacing w:val="-4"/>
        </w:rPr>
        <w:t>for </w:t>
      </w:r>
      <w:r>
        <w:rPr/>
        <w:t>new postgraduate dental students. To </w:t>
      </w:r>
      <w:r>
        <w:rPr>
          <w:spacing w:val="-3"/>
        </w:rPr>
        <w:t>be </w:t>
      </w:r>
      <w:r>
        <w:rPr/>
        <w:t>eligible </w:t>
      </w:r>
      <w:r>
        <w:rPr>
          <w:spacing w:val="-4"/>
        </w:rPr>
        <w:t>for </w:t>
      </w:r>
      <w:r>
        <w:rPr/>
        <w:t>the BMS-MS, applicants must have a professional degree in dentistry and acceptance into one </w:t>
      </w:r>
      <w:r>
        <w:rPr>
          <w:spacing w:val="-3"/>
        </w:rPr>
        <w:t>of </w:t>
      </w:r>
      <w:r>
        <w:rPr/>
        <w:t>the specialty certificate programs listed previously. In addition, they must meet the Graduate School’s minimum requirements </w:t>
      </w:r>
      <w:r>
        <w:rPr>
          <w:spacing w:val="-4"/>
        </w:rPr>
        <w:t>for </w:t>
      </w:r>
      <w:r>
        <w:rPr/>
        <w:t>admission. Interested students must complete the Graduate School’s application before Aug. 15. The program coordinator at the </w:t>
      </w:r>
      <w:r>
        <w:rPr>
          <w:spacing w:val="-2"/>
        </w:rPr>
        <w:t>School </w:t>
      </w:r>
      <w:r>
        <w:rPr>
          <w:spacing w:val="-5"/>
        </w:rPr>
        <w:t>of </w:t>
      </w:r>
      <w:r>
        <w:rPr/>
        <w:t>Dentistry will </w:t>
      </w:r>
      <w:r>
        <w:rPr>
          <w:spacing w:val="-2"/>
        </w:rPr>
        <w:t>obtain copies </w:t>
      </w:r>
      <w:r>
        <w:rPr/>
        <w:t>of the necessary documents (e.g., transcripts, TOEFL scores) from the applications to the certificate program and submit them to the Graduate School. The graduate application </w:t>
      </w:r>
      <w:r>
        <w:rPr>
          <w:spacing w:val="-3"/>
        </w:rPr>
        <w:t>fee </w:t>
      </w:r>
      <w:r>
        <w:rPr/>
        <w:t>is </w:t>
      </w:r>
      <w:r>
        <w:rPr>
          <w:spacing w:val="-3"/>
        </w:rPr>
        <w:t>waived </w:t>
      </w:r>
      <w:r>
        <w:rPr/>
        <w:t>for dental residents. Non-U.S. residents also must include their results </w:t>
      </w:r>
      <w:r>
        <w:rPr>
          <w:spacing w:val="-3"/>
        </w:rPr>
        <w:t>of </w:t>
      </w:r>
      <w:r>
        <w:rPr/>
        <w:t>the TOEFL </w:t>
      </w:r>
      <w:r>
        <w:rPr>
          <w:spacing w:val="-5"/>
        </w:rPr>
        <w:t>or </w:t>
      </w:r>
      <w:r>
        <w:rPr/>
        <w:t>IELTS </w:t>
      </w:r>
      <w:r>
        <w:rPr>
          <w:spacing w:val="-3"/>
        </w:rPr>
        <w:t>exams. </w:t>
      </w:r>
      <w:r>
        <w:rPr/>
        <w:t>The Graduate School requires a minimum score </w:t>
      </w:r>
      <w:r>
        <w:rPr>
          <w:spacing w:val="-3"/>
        </w:rPr>
        <w:t>of </w:t>
      </w:r>
      <w:r>
        <w:rPr/>
        <w:t>80 </w:t>
      </w:r>
      <w:r>
        <w:rPr>
          <w:spacing w:val="-3"/>
        </w:rPr>
        <w:t>on </w:t>
      </w:r>
      <w:r>
        <w:rPr/>
        <w:t>the TOEFL </w:t>
      </w:r>
      <w:r>
        <w:rPr>
          <w:spacing w:val="-3"/>
        </w:rPr>
        <w:t>or </w:t>
      </w:r>
      <w:r>
        <w:rPr/>
        <w:t>a minimum score </w:t>
      </w:r>
      <w:r>
        <w:rPr>
          <w:spacing w:val="-3"/>
        </w:rPr>
        <w:t>of </w:t>
      </w:r>
      <w:r>
        <w:rPr/>
        <w:t>Band 7 </w:t>
      </w:r>
      <w:r>
        <w:rPr>
          <w:spacing w:val="-3"/>
        </w:rPr>
        <w:t>on </w:t>
      </w:r>
      <w:r>
        <w:rPr/>
        <w:t>the</w:t>
      </w:r>
      <w:r>
        <w:rPr>
          <w:spacing w:val="1"/>
        </w:rPr>
        <w:t> </w:t>
      </w:r>
      <w:r>
        <w:rPr/>
        <w:t>IELTS.</w:t>
      </w:r>
    </w:p>
    <w:p>
      <w:pPr>
        <w:pStyle w:val="BodyText"/>
        <w:spacing w:line="249" w:lineRule="auto" w:before="195"/>
        <w:ind w:right="36" w:hanging="1"/>
      </w:pPr>
      <w:r>
        <w:rPr/>
        <w:t>Applicants to the dual-degree programs (DDS/PhD; DDS/ MS) must apply and first be accepted to the DDS program. Outstanding students will be considered for admission to the combined degree program after they have been accepted to the dental program.</w:t>
      </w:r>
    </w:p>
    <w:p>
      <w:pPr>
        <w:pStyle w:val="Heading6"/>
        <w:spacing w:before="181"/>
      </w:pPr>
      <w:r>
        <w:rPr/>
        <w:t>Degree Requirements</w:t>
      </w:r>
    </w:p>
    <w:p>
      <w:pPr>
        <w:pStyle w:val="BodyText"/>
        <w:spacing w:line="249" w:lineRule="auto" w:before="193"/>
        <w:ind w:right="81"/>
      </w:pPr>
      <w:r>
        <w:rPr/>
        <w:t>Students seeking a doctoral degree are required to complete a minimum of 30 credits, which includes 4 credits of core coursework before admission to candidacy. PhD candidates must complete an additional 12 credits of doctoral dissertation research. Doctoral students also must show sufficient evidence of high attainment in scholarship and the ability to engage in independent research.</w:t>
      </w:r>
    </w:p>
    <w:p>
      <w:pPr>
        <w:pStyle w:val="BodyText"/>
        <w:spacing w:line="249" w:lineRule="auto" w:before="182"/>
        <w:ind w:right="75"/>
      </w:pPr>
      <w:r>
        <w:rPr/>
        <w:t>Students pursuing a master’s thesis degree must successfully complete a minimum of 30 credits, which includes 4 credits of core courses and 6 credits of master’s thesis research.</w:t>
      </w:r>
    </w:p>
    <w:p>
      <w:pPr>
        <w:pStyle w:val="Heading5"/>
        <w:spacing w:before="180"/>
      </w:pPr>
      <w:r>
        <w:rPr/>
        <w:t>Required courses</w:t>
      </w:r>
    </w:p>
    <w:p>
      <w:pPr>
        <w:pStyle w:val="BodyText"/>
        <w:spacing w:before="3"/>
        <w:ind w:left="0"/>
        <w:rPr>
          <w:sz w:val="9"/>
        </w:rPr>
      </w:pPr>
      <w:r>
        <w:rPr/>
        <w:br w:type="column"/>
      </w:r>
      <w:r>
        <w:rPr>
          <w:sz w:val="9"/>
        </w:rPr>
      </w:r>
    </w:p>
    <w:tbl>
      <w:tblPr>
        <w:tblW w:w="0" w:type="auto"/>
        <w:jc w:val="left"/>
        <w:tblInd w:w="1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1"/>
        <w:gridCol w:w="1218"/>
      </w:tblGrid>
      <w:tr>
        <w:trPr>
          <w:trHeight w:val="463" w:hRule="atLeast"/>
        </w:trPr>
        <w:tc>
          <w:tcPr>
            <w:tcW w:w="2451" w:type="dxa"/>
          </w:tcPr>
          <w:p>
            <w:pPr>
              <w:pStyle w:val="TableParagraph"/>
              <w:spacing w:line="223" w:lineRule="exact" w:before="0"/>
              <w:ind w:left="200"/>
              <w:rPr>
                <w:sz w:val="20"/>
              </w:rPr>
            </w:pPr>
            <w:r>
              <w:rPr>
                <w:sz w:val="20"/>
              </w:rPr>
              <w:t>DISSERTATION</w:t>
            </w:r>
          </w:p>
          <w:p>
            <w:pPr>
              <w:pStyle w:val="TableParagraph"/>
              <w:spacing w:line="210" w:lineRule="exact" w:before="10"/>
              <w:ind w:left="200"/>
              <w:rPr>
                <w:sz w:val="20"/>
              </w:rPr>
            </w:pPr>
            <w:r>
              <w:rPr>
                <w:sz w:val="20"/>
              </w:rPr>
              <w:t>RESEARCH</w:t>
            </w:r>
          </w:p>
        </w:tc>
        <w:tc>
          <w:tcPr>
            <w:tcW w:w="1218" w:type="dxa"/>
          </w:tcPr>
          <w:p>
            <w:pPr>
              <w:pStyle w:val="TableParagraph"/>
              <w:spacing w:line="223" w:lineRule="exact" w:before="0"/>
              <w:ind w:right="198"/>
              <w:jc w:val="right"/>
              <w:rPr>
                <w:sz w:val="20"/>
              </w:rPr>
            </w:pPr>
            <w:r>
              <w:rPr>
                <w:sz w:val="20"/>
              </w:rPr>
              <w:t>12</w:t>
            </w:r>
          </w:p>
        </w:tc>
      </w:tr>
    </w:tbl>
    <w:p>
      <w:pPr>
        <w:spacing w:before="67"/>
        <w:ind w:left="200" w:right="0" w:firstLine="0"/>
        <w:jc w:val="left"/>
        <w:rPr>
          <w:i/>
          <w:sz w:val="20"/>
        </w:rPr>
      </w:pPr>
      <w:r>
        <w:rPr>
          <w:i/>
          <w:sz w:val="20"/>
        </w:rPr>
        <w:t>DBMS 799: Master’s</w:t>
      </w:r>
    </w:p>
    <w:p>
      <w:pPr>
        <w:spacing w:before="72"/>
        <w:ind w:left="200" w:right="0" w:firstLine="0"/>
        <w:jc w:val="left"/>
        <w:rPr>
          <w:i/>
          <w:sz w:val="20"/>
        </w:rPr>
      </w:pPr>
      <w:r>
        <w:rPr>
          <w:i/>
          <w:sz w:val="20"/>
        </w:rPr>
        <w:t>DBMS 899: PhD</w:t>
      </w:r>
    </w:p>
    <w:p>
      <w:pPr>
        <w:pStyle w:val="Heading5"/>
        <w:spacing w:before="179"/>
      </w:pPr>
      <w:r>
        <w:rPr/>
        <w:t>Available Electives</w:t>
      </w:r>
    </w:p>
    <w:p>
      <w:pPr>
        <w:pStyle w:val="BodyText"/>
        <w:spacing w:line="249" w:lineRule="auto" w:before="190"/>
        <w:ind w:right="1043"/>
      </w:pPr>
      <w:r>
        <w:rPr/>
        <w:t>See DBMS and other GPLS </w:t>
      </w:r>
      <w:hyperlink w:history="true" w:anchor="_bookmark54">
        <w:r>
          <w:rPr/>
          <w:t>114</w:t>
        </w:r>
      </w:hyperlink>
      <w:r>
        <w:rPr/>
        <w:t>courses in the Course Descriptions part of this catalog.</w:t>
      </w:r>
    </w:p>
    <w:p>
      <w:pPr>
        <w:pStyle w:val="BodyText"/>
        <w:spacing w:line="249" w:lineRule="auto" w:before="179"/>
        <w:ind w:right="905"/>
      </w:pPr>
      <w:r>
        <w:rPr/>
        <w:t>Details are given in the Course Descriptions part of this catalog.</w:t>
      </w:r>
    </w:p>
    <w:p>
      <w:pPr>
        <w:spacing w:after="0" w:line="249" w:lineRule="auto"/>
        <w:sectPr>
          <w:pgSz w:w="12240" w:h="15840"/>
          <w:pgMar w:header="746" w:footer="0" w:top="1320" w:bottom="280" w:left="880" w:right="300"/>
          <w:cols w:num="2" w:equalWidth="0">
            <w:col w:w="4972" w:space="514"/>
            <w:col w:w="5574"/>
          </w:cols>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9"/>
        <w:gridCol w:w="2609"/>
        <w:gridCol w:w="1048"/>
      </w:tblGrid>
      <w:tr>
        <w:trPr>
          <w:trHeight w:val="471" w:hRule="atLeast"/>
        </w:trPr>
        <w:tc>
          <w:tcPr>
            <w:tcW w:w="1299" w:type="dxa"/>
          </w:tcPr>
          <w:p>
            <w:pPr>
              <w:pStyle w:val="TableParagraph"/>
              <w:spacing w:line="223" w:lineRule="exact" w:before="0"/>
              <w:ind w:left="179" w:right="162"/>
              <w:jc w:val="center"/>
              <w:rPr>
                <w:sz w:val="20"/>
              </w:rPr>
            </w:pPr>
            <w:r>
              <w:rPr>
                <w:sz w:val="20"/>
              </w:rPr>
              <w:t>DBMS 605</w:t>
            </w:r>
          </w:p>
        </w:tc>
        <w:tc>
          <w:tcPr>
            <w:tcW w:w="2609" w:type="dxa"/>
          </w:tcPr>
          <w:p>
            <w:pPr>
              <w:pStyle w:val="TableParagraph"/>
              <w:spacing w:line="223" w:lineRule="exact" w:before="0"/>
              <w:ind w:left="182"/>
              <w:rPr>
                <w:sz w:val="20"/>
              </w:rPr>
            </w:pPr>
            <w:r>
              <w:rPr>
                <w:sz w:val="20"/>
              </w:rPr>
              <w:t>SCIENTIFIC METHOD,</w:t>
            </w:r>
          </w:p>
          <w:p>
            <w:pPr>
              <w:pStyle w:val="TableParagraph"/>
              <w:spacing w:line="219" w:lineRule="exact" w:before="10"/>
              <w:ind w:left="182"/>
              <w:rPr>
                <w:sz w:val="20"/>
              </w:rPr>
            </w:pPr>
            <w:r>
              <w:rPr>
                <w:sz w:val="20"/>
              </w:rPr>
              <w:t>WRITING, AND ETHICS</w:t>
            </w:r>
          </w:p>
        </w:tc>
        <w:tc>
          <w:tcPr>
            <w:tcW w:w="1048" w:type="dxa"/>
          </w:tcPr>
          <w:p>
            <w:pPr>
              <w:pStyle w:val="TableParagraph"/>
              <w:spacing w:line="223" w:lineRule="exact" w:before="0"/>
              <w:ind w:right="203"/>
              <w:jc w:val="right"/>
              <w:rPr>
                <w:sz w:val="20"/>
              </w:rPr>
            </w:pPr>
            <w:r>
              <w:rPr>
                <w:w w:val="100"/>
                <w:sz w:val="20"/>
              </w:rPr>
              <w:t>1</w:t>
            </w:r>
          </w:p>
        </w:tc>
      </w:tr>
      <w:tr>
        <w:trPr>
          <w:trHeight w:val="240" w:hRule="atLeast"/>
        </w:trPr>
        <w:tc>
          <w:tcPr>
            <w:tcW w:w="1299" w:type="dxa"/>
          </w:tcPr>
          <w:p>
            <w:pPr>
              <w:pStyle w:val="TableParagraph"/>
              <w:spacing w:line="219" w:lineRule="exact"/>
              <w:ind w:left="179" w:right="162"/>
              <w:jc w:val="center"/>
              <w:rPr>
                <w:sz w:val="20"/>
              </w:rPr>
            </w:pPr>
            <w:r>
              <w:rPr>
                <w:sz w:val="20"/>
              </w:rPr>
              <w:t>DBMS 638</w:t>
            </w:r>
          </w:p>
        </w:tc>
        <w:tc>
          <w:tcPr>
            <w:tcW w:w="2609" w:type="dxa"/>
          </w:tcPr>
          <w:p>
            <w:pPr>
              <w:pStyle w:val="TableParagraph"/>
              <w:spacing w:line="219" w:lineRule="exact"/>
              <w:ind w:left="182"/>
              <w:rPr>
                <w:sz w:val="20"/>
              </w:rPr>
            </w:pPr>
            <w:r>
              <w:rPr>
                <w:sz w:val="20"/>
              </w:rPr>
              <w:t>BIOSTATISTICS</w:t>
            </w:r>
          </w:p>
        </w:tc>
        <w:tc>
          <w:tcPr>
            <w:tcW w:w="1048" w:type="dxa"/>
          </w:tcPr>
          <w:p>
            <w:pPr>
              <w:pStyle w:val="TableParagraph"/>
              <w:spacing w:line="219" w:lineRule="exact"/>
              <w:ind w:right="198"/>
              <w:jc w:val="right"/>
              <w:rPr>
                <w:sz w:val="20"/>
              </w:rPr>
            </w:pPr>
            <w:r>
              <w:rPr>
                <w:sz w:val="20"/>
              </w:rPr>
              <w:t>1 TO 3</w:t>
            </w:r>
          </w:p>
        </w:tc>
      </w:tr>
      <w:tr>
        <w:trPr>
          <w:trHeight w:val="480" w:hRule="atLeast"/>
        </w:trPr>
        <w:tc>
          <w:tcPr>
            <w:tcW w:w="1299" w:type="dxa"/>
          </w:tcPr>
          <w:p>
            <w:pPr>
              <w:pStyle w:val="TableParagraph"/>
              <w:ind w:left="179" w:right="162"/>
              <w:jc w:val="center"/>
              <w:rPr>
                <w:sz w:val="20"/>
              </w:rPr>
            </w:pPr>
            <w:r>
              <w:rPr>
                <w:sz w:val="20"/>
              </w:rPr>
              <w:t>DBMS 799</w:t>
            </w:r>
          </w:p>
        </w:tc>
        <w:tc>
          <w:tcPr>
            <w:tcW w:w="2609" w:type="dxa"/>
          </w:tcPr>
          <w:p>
            <w:pPr>
              <w:pStyle w:val="TableParagraph"/>
              <w:ind w:left="182"/>
              <w:rPr>
                <w:sz w:val="20"/>
              </w:rPr>
            </w:pPr>
            <w:r>
              <w:rPr>
                <w:sz w:val="20"/>
              </w:rPr>
              <w:t>MASTER'S THESIS</w:t>
            </w:r>
          </w:p>
          <w:p>
            <w:pPr>
              <w:pStyle w:val="TableParagraph"/>
              <w:spacing w:line="219" w:lineRule="exact" w:before="10"/>
              <w:ind w:left="182"/>
              <w:rPr>
                <w:sz w:val="20"/>
              </w:rPr>
            </w:pPr>
            <w:r>
              <w:rPr>
                <w:sz w:val="20"/>
              </w:rPr>
              <w:t>RESEARCH</w:t>
            </w:r>
          </w:p>
        </w:tc>
        <w:tc>
          <w:tcPr>
            <w:tcW w:w="1048" w:type="dxa"/>
          </w:tcPr>
          <w:p>
            <w:pPr>
              <w:pStyle w:val="TableParagraph"/>
              <w:ind w:left="424"/>
              <w:rPr>
                <w:sz w:val="20"/>
              </w:rPr>
            </w:pPr>
            <w:r>
              <w:rPr>
                <w:sz w:val="20"/>
              </w:rPr>
              <w:t>1</w:t>
            </w:r>
            <w:r>
              <w:rPr>
                <w:spacing w:val="5"/>
                <w:sz w:val="20"/>
              </w:rPr>
              <w:t> </w:t>
            </w:r>
            <w:r>
              <w:rPr>
                <w:sz w:val="20"/>
              </w:rPr>
              <w:t>TO</w:t>
            </w:r>
          </w:p>
          <w:p>
            <w:pPr>
              <w:pStyle w:val="TableParagraph"/>
              <w:spacing w:line="219" w:lineRule="exact" w:before="10"/>
              <w:ind w:left="640"/>
              <w:rPr>
                <w:sz w:val="20"/>
              </w:rPr>
            </w:pPr>
            <w:r>
              <w:rPr>
                <w:sz w:val="20"/>
              </w:rPr>
              <w:t>12</w:t>
            </w:r>
          </w:p>
        </w:tc>
      </w:tr>
      <w:tr>
        <w:trPr>
          <w:trHeight w:val="231" w:hRule="atLeast"/>
        </w:trPr>
        <w:tc>
          <w:tcPr>
            <w:tcW w:w="1299" w:type="dxa"/>
          </w:tcPr>
          <w:p>
            <w:pPr>
              <w:pStyle w:val="TableParagraph"/>
              <w:spacing w:line="210" w:lineRule="exact"/>
              <w:ind w:left="179" w:right="162"/>
              <w:jc w:val="center"/>
              <w:rPr>
                <w:sz w:val="20"/>
              </w:rPr>
            </w:pPr>
            <w:r>
              <w:rPr>
                <w:sz w:val="20"/>
              </w:rPr>
              <w:t>DBMS 899</w:t>
            </w:r>
          </w:p>
        </w:tc>
        <w:tc>
          <w:tcPr>
            <w:tcW w:w="2609" w:type="dxa"/>
          </w:tcPr>
          <w:p>
            <w:pPr>
              <w:pStyle w:val="TableParagraph"/>
              <w:spacing w:line="210" w:lineRule="exact"/>
              <w:ind w:left="182"/>
              <w:rPr>
                <w:sz w:val="20"/>
              </w:rPr>
            </w:pPr>
            <w:r>
              <w:rPr>
                <w:sz w:val="20"/>
              </w:rPr>
              <w:t>DOCTORAL</w:t>
            </w:r>
          </w:p>
        </w:tc>
        <w:tc>
          <w:tcPr>
            <w:tcW w:w="1048" w:type="dxa"/>
          </w:tcPr>
          <w:p>
            <w:pPr>
              <w:pStyle w:val="TableParagraph"/>
              <w:spacing w:line="210" w:lineRule="exact"/>
              <w:ind w:right="197"/>
              <w:jc w:val="right"/>
              <w:rPr>
                <w:sz w:val="20"/>
              </w:rPr>
            </w:pPr>
            <w:r>
              <w:rPr>
                <w:sz w:val="20"/>
              </w:rPr>
              <w:t>1 TO</w:t>
            </w:r>
          </w:p>
        </w:tc>
      </w:tr>
    </w:tbl>
    <w:p>
      <w:pPr>
        <w:spacing w:after="0" w:line="210" w:lineRule="exact"/>
        <w:jc w:val="right"/>
        <w:rPr>
          <w:sz w:val="20"/>
        </w:rPr>
        <w:sectPr>
          <w:type w:val="continuous"/>
          <w:pgSz w:w="12240" w:h="15840"/>
          <w:pgMar w:top="1500" w:bottom="280" w:left="880" w:right="300"/>
        </w:sectPr>
      </w:pPr>
    </w:p>
    <w:p>
      <w:pPr>
        <w:pStyle w:val="Heading3"/>
      </w:pPr>
      <w:bookmarkStart w:name="Clinical Aspects of Hospice and Palliati" w:id="19"/>
      <w:bookmarkEnd w:id="19"/>
      <w:r>
        <w:rPr/>
      </w:r>
      <w:bookmarkStart w:name="_bookmark9" w:id="20"/>
      <w:bookmarkEnd w:id="20"/>
      <w:r>
        <w:rPr/>
      </w:r>
      <w:r>
        <w:rPr/>
        <w:t>Clinical Aspects of Hospice and Palliative Care</w:t>
      </w:r>
    </w:p>
    <w:p>
      <w:pPr>
        <w:pStyle w:val="BodyText"/>
        <w:spacing w:line="249" w:lineRule="auto" w:before="190"/>
        <w:ind w:left="199" w:right="69"/>
      </w:pPr>
      <w:r>
        <w:rPr>
          <w:color w:val="1155CC"/>
        </w:rPr>
        <w:t>https://</w:t>
      </w:r>
      <w:hyperlink r:id="rId41">
        <w:r>
          <w:rPr>
            <w:color w:val="1155CC"/>
          </w:rPr>
          <w:t>www.graduate.umaryland.edu/palliative/About-the-</w:t>
        </w:r>
      </w:hyperlink>
      <w:r>
        <w:rPr>
          <w:color w:val="1155CC"/>
        </w:rPr>
        <w:t> Program/</w:t>
      </w:r>
    </w:p>
    <w:p>
      <w:pPr>
        <w:spacing w:line="439" w:lineRule="auto" w:before="179"/>
        <w:ind w:left="199" w:right="2447"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right="180"/>
      </w:pPr>
      <w:r>
        <w:rPr/>
        <w:t>Clinical Aspects of Hospice and Palliative Care is a 12- credit, online postbaccalaureate graduate certificate program designed to provide learners with experiences designed to foster a deeper knowledge and understanding of the numerous clinical issues in advanced illness.</w:t>
      </w:r>
    </w:p>
    <w:p>
      <w:pPr>
        <w:pStyle w:val="BodyText"/>
        <w:spacing w:line="249" w:lineRule="auto" w:before="3"/>
        <w:ind w:left="199" w:right="199"/>
      </w:pPr>
      <w:r>
        <w:rPr/>
        <w:t>Specifically, participants learn to perform an advanced assessment of a pain complaint (history, physical exam, diagnostics/imaging as necessary) and to demonstrate advanced and in-depth knowledge of the pathogenesis of pain. Participants also acquire in-depth knowledge of evidence-based non-pharmacologic management of pain, and evidence-based advanced pharmacology (including drug therapy selection, dosing, monitoring, and titration), designed to meet patient-centric therapeutic goals.</w:t>
      </w:r>
    </w:p>
    <w:p>
      <w:pPr>
        <w:pStyle w:val="BodyText"/>
        <w:spacing w:line="249" w:lineRule="auto" w:before="6"/>
        <w:ind w:right="19"/>
      </w:pPr>
      <w:r>
        <w:rPr/>
        <w:t>Participants also develop advanced skills used to manage special populations with advanced illness including pediatrics, geriatrics, palliative care emergencies, advanced assessment, and management skills to facilitate withdrawal of life-sustaining treatments, and manage the days before death.</w:t>
      </w:r>
    </w:p>
    <w:p>
      <w:pPr>
        <w:pStyle w:val="BodyText"/>
        <w:spacing w:line="249" w:lineRule="auto" w:before="182"/>
        <w:ind w:right="64"/>
      </w:pPr>
      <w:r>
        <w:rPr/>
        <w:t>Clinical Aspects of Hospice and Palliative Care is also a concentration of study within the Master of Science in Palliative Care (PALC-MS) program. Credits earned in the stand-alone certificate program may be applied toward the PALC-MS degree requirements.</w:t>
      </w:r>
    </w:p>
    <w:p>
      <w:pPr>
        <w:pStyle w:val="Heading6"/>
        <w:spacing w:before="186"/>
      </w:pPr>
      <w:r>
        <w:rPr/>
        <w:t>Program Admission</w:t>
      </w:r>
    </w:p>
    <w:p>
      <w:pPr>
        <w:pStyle w:val="BodyText"/>
        <w:spacing w:line="249" w:lineRule="auto" w:before="188"/>
        <w:ind w:right="136"/>
      </w:pPr>
      <w:r>
        <w:rPr/>
        <w:t>The target learner audience includes practitioners who are working in hospice and palliative care or aspire to do so, including physicians, advance practice nurses, nurses, pharmacists, and physician assistants.</w:t>
      </w:r>
    </w:p>
    <w:p>
      <w:pPr>
        <w:pStyle w:val="BodyText"/>
        <w:spacing w:line="249" w:lineRule="auto"/>
        <w:ind w:right="63"/>
      </w:pPr>
      <w:r>
        <w:rPr/>
        <w:t>Candidates for admission must meet the minimum 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 Graduate Record Examinations are not required for admission.</w:t>
      </w:r>
    </w:p>
    <w:p>
      <w:pPr>
        <w:pStyle w:val="Heading6"/>
        <w:spacing w:before="96"/>
        <w:ind w:left="199"/>
      </w:pPr>
      <w:r>
        <w:rPr>
          <w:b w:val="0"/>
        </w:rPr>
        <w:br w:type="column"/>
      </w:r>
      <w:r>
        <w:rPr/>
        <w:t>Degree Requirements</w:t>
      </w:r>
    </w:p>
    <w:p>
      <w:pPr>
        <w:pStyle w:val="BodyText"/>
        <w:spacing w:line="249" w:lineRule="auto" w:before="188"/>
        <w:ind w:left="199" w:right="621"/>
      </w:pPr>
      <w:r>
        <w:rPr/>
        <w:t>Certificate candidates must complete a minimum </w:t>
      </w:r>
      <w:r>
        <w:rPr>
          <w:spacing w:val="-3"/>
        </w:rPr>
        <w:t>of </w:t>
      </w:r>
      <w:r>
        <w:rPr/>
        <w:t>12 credits. Students must maintain a minimum, cumulative 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courses </w:t>
      </w:r>
      <w:r>
        <w:rPr>
          <w:spacing w:val="-3"/>
        </w:rPr>
        <w:t>taken </w:t>
      </w:r>
      <w:r>
        <w:rPr/>
        <w:t>as Pass/Fail (P/F) </w:t>
      </w:r>
      <w:r>
        <w:rPr>
          <w:spacing w:val="-3"/>
        </w:rPr>
        <w:t>or </w:t>
      </w:r>
      <w:r>
        <w:rPr/>
        <w:t>Audit </w:t>
      </w:r>
      <w:r>
        <w:rPr>
          <w:spacing w:val="-3"/>
        </w:rPr>
        <w:t>(AU) </w:t>
      </w:r>
      <w:r>
        <w:rPr/>
        <w:t>do not count toward the certificate. </w:t>
      </w:r>
      <w:r>
        <w:rPr>
          <w:spacing w:val="-2"/>
        </w:rPr>
        <w:t>All </w:t>
      </w:r>
      <w:r>
        <w:rPr/>
        <w:t>requirements </w:t>
      </w:r>
      <w:r>
        <w:rPr>
          <w:spacing w:val="-4"/>
        </w:rPr>
        <w:t>for </w:t>
      </w:r>
      <w:r>
        <w:rPr/>
        <w:t>the certificate must </w:t>
      </w:r>
      <w:r>
        <w:rPr>
          <w:spacing w:val="-3"/>
        </w:rPr>
        <w:t>be </w:t>
      </w:r>
      <w:r>
        <w:rPr/>
        <w:t>completed within three years after admission and all credits </w:t>
      </w:r>
      <w:r>
        <w:rPr>
          <w:spacing w:val="-4"/>
        </w:rPr>
        <w:t>for </w:t>
      </w:r>
      <w:r>
        <w:rPr/>
        <w:t>the certificate must </w:t>
      </w:r>
      <w:r>
        <w:rPr>
          <w:spacing w:val="-3"/>
        </w:rPr>
        <w:t>be </w:t>
      </w:r>
      <w:r>
        <w:rPr/>
        <w:t>completed at the University of Maryland, Baltimore. Complete guideline and requirements </w:t>
      </w:r>
      <w:r>
        <w:rPr>
          <w:spacing w:val="-4"/>
        </w:rPr>
        <w:t>for </w:t>
      </w:r>
      <w:r>
        <w:rPr/>
        <w:t>progression and completion are outlined in the Academic Performance and Progress in a Postbaccalaureate Certificate Program section </w:t>
      </w:r>
      <w:r>
        <w:rPr>
          <w:spacing w:val="-3"/>
        </w:rPr>
        <w:t>of </w:t>
      </w:r>
      <w:r>
        <w:rPr/>
        <w:t>this catalog.</w:t>
      </w:r>
    </w:p>
    <w:p>
      <w:pPr>
        <w:pStyle w:val="Heading5"/>
        <w:spacing w:before="186"/>
        <w:ind w:left="199"/>
      </w:pPr>
      <w:r>
        <w:rPr/>
        <w:t>Required Courses</w:t>
      </w: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3"/>
        <w:gridCol w:w="2864"/>
        <w:gridCol w:w="814"/>
      </w:tblGrid>
      <w:tr>
        <w:trPr>
          <w:trHeight w:val="711" w:hRule="atLeast"/>
        </w:trPr>
        <w:tc>
          <w:tcPr>
            <w:tcW w:w="1273" w:type="dxa"/>
          </w:tcPr>
          <w:p>
            <w:pPr>
              <w:pStyle w:val="TableParagraph"/>
              <w:spacing w:line="223" w:lineRule="exact" w:before="0"/>
              <w:ind w:left="200"/>
              <w:rPr>
                <w:sz w:val="20"/>
              </w:rPr>
            </w:pPr>
            <w:r>
              <w:rPr>
                <w:sz w:val="20"/>
              </w:rPr>
              <w:t>PALC 615</w:t>
            </w:r>
          </w:p>
        </w:tc>
        <w:tc>
          <w:tcPr>
            <w:tcW w:w="2864" w:type="dxa"/>
          </w:tcPr>
          <w:p>
            <w:pPr>
              <w:pStyle w:val="TableParagraph"/>
              <w:spacing w:line="249" w:lineRule="auto" w:before="0"/>
              <w:ind w:left="208" w:right="708"/>
              <w:rPr>
                <w:sz w:val="20"/>
              </w:rPr>
            </w:pPr>
            <w:r>
              <w:rPr>
                <w:sz w:val="20"/>
              </w:rPr>
              <w:t>ADVANCED PAIN MANAGEMENT AND</w:t>
            </w:r>
          </w:p>
          <w:p>
            <w:pPr>
              <w:pStyle w:val="TableParagraph"/>
              <w:spacing w:line="219" w:lineRule="exact" w:before="0"/>
              <w:ind w:left="208"/>
              <w:rPr>
                <w:sz w:val="20"/>
              </w:rPr>
            </w:pPr>
            <w:r>
              <w:rPr>
                <w:sz w:val="20"/>
              </w:rPr>
              <w:t>OPIOID DOSING</w:t>
            </w:r>
          </w:p>
        </w:tc>
        <w:tc>
          <w:tcPr>
            <w:tcW w:w="814" w:type="dxa"/>
          </w:tcPr>
          <w:p>
            <w:pPr>
              <w:pStyle w:val="TableParagraph"/>
              <w:spacing w:line="223" w:lineRule="exact" w:before="0"/>
              <w:ind w:right="198"/>
              <w:jc w:val="right"/>
              <w:rPr>
                <w:sz w:val="20"/>
              </w:rPr>
            </w:pPr>
            <w:r>
              <w:rPr>
                <w:w w:val="100"/>
                <w:sz w:val="20"/>
              </w:rPr>
              <w:t>3</w:t>
            </w:r>
          </w:p>
        </w:tc>
      </w:tr>
      <w:tr>
        <w:trPr>
          <w:trHeight w:val="720" w:hRule="atLeast"/>
        </w:trPr>
        <w:tc>
          <w:tcPr>
            <w:tcW w:w="1273" w:type="dxa"/>
          </w:tcPr>
          <w:p>
            <w:pPr>
              <w:pStyle w:val="TableParagraph"/>
              <w:ind w:left="200"/>
              <w:rPr>
                <w:sz w:val="20"/>
              </w:rPr>
            </w:pPr>
            <w:r>
              <w:rPr>
                <w:sz w:val="20"/>
              </w:rPr>
              <w:t>PALC 611</w:t>
            </w:r>
          </w:p>
        </w:tc>
        <w:tc>
          <w:tcPr>
            <w:tcW w:w="2864" w:type="dxa"/>
          </w:tcPr>
          <w:p>
            <w:pPr>
              <w:pStyle w:val="TableParagraph"/>
              <w:spacing w:line="249" w:lineRule="auto"/>
              <w:ind w:left="208" w:right="497"/>
              <w:rPr>
                <w:sz w:val="20"/>
              </w:rPr>
            </w:pPr>
            <w:r>
              <w:rPr>
                <w:sz w:val="20"/>
              </w:rPr>
              <w:t>ADVANCED NON-PAIN SYMPTOM</w:t>
            </w:r>
          </w:p>
          <w:p>
            <w:pPr>
              <w:pStyle w:val="TableParagraph"/>
              <w:spacing w:line="219" w:lineRule="exact" w:before="2"/>
              <w:ind w:left="208"/>
              <w:rPr>
                <w:sz w:val="20"/>
              </w:rPr>
            </w:pPr>
            <w:r>
              <w:rPr>
                <w:sz w:val="20"/>
              </w:rPr>
              <w:t>MANAGEMENT</w:t>
            </w:r>
          </w:p>
        </w:tc>
        <w:tc>
          <w:tcPr>
            <w:tcW w:w="814" w:type="dxa"/>
          </w:tcPr>
          <w:p>
            <w:pPr>
              <w:pStyle w:val="TableParagraph"/>
              <w:ind w:right="198"/>
              <w:jc w:val="right"/>
              <w:rPr>
                <w:sz w:val="20"/>
              </w:rPr>
            </w:pPr>
            <w:r>
              <w:rPr>
                <w:w w:val="100"/>
                <w:sz w:val="20"/>
              </w:rPr>
              <w:t>3</w:t>
            </w:r>
          </w:p>
        </w:tc>
      </w:tr>
      <w:tr>
        <w:trPr>
          <w:trHeight w:val="480" w:hRule="atLeast"/>
        </w:trPr>
        <w:tc>
          <w:tcPr>
            <w:tcW w:w="1273" w:type="dxa"/>
          </w:tcPr>
          <w:p>
            <w:pPr>
              <w:pStyle w:val="TableParagraph"/>
              <w:ind w:left="200"/>
              <w:rPr>
                <w:sz w:val="20"/>
              </w:rPr>
            </w:pPr>
            <w:r>
              <w:rPr>
                <w:sz w:val="20"/>
              </w:rPr>
              <w:t>PALC 612</w:t>
            </w:r>
          </w:p>
        </w:tc>
        <w:tc>
          <w:tcPr>
            <w:tcW w:w="2864" w:type="dxa"/>
          </w:tcPr>
          <w:p>
            <w:pPr>
              <w:pStyle w:val="TableParagraph"/>
              <w:ind w:left="208"/>
              <w:rPr>
                <w:sz w:val="20"/>
              </w:rPr>
            </w:pPr>
            <w:r>
              <w:rPr>
                <w:sz w:val="20"/>
              </w:rPr>
              <w:t>ADVANCED DISEASE</w:t>
            </w:r>
          </w:p>
          <w:p>
            <w:pPr>
              <w:pStyle w:val="TableParagraph"/>
              <w:spacing w:line="219" w:lineRule="exact" w:before="10"/>
              <w:ind w:left="208"/>
              <w:rPr>
                <w:sz w:val="20"/>
              </w:rPr>
            </w:pPr>
            <w:r>
              <w:rPr>
                <w:sz w:val="20"/>
              </w:rPr>
              <w:t>STATE MANAGEMENT</w:t>
            </w:r>
          </w:p>
        </w:tc>
        <w:tc>
          <w:tcPr>
            <w:tcW w:w="814" w:type="dxa"/>
          </w:tcPr>
          <w:p>
            <w:pPr>
              <w:pStyle w:val="TableParagraph"/>
              <w:ind w:right="198"/>
              <w:jc w:val="right"/>
              <w:rPr>
                <w:sz w:val="20"/>
              </w:rPr>
            </w:pPr>
            <w:r>
              <w:rPr>
                <w:w w:val="100"/>
                <w:sz w:val="20"/>
              </w:rPr>
              <w:t>3</w:t>
            </w:r>
          </w:p>
        </w:tc>
      </w:tr>
      <w:tr>
        <w:trPr>
          <w:trHeight w:val="951" w:hRule="atLeast"/>
        </w:trPr>
        <w:tc>
          <w:tcPr>
            <w:tcW w:w="1273" w:type="dxa"/>
          </w:tcPr>
          <w:p>
            <w:pPr>
              <w:pStyle w:val="TableParagraph"/>
              <w:ind w:left="200"/>
              <w:rPr>
                <w:sz w:val="20"/>
              </w:rPr>
            </w:pPr>
            <w:r>
              <w:rPr>
                <w:sz w:val="20"/>
              </w:rPr>
              <w:t>PALC 602</w:t>
            </w:r>
          </w:p>
        </w:tc>
        <w:tc>
          <w:tcPr>
            <w:tcW w:w="2864" w:type="dxa"/>
          </w:tcPr>
          <w:p>
            <w:pPr>
              <w:pStyle w:val="TableParagraph"/>
              <w:spacing w:line="249" w:lineRule="auto"/>
              <w:ind w:left="208" w:right="886"/>
              <w:rPr>
                <w:sz w:val="20"/>
              </w:rPr>
            </w:pPr>
            <w:r>
              <w:rPr>
                <w:sz w:val="20"/>
              </w:rPr>
              <w:t>PRINCIPLES AND PRACTICES OF PALLIATIVE CARE</w:t>
            </w:r>
          </w:p>
          <w:p>
            <w:pPr>
              <w:pStyle w:val="TableParagraph"/>
              <w:spacing w:line="210" w:lineRule="exact" w:before="2"/>
              <w:ind w:left="208"/>
              <w:rPr>
                <w:sz w:val="20"/>
              </w:rPr>
            </w:pPr>
            <w:r>
              <w:rPr>
                <w:sz w:val="20"/>
              </w:rPr>
              <w:t>EDUCATION</w:t>
            </w:r>
          </w:p>
        </w:tc>
        <w:tc>
          <w:tcPr>
            <w:tcW w:w="814" w:type="dxa"/>
          </w:tcPr>
          <w:p>
            <w:pPr>
              <w:pStyle w:val="TableParagraph"/>
              <w:ind w:right="198"/>
              <w:jc w:val="right"/>
              <w:rPr>
                <w:sz w:val="20"/>
              </w:rPr>
            </w:pPr>
            <w:r>
              <w:rPr>
                <w:w w:val="100"/>
                <w:sz w:val="20"/>
              </w:rPr>
              <w:t>3</w:t>
            </w:r>
          </w:p>
        </w:tc>
      </w:tr>
    </w:tbl>
    <w:p>
      <w:pPr>
        <w:pStyle w:val="BodyText"/>
        <w:spacing w:before="7"/>
        <w:ind w:left="0"/>
        <w:rPr>
          <w:sz w:val="17"/>
        </w:rPr>
      </w:pPr>
    </w:p>
    <w:p>
      <w:pPr>
        <w:pStyle w:val="BodyText"/>
        <w:spacing w:line="249" w:lineRule="auto" w:before="0"/>
        <w:ind w:left="199" w:right="905"/>
      </w:pPr>
      <w:r>
        <w:rPr/>
        <w:t>Details are given in the Course Descriptions part of this catalog.</w:t>
      </w:r>
    </w:p>
    <w:p>
      <w:pPr>
        <w:spacing w:after="0" w:line="249" w:lineRule="auto"/>
        <w:sectPr>
          <w:pgSz w:w="12240" w:h="15840"/>
          <w:pgMar w:header="746" w:footer="0" w:top="1320" w:bottom="280" w:left="880" w:right="300"/>
          <w:cols w:num="2" w:equalWidth="0">
            <w:col w:w="4993" w:space="494"/>
            <w:col w:w="5573"/>
          </w:cols>
        </w:sectPr>
      </w:pPr>
    </w:p>
    <w:p>
      <w:pPr>
        <w:pStyle w:val="Heading3"/>
      </w:pPr>
      <w:bookmarkStart w:name="Forensic Medicine" w:id="21"/>
      <w:bookmarkEnd w:id="21"/>
      <w:r>
        <w:rPr/>
      </w:r>
      <w:bookmarkStart w:name="_bookmark10" w:id="22"/>
      <w:bookmarkEnd w:id="22"/>
      <w:r>
        <w:rPr/>
      </w:r>
      <w:r>
        <w:rPr/>
        <w:t>Forensic Medicine</w:t>
      </w:r>
    </w:p>
    <w:p>
      <w:pPr>
        <w:pStyle w:val="BodyText"/>
        <w:spacing w:before="190"/>
      </w:pPr>
      <w:hyperlink r:id="rId42">
        <w:r>
          <w:rPr>
            <w:color w:val="0000FF"/>
            <w:u w:val="single" w:color="0000FF"/>
          </w:rPr>
          <w:t>http://www.graduate.umaryland.edu/forensicmedicine/</w:t>
        </w:r>
      </w:hyperlink>
    </w:p>
    <w:p>
      <w:pPr>
        <w:pStyle w:val="Heading6"/>
        <w:spacing w:before="192"/>
      </w:pPr>
      <w:r>
        <w:rPr/>
        <w:t>Degree Offered</w:t>
      </w:r>
    </w:p>
    <w:p>
      <w:pPr>
        <w:pStyle w:val="BodyText"/>
        <w:spacing w:before="188"/>
      </w:pPr>
      <w:r>
        <w:rPr/>
        <w:t>MS</w:t>
      </w:r>
    </w:p>
    <w:p>
      <w:pPr>
        <w:pStyle w:val="Heading6"/>
        <w:spacing w:before="192"/>
      </w:pPr>
      <w:r>
        <w:rPr/>
        <w:t>Program Description</w:t>
      </w:r>
    </w:p>
    <w:p>
      <w:pPr>
        <w:pStyle w:val="BodyText"/>
        <w:spacing w:line="249" w:lineRule="auto" w:before="188"/>
        <w:ind w:left="199" w:right="39"/>
      </w:pPr>
      <w:r>
        <w:rPr/>
        <w:t>Forensic medicine applies the principles and knowledge of medical sciences and technologies to the purposes of the law, as in determining the cause of death. This program is designed to give its graduates the knowledge and skills to allow them to contribute to the medico-legal death investigation system and to the legal justice systems. These contributions include the generation of knowledge in the field through submission of a manuscript for publication. Students also may be seeking enhanced professional training or may desire a career in the following areas:</w:t>
      </w:r>
    </w:p>
    <w:p>
      <w:pPr>
        <w:pStyle w:val="ListParagraph"/>
        <w:numPr>
          <w:ilvl w:val="1"/>
          <w:numId w:val="3"/>
        </w:numPr>
        <w:tabs>
          <w:tab w:pos="632" w:val="left" w:leader="none"/>
        </w:tabs>
        <w:spacing w:line="240" w:lineRule="auto" w:before="190" w:after="0"/>
        <w:ind w:left="631" w:right="0" w:hanging="216"/>
        <w:jc w:val="left"/>
        <w:rPr>
          <w:sz w:val="20"/>
        </w:rPr>
      </w:pPr>
      <w:r>
        <w:rPr>
          <w:sz w:val="20"/>
        </w:rPr>
        <w:t>Death investigation supporting forensic</w:t>
      </w:r>
      <w:r>
        <w:rPr>
          <w:spacing w:val="-16"/>
          <w:sz w:val="20"/>
        </w:rPr>
        <w:t> </w:t>
      </w:r>
      <w:r>
        <w:rPr>
          <w:sz w:val="20"/>
        </w:rPr>
        <w:t>Pathologists’s</w:t>
      </w:r>
    </w:p>
    <w:p>
      <w:pPr>
        <w:pStyle w:val="ListParagraph"/>
        <w:numPr>
          <w:ilvl w:val="1"/>
          <w:numId w:val="3"/>
        </w:numPr>
        <w:tabs>
          <w:tab w:pos="632" w:val="left" w:leader="none"/>
        </w:tabs>
        <w:spacing w:line="240" w:lineRule="auto" w:before="187" w:after="0"/>
        <w:ind w:left="631" w:right="0" w:hanging="216"/>
        <w:jc w:val="left"/>
        <w:rPr>
          <w:sz w:val="20"/>
        </w:rPr>
      </w:pPr>
      <w:r>
        <w:rPr>
          <w:sz w:val="20"/>
        </w:rPr>
        <w:t>Assistance </w:t>
      </w:r>
      <w:r>
        <w:rPr>
          <w:spacing w:val="-4"/>
          <w:sz w:val="20"/>
        </w:rPr>
        <w:t>for </w:t>
      </w:r>
      <w:r>
        <w:rPr>
          <w:sz w:val="20"/>
        </w:rPr>
        <w:t>Pathologists’s in autopsy</w:t>
      </w:r>
      <w:r>
        <w:rPr>
          <w:spacing w:val="-3"/>
          <w:sz w:val="20"/>
        </w:rPr>
        <w:t> </w:t>
      </w:r>
      <w:r>
        <w:rPr>
          <w:sz w:val="20"/>
        </w:rPr>
        <w:t>performance</w:t>
      </w:r>
    </w:p>
    <w:p>
      <w:pPr>
        <w:pStyle w:val="ListParagraph"/>
        <w:numPr>
          <w:ilvl w:val="1"/>
          <w:numId w:val="3"/>
        </w:numPr>
        <w:tabs>
          <w:tab w:pos="632" w:val="left" w:leader="none"/>
        </w:tabs>
        <w:spacing w:line="240" w:lineRule="auto" w:before="192" w:after="0"/>
        <w:ind w:left="631" w:right="0" w:hanging="216"/>
        <w:jc w:val="left"/>
        <w:rPr>
          <w:sz w:val="20"/>
        </w:rPr>
      </w:pPr>
      <w:r>
        <w:rPr>
          <w:sz w:val="20"/>
        </w:rPr>
        <w:t>Forensic</w:t>
      </w:r>
      <w:r>
        <w:rPr>
          <w:spacing w:val="-2"/>
          <w:sz w:val="20"/>
        </w:rPr>
        <w:t> </w:t>
      </w:r>
      <w:r>
        <w:rPr>
          <w:sz w:val="20"/>
        </w:rPr>
        <w:t>Pathologists’</w:t>
      </w:r>
    </w:p>
    <w:p>
      <w:pPr>
        <w:pStyle w:val="ListParagraph"/>
        <w:numPr>
          <w:ilvl w:val="1"/>
          <w:numId w:val="3"/>
        </w:numPr>
        <w:tabs>
          <w:tab w:pos="632" w:val="left" w:leader="none"/>
        </w:tabs>
        <w:spacing w:line="240" w:lineRule="auto" w:before="188" w:after="0"/>
        <w:ind w:left="631" w:right="0" w:hanging="216"/>
        <w:jc w:val="left"/>
        <w:rPr>
          <w:sz w:val="20"/>
        </w:rPr>
      </w:pPr>
      <w:r>
        <w:rPr>
          <w:sz w:val="20"/>
        </w:rPr>
        <w:t>Police</w:t>
      </w:r>
      <w:r>
        <w:rPr>
          <w:spacing w:val="-2"/>
          <w:sz w:val="20"/>
        </w:rPr>
        <w:t> </w:t>
      </w:r>
      <w:r>
        <w:rPr>
          <w:sz w:val="20"/>
        </w:rPr>
        <w:t>organizations</w:t>
      </w:r>
    </w:p>
    <w:p>
      <w:pPr>
        <w:pStyle w:val="ListParagraph"/>
        <w:numPr>
          <w:ilvl w:val="1"/>
          <w:numId w:val="3"/>
        </w:numPr>
        <w:tabs>
          <w:tab w:pos="632" w:val="left" w:leader="none"/>
        </w:tabs>
        <w:spacing w:line="240" w:lineRule="auto" w:before="192" w:after="0"/>
        <w:ind w:left="631" w:right="0" w:hanging="216"/>
        <w:jc w:val="left"/>
        <w:rPr>
          <w:sz w:val="20"/>
        </w:rPr>
      </w:pPr>
      <w:r>
        <w:rPr>
          <w:sz w:val="20"/>
        </w:rPr>
        <w:t>Prosecutors’</w:t>
      </w:r>
      <w:r>
        <w:rPr>
          <w:spacing w:val="1"/>
          <w:sz w:val="20"/>
        </w:rPr>
        <w:t> </w:t>
      </w:r>
      <w:r>
        <w:rPr>
          <w:sz w:val="20"/>
        </w:rPr>
        <w:t>offices</w:t>
      </w:r>
    </w:p>
    <w:p>
      <w:pPr>
        <w:pStyle w:val="ListParagraph"/>
        <w:numPr>
          <w:ilvl w:val="1"/>
          <w:numId w:val="3"/>
        </w:numPr>
        <w:tabs>
          <w:tab w:pos="632" w:val="left" w:leader="none"/>
        </w:tabs>
        <w:spacing w:line="249" w:lineRule="auto" w:before="188" w:after="0"/>
        <w:ind w:left="631" w:right="232" w:hanging="216"/>
        <w:jc w:val="left"/>
        <w:rPr>
          <w:sz w:val="20"/>
        </w:rPr>
      </w:pPr>
      <w:r>
        <w:rPr>
          <w:sz w:val="20"/>
        </w:rPr>
        <w:t>Departments/divisions </w:t>
      </w:r>
      <w:r>
        <w:rPr>
          <w:spacing w:val="-3"/>
          <w:sz w:val="20"/>
        </w:rPr>
        <w:t>of </w:t>
      </w:r>
      <w:r>
        <w:rPr>
          <w:sz w:val="20"/>
        </w:rPr>
        <w:t>forensic medicine/science in medical colleges and</w:t>
      </w:r>
      <w:r>
        <w:rPr>
          <w:spacing w:val="-3"/>
          <w:sz w:val="20"/>
        </w:rPr>
        <w:t> </w:t>
      </w:r>
      <w:r>
        <w:rPr>
          <w:sz w:val="20"/>
        </w:rPr>
        <w:t>universities</w:t>
      </w:r>
    </w:p>
    <w:p>
      <w:pPr>
        <w:pStyle w:val="ListParagraph"/>
        <w:numPr>
          <w:ilvl w:val="1"/>
          <w:numId w:val="3"/>
        </w:numPr>
        <w:tabs>
          <w:tab w:pos="632" w:val="left" w:leader="none"/>
        </w:tabs>
        <w:spacing w:line="240" w:lineRule="auto" w:before="184" w:after="0"/>
        <w:ind w:left="631" w:right="0" w:hanging="216"/>
        <w:jc w:val="left"/>
        <w:rPr>
          <w:sz w:val="20"/>
        </w:rPr>
      </w:pPr>
      <w:r>
        <w:rPr>
          <w:sz w:val="20"/>
        </w:rPr>
        <w:t>Government </w:t>
      </w:r>
      <w:r>
        <w:rPr>
          <w:spacing w:val="-5"/>
          <w:sz w:val="20"/>
        </w:rPr>
        <w:t>or </w:t>
      </w:r>
      <w:r>
        <w:rPr>
          <w:sz w:val="20"/>
        </w:rPr>
        <w:t>private forensic medical</w:t>
      </w:r>
      <w:r>
        <w:rPr>
          <w:spacing w:val="5"/>
          <w:sz w:val="20"/>
        </w:rPr>
        <w:t> </w:t>
      </w:r>
      <w:r>
        <w:rPr>
          <w:sz w:val="20"/>
        </w:rPr>
        <w:t>societies</w:t>
      </w:r>
    </w:p>
    <w:p>
      <w:pPr>
        <w:pStyle w:val="BodyText"/>
        <w:spacing w:line="249" w:lineRule="auto" w:before="187"/>
        <w:ind w:left="199" w:right="45"/>
      </w:pPr>
      <w:r>
        <w:rPr/>
        <w:t>The Master of Science (MS) in Forensic Medicine is a full- time, nonthesis, 12- to 18-month graduate degree program that prepares students for careers in forensic medicine.</w:t>
      </w:r>
    </w:p>
    <w:p>
      <w:pPr>
        <w:pStyle w:val="BodyText"/>
        <w:spacing w:line="249" w:lineRule="auto" w:before="2"/>
        <w:ind w:left="199" w:right="73"/>
      </w:pPr>
      <w:r>
        <w:rPr/>
        <w:t>Students participate in classroom and online lectures, case discussions, and laboratory training. The curriculum focuses on forensic pathology, forensic autopsy, medico- legal death investigation, postmortem radiology, forensic odontology, and forensic anthropology. The state’s Office of the Chief Medical Examiner and the University of Maryland, Baltimore offer this program collaboratively, giving students the opportunity to study in one of the nation’s best medical examination facilities under the guidance of licensed and board-certified forensic Pathologists’s at a University renowned for biomedical science research. Graduates will be prepared for job opportunities such as death investigation, assisting the Pathologists’s in autopsy performance, and working in police organizations, prosecutors’ offices, and departments of forensic medicine.</w:t>
      </w:r>
    </w:p>
    <w:p>
      <w:pPr>
        <w:pStyle w:val="BodyText"/>
        <w:spacing w:line="249" w:lineRule="auto" w:before="96"/>
        <w:ind w:left="199" w:right="589"/>
      </w:pPr>
      <w:r>
        <w:rPr/>
        <w:br w:type="column"/>
      </w:r>
      <w:r>
        <w:rPr/>
        <w:t>The program also offers preparation for medical school and a specialization in forensic pathology.</w:t>
      </w:r>
    </w:p>
    <w:p>
      <w:pPr>
        <w:pStyle w:val="BodyText"/>
        <w:spacing w:line="249" w:lineRule="auto" w:before="179"/>
        <w:ind w:left="199" w:right="727" w:hanging="1"/>
      </w:pPr>
      <w:r>
        <w:rPr/>
        <w:t>In addition to the 30-credit full-time program, a dual- degree MS/JM is offered with the China University of Political Science and Law (CUPL). Through a sharing of credits between the two universities, students may earn a Master of Science from UMB and a Juris Masters from CUPL. This is a nonthesis, full-time, one-year program available to UMB and CUPL Juris Masters (JM) students only. Students in this option earn 20 credits at UMB and 65 credits at CUPL and are awarded the MS by UMB and the JM by CUPL. Specifically, 10 credits of coursework from the CUPL are applied to the MS degree.</w:t>
      </w:r>
    </w:p>
    <w:p>
      <w:pPr>
        <w:pStyle w:val="Heading6"/>
        <w:spacing w:before="191"/>
        <w:ind w:left="199"/>
      </w:pPr>
      <w:r>
        <w:rPr/>
        <w:t>Program Admission</w:t>
      </w:r>
    </w:p>
    <w:p>
      <w:pPr>
        <w:pStyle w:val="BodyText"/>
        <w:spacing w:line="249" w:lineRule="auto" w:before="187"/>
        <w:ind w:left="199" w:right="772"/>
      </w:pPr>
      <w:r>
        <w:rPr/>
        <w:t>The Master of Science in Forensic Medicine program is designed for individuals who have an undergraduate degree and a background in health or biological sciences. Candidates with backgrounds in other areas such as forensic studies, criminal justice, and legal studies also may be considered, provided they have the prerequisite coursework cited below.</w:t>
      </w:r>
    </w:p>
    <w:p>
      <w:pPr>
        <w:pStyle w:val="BodyText"/>
        <w:spacing w:line="249" w:lineRule="auto" w:before="188"/>
        <w:ind w:left="199" w:right="611"/>
      </w:pPr>
      <w:r>
        <w:rPr/>
        <w:t>Candidates who wish to enter the MS in Forensic Medicine program must have a bachelor’s degree (BA </w:t>
      </w:r>
      <w:r>
        <w:rPr>
          <w:spacing w:val="-3"/>
        </w:rPr>
        <w:t>or BS) from  </w:t>
      </w:r>
      <w:r>
        <w:rPr/>
        <w:t>an accredited U.S. institution. The students’ undergraduate program must reflect the successful completion </w:t>
      </w:r>
      <w:r>
        <w:rPr>
          <w:spacing w:val="-3"/>
        </w:rPr>
        <w:t>of </w:t>
      </w:r>
      <w:r>
        <w:rPr/>
        <w:t>the following coursework: </w:t>
      </w:r>
      <w:r>
        <w:rPr>
          <w:spacing w:val="-3"/>
        </w:rPr>
        <w:t>biology, </w:t>
      </w:r>
      <w:r>
        <w:rPr/>
        <w:t>general </w:t>
      </w:r>
      <w:r>
        <w:rPr>
          <w:spacing w:val="-3"/>
        </w:rPr>
        <w:t>chemistry, </w:t>
      </w:r>
      <w:r>
        <w:rPr/>
        <w:t>organic chemistry, biochemistry, </w:t>
      </w:r>
      <w:r>
        <w:rPr>
          <w:spacing w:val="-3"/>
        </w:rPr>
        <w:t>microbiology, </w:t>
      </w:r>
      <w:r>
        <w:rPr/>
        <w:t>mathematics, and English composition. International candidates </w:t>
      </w:r>
      <w:r>
        <w:rPr>
          <w:spacing w:val="-3"/>
        </w:rPr>
        <w:t>with </w:t>
      </w:r>
      <w:r>
        <w:rPr/>
        <w:t>a bachelor’s degree in medicine (BM) </w:t>
      </w:r>
      <w:r>
        <w:rPr>
          <w:spacing w:val="-3"/>
        </w:rPr>
        <w:t>or </w:t>
      </w:r>
      <w:r>
        <w:rPr/>
        <w:t>a similar degree who possess adequate preparation </w:t>
      </w:r>
      <w:r>
        <w:rPr>
          <w:spacing w:val="-4"/>
        </w:rPr>
        <w:t>for </w:t>
      </w:r>
      <w:r>
        <w:rPr/>
        <w:t>the graduate program also may be considered. </w:t>
      </w:r>
      <w:r>
        <w:rPr>
          <w:spacing w:val="-4"/>
        </w:rPr>
        <w:t>An </w:t>
      </w:r>
      <w:r>
        <w:rPr/>
        <w:t>outstanding candidate will demonstrate proficiency in anatomy and</w:t>
      </w:r>
      <w:r>
        <w:rPr>
          <w:spacing w:val="-24"/>
        </w:rPr>
        <w:t> </w:t>
      </w:r>
      <w:r>
        <w:rPr/>
        <w:t>physiology.</w:t>
      </w:r>
    </w:p>
    <w:p>
      <w:pPr>
        <w:pStyle w:val="BodyText"/>
        <w:spacing w:line="249" w:lineRule="auto"/>
        <w:ind w:left="199" w:right="611"/>
      </w:pPr>
      <w:r>
        <w:rPr/>
        <w:t>In addition to qualifications previously noted, candidates for admission must meet the minimum qualifications and standards established by the Graduate </w:t>
      </w:r>
      <w:r>
        <w:rPr>
          <w:spacing w:val="-3"/>
        </w:rPr>
        <w:t>School. </w:t>
      </w:r>
      <w:r>
        <w:rPr/>
        <w:t>Graduate Record Examinations scores are required to </w:t>
      </w:r>
      <w:r>
        <w:rPr>
          <w:spacing w:val="-3"/>
        </w:rPr>
        <w:t>be </w:t>
      </w:r>
      <w:r>
        <w:rPr/>
        <w:t>considered for admission. </w:t>
      </w:r>
      <w:r>
        <w:rPr>
          <w:spacing w:val="-3"/>
        </w:rPr>
        <w:t>In </w:t>
      </w:r>
      <w:r>
        <w:rPr/>
        <w:t>addition, an interview may </w:t>
      </w:r>
      <w:r>
        <w:rPr>
          <w:spacing w:val="-3"/>
        </w:rPr>
        <w:t>be </w:t>
      </w:r>
      <w:r>
        <w:rPr/>
        <w:t>requested. International students must provide current, official results of the Test </w:t>
      </w:r>
      <w:r>
        <w:rPr>
          <w:spacing w:val="-3"/>
        </w:rPr>
        <w:t>of </w:t>
      </w:r>
      <w:r>
        <w:rPr/>
        <w:t>English as a Foreign Language (minimum score </w:t>
      </w:r>
      <w:r>
        <w:rPr>
          <w:spacing w:val="-3"/>
        </w:rPr>
        <w:t>of </w:t>
      </w:r>
      <w:r>
        <w:rPr/>
        <w:t>80 </w:t>
      </w:r>
      <w:r>
        <w:rPr>
          <w:spacing w:val="-4"/>
        </w:rPr>
        <w:t>for </w:t>
      </w:r>
      <w:r>
        <w:rPr/>
        <w:t>the internet-based test) </w:t>
      </w:r>
      <w:r>
        <w:rPr>
          <w:spacing w:val="-3"/>
        </w:rPr>
        <w:t>or </w:t>
      </w:r>
      <w:r>
        <w:rPr/>
        <w:t>the International English Language Testing </w:t>
      </w:r>
      <w:r>
        <w:rPr>
          <w:spacing w:val="-3"/>
        </w:rPr>
        <w:t>System </w:t>
      </w:r>
      <w:r>
        <w:rPr/>
        <w:t>(minimum score </w:t>
      </w:r>
      <w:r>
        <w:rPr>
          <w:spacing w:val="-3"/>
        </w:rPr>
        <w:t>of </w:t>
      </w:r>
      <w:r>
        <w:rPr/>
        <w:t>Band 7). Application deadlines and required credentials are regularly published by the Graduate </w:t>
      </w:r>
      <w:r>
        <w:rPr>
          <w:spacing w:val="-3"/>
        </w:rPr>
        <w:t>School </w:t>
      </w:r>
      <w:r>
        <w:rPr/>
        <w:t>and the Forensic Medicine</w:t>
      </w:r>
      <w:r>
        <w:rPr>
          <w:spacing w:val="-8"/>
        </w:rPr>
        <w:t> </w:t>
      </w:r>
      <w:r>
        <w:rPr/>
        <w:t>program.</w:t>
      </w:r>
    </w:p>
    <w:p>
      <w:pPr>
        <w:pStyle w:val="Heading6"/>
        <w:spacing w:before="191"/>
        <w:ind w:left="199"/>
      </w:pPr>
      <w:r>
        <w:rPr/>
        <w:t>Degree Requirements</w:t>
      </w:r>
    </w:p>
    <w:p>
      <w:pPr>
        <w:pStyle w:val="BodyText"/>
        <w:spacing w:line="249" w:lineRule="auto" w:before="188"/>
        <w:ind w:left="199" w:right="877"/>
      </w:pPr>
      <w:r>
        <w:rPr/>
        <w:t>The master’s degree program requires a minimum of 30 credits. Students must maintain a minimum cumulative</w:t>
      </w:r>
    </w:p>
    <w:p>
      <w:pPr>
        <w:spacing w:after="0" w:line="249" w:lineRule="auto"/>
        <w:sectPr>
          <w:pgSz w:w="12240" w:h="15840"/>
          <w:pgMar w:header="746" w:footer="0" w:top="1320" w:bottom="280" w:left="880" w:right="300"/>
          <w:cols w:num="2" w:equalWidth="0">
            <w:col w:w="5008" w:space="479"/>
            <w:col w:w="5573"/>
          </w:cols>
        </w:sectPr>
      </w:pPr>
    </w:p>
    <w:p>
      <w:pPr>
        <w:pStyle w:val="BodyText"/>
        <w:spacing w:line="249" w:lineRule="auto" w:before="100"/>
        <w:ind w:left="199" w:right="6331"/>
      </w:pPr>
      <w:r>
        <w:rPr/>
        <w:t>grade-point average of 3.0 to remain in good standing in the program. A complete description of progression guidelines and degree requirements is provided in the Degree Requirements section of this catalog.</w:t>
      </w:r>
    </w:p>
    <w:p>
      <w:pPr>
        <w:pStyle w:val="Heading5"/>
        <w:spacing w:before="171" w:after="16"/>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1"/>
        <w:gridCol w:w="2758"/>
        <w:gridCol w:w="936"/>
      </w:tblGrid>
      <w:tr>
        <w:trPr>
          <w:trHeight w:val="231" w:hRule="atLeast"/>
        </w:trPr>
        <w:tc>
          <w:tcPr>
            <w:tcW w:w="1261" w:type="dxa"/>
          </w:tcPr>
          <w:p>
            <w:pPr>
              <w:pStyle w:val="TableParagraph"/>
              <w:spacing w:line="212" w:lineRule="exact" w:before="0"/>
              <w:ind w:left="200"/>
              <w:rPr>
                <w:sz w:val="20"/>
              </w:rPr>
            </w:pPr>
            <w:r>
              <w:rPr>
                <w:sz w:val="20"/>
              </w:rPr>
              <w:t>FMED 710</w:t>
            </w:r>
          </w:p>
        </w:tc>
        <w:tc>
          <w:tcPr>
            <w:tcW w:w="2758" w:type="dxa"/>
          </w:tcPr>
          <w:p>
            <w:pPr>
              <w:pStyle w:val="TableParagraph"/>
              <w:spacing w:line="212" w:lineRule="exact" w:before="0"/>
              <w:ind w:left="148"/>
              <w:rPr>
                <w:sz w:val="20"/>
              </w:rPr>
            </w:pPr>
            <w:r>
              <w:rPr>
                <w:sz w:val="20"/>
              </w:rPr>
              <w:t>FORENSIC PATHOLOGY</w:t>
            </w:r>
          </w:p>
        </w:tc>
        <w:tc>
          <w:tcPr>
            <w:tcW w:w="936" w:type="dxa"/>
          </w:tcPr>
          <w:p>
            <w:pPr>
              <w:pStyle w:val="TableParagraph"/>
              <w:spacing w:line="212" w:lineRule="exact" w:before="0"/>
              <w:ind w:right="202"/>
              <w:jc w:val="right"/>
              <w:rPr>
                <w:sz w:val="20"/>
              </w:rPr>
            </w:pPr>
            <w:r>
              <w:rPr>
                <w:w w:val="100"/>
                <w:sz w:val="20"/>
              </w:rPr>
              <w:t>6</w:t>
            </w:r>
          </w:p>
        </w:tc>
      </w:tr>
      <w:tr>
        <w:trPr>
          <w:trHeight w:val="240" w:hRule="atLeast"/>
        </w:trPr>
        <w:tc>
          <w:tcPr>
            <w:tcW w:w="1261" w:type="dxa"/>
          </w:tcPr>
          <w:p>
            <w:pPr>
              <w:pStyle w:val="TableParagraph"/>
              <w:spacing w:line="219" w:lineRule="exact"/>
              <w:ind w:left="200"/>
              <w:rPr>
                <w:sz w:val="20"/>
              </w:rPr>
            </w:pPr>
            <w:r>
              <w:rPr>
                <w:sz w:val="20"/>
              </w:rPr>
              <w:t>FMED 720</w:t>
            </w:r>
          </w:p>
        </w:tc>
        <w:tc>
          <w:tcPr>
            <w:tcW w:w="2758" w:type="dxa"/>
          </w:tcPr>
          <w:p>
            <w:pPr>
              <w:pStyle w:val="TableParagraph"/>
              <w:spacing w:line="219" w:lineRule="exact"/>
              <w:ind w:left="148"/>
              <w:rPr>
                <w:sz w:val="20"/>
              </w:rPr>
            </w:pPr>
            <w:r>
              <w:rPr>
                <w:sz w:val="20"/>
              </w:rPr>
              <w:t>FORENSIC AUTOPSY</w:t>
            </w:r>
          </w:p>
        </w:tc>
        <w:tc>
          <w:tcPr>
            <w:tcW w:w="936" w:type="dxa"/>
          </w:tcPr>
          <w:p>
            <w:pPr>
              <w:pStyle w:val="TableParagraph"/>
              <w:spacing w:line="219" w:lineRule="exact"/>
              <w:ind w:right="202"/>
              <w:jc w:val="right"/>
              <w:rPr>
                <w:sz w:val="20"/>
              </w:rPr>
            </w:pPr>
            <w:r>
              <w:rPr>
                <w:w w:val="100"/>
                <w:sz w:val="20"/>
              </w:rPr>
              <w:t>3</w:t>
            </w:r>
          </w:p>
        </w:tc>
      </w:tr>
      <w:tr>
        <w:trPr>
          <w:trHeight w:val="480" w:hRule="atLeast"/>
        </w:trPr>
        <w:tc>
          <w:tcPr>
            <w:tcW w:w="1261" w:type="dxa"/>
          </w:tcPr>
          <w:p>
            <w:pPr>
              <w:pStyle w:val="TableParagraph"/>
              <w:ind w:left="200"/>
              <w:rPr>
                <w:sz w:val="20"/>
              </w:rPr>
            </w:pPr>
            <w:r>
              <w:rPr>
                <w:sz w:val="20"/>
              </w:rPr>
              <w:t>FMED 730</w:t>
            </w:r>
          </w:p>
        </w:tc>
        <w:tc>
          <w:tcPr>
            <w:tcW w:w="2758" w:type="dxa"/>
          </w:tcPr>
          <w:p>
            <w:pPr>
              <w:pStyle w:val="TableParagraph"/>
              <w:ind w:left="148"/>
              <w:rPr>
                <w:sz w:val="20"/>
              </w:rPr>
            </w:pPr>
            <w:r>
              <w:rPr>
                <w:sz w:val="20"/>
              </w:rPr>
              <w:t>MEDICO-LEGAL</w:t>
            </w:r>
            <w:r>
              <w:rPr>
                <w:spacing w:val="-4"/>
                <w:sz w:val="20"/>
              </w:rPr>
              <w:t> </w:t>
            </w:r>
            <w:r>
              <w:rPr>
                <w:sz w:val="20"/>
              </w:rPr>
              <w:t>DEATH</w:t>
            </w:r>
          </w:p>
          <w:p>
            <w:pPr>
              <w:pStyle w:val="TableParagraph"/>
              <w:spacing w:line="219" w:lineRule="exact" w:before="10"/>
              <w:ind w:left="148"/>
              <w:rPr>
                <w:sz w:val="20"/>
              </w:rPr>
            </w:pPr>
            <w:r>
              <w:rPr>
                <w:sz w:val="20"/>
              </w:rPr>
              <w:t>SCENE</w:t>
            </w:r>
            <w:r>
              <w:rPr>
                <w:spacing w:val="-4"/>
                <w:sz w:val="20"/>
              </w:rPr>
              <w:t> </w:t>
            </w:r>
            <w:r>
              <w:rPr>
                <w:sz w:val="20"/>
              </w:rPr>
              <w:t>INVESTIGATION</w:t>
            </w:r>
          </w:p>
        </w:tc>
        <w:tc>
          <w:tcPr>
            <w:tcW w:w="936" w:type="dxa"/>
          </w:tcPr>
          <w:p>
            <w:pPr>
              <w:pStyle w:val="TableParagraph"/>
              <w:ind w:right="197"/>
              <w:jc w:val="right"/>
              <w:rPr>
                <w:sz w:val="20"/>
              </w:rPr>
            </w:pPr>
            <w:r>
              <w:rPr>
                <w:sz w:val="20"/>
              </w:rPr>
              <w:t>1 TO 3</w:t>
            </w:r>
          </w:p>
        </w:tc>
      </w:tr>
      <w:tr>
        <w:trPr>
          <w:trHeight w:val="840" w:hRule="atLeast"/>
        </w:trPr>
        <w:tc>
          <w:tcPr>
            <w:tcW w:w="1261" w:type="dxa"/>
          </w:tcPr>
          <w:p>
            <w:pPr>
              <w:pStyle w:val="TableParagraph"/>
              <w:ind w:left="200"/>
              <w:rPr>
                <w:sz w:val="20"/>
              </w:rPr>
            </w:pPr>
            <w:r>
              <w:rPr>
                <w:sz w:val="20"/>
              </w:rPr>
              <w:t>FMED 740</w:t>
            </w:r>
          </w:p>
        </w:tc>
        <w:tc>
          <w:tcPr>
            <w:tcW w:w="2758" w:type="dxa"/>
          </w:tcPr>
          <w:p>
            <w:pPr>
              <w:pStyle w:val="TableParagraph"/>
              <w:spacing w:line="249" w:lineRule="auto"/>
              <w:ind w:left="148" w:right="151"/>
              <w:rPr>
                <w:sz w:val="20"/>
              </w:rPr>
            </w:pPr>
            <w:r>
              <w:rPr>
                <w:sz w:val="20"/>
              </w:rPr>
              <w:t>EPIDEMIOLOGICAL DATA RESEARCH CAPSTONE PROJECT</w:t>
            </w:r>
          </w:p>
        </w:tc>
        <w:tc>
          <w:tcPr>
            <w:tcW w:w="936" w:type="dxa"/>
          </w:tcPr>
          <w:p>
            <w:pPr>
              <w:pStyle w:val="TableParagraph"/>
              <w:ind w:right="197"/>
              <w:jc w:val="right"/>
              <w:rPr>
                <w:sz w:val="20"/>
              </w:rPr>
            </w:pPr>
            <w:r>
              <w:rPr>
                <w:sz w:val="20"/>
              </w:rPr>
              <w:t>1 TO 6</w:t>
            </w:r>
          </w:p>
        </w:tc>
      </w:tr>
      <w:tr>
        <w:trPr>
          <w:trHeight w:val="360" w:hRule="atLeast"/>
        </w:trPr>
        <w:tc>
          <w:tcPr>
            <w:tcW w:w="1261" w:type="dxa"/>
          </w:tcPr>
          <w:p>
            <w:pPr>
              <w:pStyle w:val="TableParagraph"/>
              <w:spacing w:line="219" w:lineRule="exact" w:before="121"/>
              <w:ind w:left="200"/>
              <w:rPr>
                <w:sz w:val="20"/>
              </w:rPr>
            </w:pPr>
            <w:r>
              <w:rPr>
                <w:sz w:val="20"/>
              </w:rPr>
              <w:t>PATH 602</w:t>
            </w:r>
          </w:p>
        </w:tc>
        <w:tc>
          <w:tcPr>
            <w:tcW w:w="2758" w:type="dxa"/>
          </w:tcPr>
          <w:p>
            <w:pPr>
              <w:pStyle w:val="TableParagraph"/>
              <w:spacing w:line="219" w:lineRule="exact" w:before="121"/>
              <w:ind w:left="148"/>
              <w:rPr>
                <w:sz w:val="20"/>
              </w:rPr>
            </w:pPr>
            <w:r>
              <w:rPr>
                <w:sz w:val="20"/>
              </w:rPr>
              <w:t>SYSTEMIC PATHOLOGY</w:t>
            </w:r>
          </w:p>
        </w:tc>
        <w:tc>
          <w:tcPr>
            <w:tcW w:w="936" w:type="dxa"/>
          </w:tcPr>
          <w:p>
            <w:pPr>
              <w:pStyle w:val="TableParagraph"/>
              <w:spacing w:line="219" w:lineRule="exact" w:before="121"/>
              <w:ind w:right="202"/>
              <w:jc w:val="right"/>
              <w:rPr>
                <w:sz w:val="20"/>
              </w:rPr>
            </w:pPr>
            <w:r>
              <w:rPr>
                <w:w w:val="100"/>
                <w:sz w:val="20"/>
              </w:rPr>
              <w:t>3</w:t>
            </w:r>
          </w:p>
        </w:tc>
      </w:tr>
      <w:tr>
        <w:trPr>
          <w:trHeight w:val="240" w:hRule="atLeast"/>
        </w:trPr>
        <w:tc>
          <w:tcPr>
            <w:tcW w:w="1261" w:type="dxa"/>
          </w:tcPr>
          <w:p>
            <w:pPr>
              <w:pStyle w:val="TableParagraph"/>
              <w:spacing w:before="0"/>
              <w:rPr>
                <w:sz w:val="16"/>
              </w:rPr>
            </w:pPr>
          </w:p>
        </w:tc>
        <w:tc>
          <w:tcPr>
            <w:tcW w:w="2758" w:type="dxa"/>
          </w:tcPr>
          <w:p>
            <w:pPr>
              <w:pStyle w:val="TableParagraph"/>
              <w:spacing w:line="219" w:lineRule="exact"/>
              <w:ind w:left="148"/>
              <w:rPr>
                <w:sz w:val="20"/>
              </w:rPr>
            </w:pPr>
            <w:r>
              <w:rPr>
                <w:sz w:val="20"/>
              </w:rPr>
              <w:t>Or</w:t>
            </w:r>
          </w:p>
        </w:tc>
        <w:tc>
          <w:tcPr>
            <w:tcW w:w="936" w:type="dxa"/>
          </w:tcPr>
          <w:p>
            <w:pPr>
              <w:pStyle w:val="TableParagraph"/>
              <w:spacing w:before="0"/>
              <w:rPr>
                <w:sz w:val="16"/>
              </w:rPr>
            </w:pPr>
          </w:p>
        </w:tc>
      </w:tr>
      <w:tr>
        <w:trPr>
          <w:trHeight w:val="360" w:hRule="atLeast"/>
        </w:trPr>
        <w:tc>
          <w:tcPr>
            <w:tcW w:w="1261" w:type="dxa"/>
          </w:tcPr>
          <w:p>
            <w:pPr>
              <w:pStyle w:val="TableParagraph"/>
              <w:ind w:left="200"/>
              <w:rPr>
                <w:sz w:val="20"/>
              </w:rPr>
            </w:pPr>
            <w:r>
              <w:rPr>
                <w:sz w:val="20"/>
              </w:rPr>
              <w:t>PATH 603</w:t>
            </w:r>
          </w:p>
        </w:tc>
        <w:tc>
          <w:tcPr>
            <w:tcW w:w="2758" w:type="dxa"/>
          </w:tcPr>
          <w:p>
            <w:pPr>
              <w:pStyle w:val="TableParagraph"/>
              <w:ind w:left="148"/>
              <w:rPr>
                <w:sz w:val="20"/>
              </w:rPr>
            </w:pPr>
            <w:r>
              <w:rPr>
                <w:sz w:val="20"/>
              </w:rPr>
              <w:t>GENERAL PATHOLOGY</w:t>
            </w:r>
          </w:p>
        </w:tc>
        <w:tc>
          <w:tcPr>
            <w:tcW w:w="936" w:type="dxa"/>
          </w:tcPr>
          <w:p>
            <w:pPr>
              <w:pStyle w:val="TableParagraph"/>
              <w:ind w:right="202"/>
              <w:jc w:val="right"/>
              <w:rPr>
                <w:sz w:val="20"/>
              </w:rPr>
            </w:pPr>
            <w:r>
              <w:rPr>
                <w:w w:val="100"/>
                <w:sz w:val="20"/>
              </w:rPr>
              <w:t>3</w:t>
            </w:r>
          </w:p>
        </w:tc>
      </w:tr>
      <w:tr>
        <w:trPr>
          <w:trHeight w:val="360" w:hRule="atLeast"/>
        </w:trPr>
        <w:tc>
          <w:tcPr>
            <w:tcW w:w="1261" w:type="dxa"/>
          </w:tcPr>
          <w:p>
            <w:pPr>
              <w:pStyle w:val="TableParagraph"/>
              <w:spacing w:line="219" w:lineRule="exact" w:before="121"/>
              <w:ind w:left="200"/>
              <w:rPr>
                <w:sz w:val="20"/>
              </w:rPr>
            </w:pPr>
            <w:r>
              <w:rPr>
                <w:sz w:val="20"/>
              </w:rPr>
              <w:t>TOXI 607</w:t>
            </w:r>
          </w:p>
        </w:tc>
        <w:tc>
          <w:tcPr>
            <w:tcW w:w="2758" w:type="dxa"/>
          </w:tcPr>
          <w:p>
            <w:pPr>
              <w:pStyle w:val="TableParagraph"/>
              <w:spacing w:line="219" w:lineRule="exact" w:before="121"/>
              <w:ind w:left="148"/>
              <w:rPr>
                <w:sz w:val="20"/>
              </w:rPr>
            </w:pPr>
            <w:r>
              <w:rPr>
                <w:sz w:val="20"/>
              </w:rPr>
              <w:t>FORENSIC TOXICOLOGY</w:t>
            </w:r>
          </w:p>
        </w:tc>
        <w:tc>
          <w:tcPr>
            <w:tcW w:w="936" w:type="dxa"/>
          </w:tcPr>
          <w:p>
            <w:pPr>
              <w:pStyle w:val="TableParagraph"/>
              <w:spacing w:line="219" w:lineRule="exact" w:before="121"/>
              <w:ind w:right="202"/>
              <w:jc w:val="right"/>
              <w:rPr>
                <w:sz w:val="20"/>
              </w:rPr>
            </w:pPr>
            <w:r>
              <w:rPr>
                <w:w w:val="100"/>
                <w:sz w:val="20"/>
              </w:rPr>
              <w:t>3</w:t>
            </w:r>
          </w:p>
        </w:tc>
      </w:tr>
      <w:tr>
        <w:trPr>
          <w:trHeight w:val="480" w:hRule="atLeast"/>
        </w:trPr>
        <w:tc>
          <w:tcPr>
            <w:tcW w:w="1261" w:type="dxa"/>
          </w:tcPr>
          <w:p>
            <w:pPr>
              <w:pStyle w:val="TableParagraph"/>
              <w:ind w:left="200"/>
              <w:rPr>
                <w:sz w:val="20"/>
              </w:rPr>
            </w:pPr>
            <w:r>
              <w:rPr>
                <w:sz w:val="20"/>
              </w:rPr>
              <w:t>FMED 610</w:t>
            </w:r>
          </w:p>
        </w:tc>
        <w:tc>
          <w:tcPr>
            <w:tcW w:w="2758" w:type="dxa"/>
          </w:tcPr>
          <w:p>
            <w:pPr>
              <w:pStyle w:val="TableParagraph"/>
              <w:ind w:left="148"/>
              <w:rPr>
                <w:sz w:val="20"/>
              </w:rPr>
            </w:pPr>
            <w:r>
              <w:rPr>
                <w:sz w:val="20"/>
              </w:rPr>
              <w:t>FORENSIC TOXICOLOGY</w:t>
            </w:r>
          </w:p>
          <w:p>
            <w:pPr>
              <w:pStyle w:val="TableParagraph"/>
              <w:spacing w:line="219" w:lineRule="exact" w:before="10"/>
              <w:ind w:left="148"/>
              <w:rPr>
                <w:sz w:val="20"/>
              </w:rPr>
            </w:pPr>
            <w:r>
              <w:rPr>
                <w:sz w:val="20"/>
              </w:rPr>
              <w:t>LABORATORY</w:t>
            </w:r>
          </w:p>
        </w:tc>
        <w:tc>
          <w:tcPr>
            <w:tcW w:w="936" w:type="dxa"/>
          </w:tcPr>
          <w:p>
            <w:pPr>
              <w:pStyle w:val="TableParagraph"/>
              <w:ind w:right="202"/>
              <w:jc w:val="right"/>
              <w:rPr>
                <w:sz w:val="20"/>
              </w:rPr>
            </w:pPr>
            <w:r>
              <w:rPr>
                <w:w w:val="100"/>
                <w:sz w:val="20"/>
              </w:rPr>
              <w:t>3</w:t>
            </w:r>
          </w:p>
        </w:tc>
      </w:tr>
      <w:tr>
        <w:trPr>
          <w:trHeight w:val="240" w:hRule="atLeast"/>
        </w:trPr>
        <w:tc>
          <w:tcPr>
            <w:tcW w:w="1261" w:type="dxa"/>
          </w:tcPr>
          <w:p>
            <w:pPr>
              <w:pStyle w:val="TableParagraph"/>
              <w:spacing w:line="219" w:lineRule="exact"/>
              <w:ind w:left="200"/>
              <w:rPr>
                <w:sz w:val="20"/>
              </w:rPr>
            </w:pPr>
            <w:r>
              <w:rPr>
                <w:sz w:val="20"/>
              </w:rPr>
              <w:t>FMED 830</w:t>
            </w:r>
          </w:p>
        </w:tc>
        <w:tc>
          <w:tcPr>
            <w:tcW w:w="2758" w:type="dxa"/>
          </w:tcPr>
          <w:p>
            <w:pPr>
              <w:pStyle w:val="TableParagraph"/>
              <w:spacing w:line="219" w:lineRule="exact"/>
              <w:ind w:left="148"/>
              <w:rPr>
                <w:sz w:val="20"/>
              </w:rPr>
            </w:pPr>
            <w:r>
              <w:rPr>
                <w:sz w:val="20"/>
              </w:rPr>
              <w:t>FORENSIC RADIOLOGY</w:t>
            </w:r>
          </w:p>
        </w:tc>
        <w:tc>
          <w:tcPr>
            <w:tcW w:w="936" w:type="dxa"/>
          </w:tcPr>
          <w:p>
            <w:pPr>
              <w:pStyle w:val="TableParagraph"/>
              <w:spacing w:line="219" w:lineRule="exact"/>
              <w:ind w:right="197"/>
              <w:jc w:val="right"/>
              <w:rPr>
                <w:sz w:val="20"/>
              </w:rPr>
            </w:pPr>
            <w:r>
              <w:rPr>
                <w:sz w:val="20"/>
              </w:rPr>
              <w:t>1 TO 2</w:t>
            </w:r>
          </w:p>
        </w:tc>
      </w:tr>
      <w:tr>
        <w:trPr>
          <w:trHeight w:val="720" w:hRule="atLeast"/>
        </w:trPr>
        <w:tc>
          <w:tcPr>
            <w:tcW w:w="1261" w:type="dxa"/>
          </w:tcPr>
          <w:p>
            <w:pPr>
              <w:pStyle w:val="TableParagraph"/>
              <w:ind w:left="200"/>
              <w:rPr>
                <w:sz w:val="20"/>
              </w:rPr>
            </w:pPr>
            <w:r>
              <w:rPr>
                <w:sz w:val="20"/>
              </w:rPr>
              <w:t>FMED 840</w:t>
            </w:r>
          </w:p>
        </w:tc>
        <w:tc>
          <w:tcPr>
            <w:tcW w:w="2758" w:type="dxa"/>
          </w:tcPr>
          <w:p>
            <w:pPr>
              <w:pStyle w:val="TableParagraph"/>
              <w:spacing w:line="249" w:lineRule="auto"/>
              <w:ind w:left="148" w:right="173"/>
              <w:rPr>
                <w:sz w:val="20"/>
              </w:rPr>
            </w:pPr>
            <w:r>
              <w:rPr>
                <w:sz w:val="20"/>
              </w:rPr>
              <w:t>FORENSIC ODONTOLOGY AND FORENSIC</w:t>
            </w:r>
          </w:p>
          <w:p>
            <w:pPr>
              <w:pStyle w:val="TableParagraph"/>
              <w:spacing w:line="219" w:lineRule="exact" w:before="2"/>
              <w:ind w:left="148"/>
              <w:rPr>
                <w:sz w:val="20"/>
              </w:rPr>
            </w:pPr>
            <w:r>
              <w:rPr>
                <w:sz w:val="20"/>
              </w:rPr>
              <w:t>ANTHROPOLOGY</w:t>
            </w:r>
          </w:p>
        </w:tc>
        <w:tc>
          <w:tcPr>
            <w:tcW w:w="936" w:type="dxa"/>
          </w:tcPr>
          <w:p>
            <w:pPr>
              <w:pStyle w:val="TableParagraph"/>
              <w:ind w:right="202"/>
              <w:jc w:val="right"/>
              <w:rPr>
                <w:sz w:val="20"/>
              </w:rPr>
            </w:pPr>
            <w:r>
              <w:rPr>
                <w:w w:val="100"/>
                <w:sz w:val="20"/>
              </w:rPr>
              <w:t>2</w:t>
            </w:r>
          </w:p>
        </w:tc>
      </w:tr>
      <w:tr>
        <w:trPr>
          <w:trHeight w:val="231" w:hRule="atLeast"/>
        </w:trPr>
        <w:tc>
          <w:tcPr>
            <w:tcW w:w="1261" w:type="dxa"/>
          </w:tcPr>
          <w:p>
            <w:pPr>
              <w:pStyle w:val="TableParagraph"/>
              <w:spacing w:line="210" w:lineRule="exact"/>
              <w:ind w:left="200"/>
              <w:rPr>
                <w:sz w:val="20"/>
              </w:rPr>
            </w:pPr>
            <w:r>
              <w:rPr>
                <w:sz w:val="20"/>
              </w:rPr>
              <w:t>LAW 515S</w:t>
            </w:r>
          </w:p>
        </w:tc>
        <w:tc>
          <w:tcPr>
            <w:tcW w:w="2758" w:type="dxa"/>
          </w:tcPr>
          <w:p>
            <w:pPr>
              <w:pStyle w:val="TableParagraph"/>
              <w:spacing w:before="0"/>
              <w:rPr>
                <w:sz w:val="16"/>
              </w:rPr>
            </w:pPr>
          </w:p>
        </w:tc>
        <w:tc>
          <w:tcPr>
            <w:tcW w:w="936" w:type="dxa"/>
          </w:tcPr>
          <w:p>
            <w:pPr>
              <w:pStyle w:val="TableParagraph"/>
              <w:spacing w:before="0"/>
              <w:rPr>
                <w:sz w:val="16"/>
              </w:rPr>
            </w:pPr>
          </w:p>
        </w:tc>
      </w:tr>
    </w:tbl>
    <w:p>
      <w:pPr>
        <w:pStyle w:val="Heading5"/>
        <w:spacing w:line="415" w:lineRule="auto" w:before="182"/>
        <w:ind w:right="7467"/>
      </w:pPr>
      <w:r>
        <w:rPr/>
        <w:t>Courses Offered By CUPL (Beijing) Before Enrollment at UMB:</w:t>
      </w:r>
    </w:p>
    <w:p>
      <w:pPr>
        <w:pStyle w:val="BodyText"/>
        <w:spacing w:line="434" w:lineRule="auto" w:before="14"/>
        <w:ind w:left="199" w:right="6247"/>
        <w:rPr>
          <w:sz w:val="21"/>
        </w:rPr>
      </w:pPr>
      <w:r>
        <w:rPr/>
        <w:pict>
          <v:shape style="position:absolute;margin-left:49.279999pt;margin-top:55.053501pt;width:247.8pt;height:47.2pt;mso-position-horizontal-relative:page;mso-position-vertical-relative:paragraph;z-index:10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5"/>
                    <w:gridCol w:w="2445"/>
                    <w:gridCol w:w="1234"/>
                  </w:tblGrid>
                  <w:tr>
                    <w:trPr>
                      <w:trHeight w:val="471" w:hRule="atLeast"/>
                    </w:trPr>
                    <w:tc>
                      <w:tcPr>
                        <w:tcW w:w="1275" w:type="dxa"/>
                      </w:tcPr>
                      <w:p>
                        <w:pPr>
                          <w:pStyle w:val="TableParagraph"/>
                          <w:spacing w:line="223" w:lineRule="exact" w:before="0"/>
                          <w:ind w:left="200"/>
                          <w:rPr>
                            <w:sz w:val="20"/>
                          </w:rPr>
                        </w:pPr>
                        <w:r>
                          <w:rPr>
                            <w:sz w:val="20"/>
                          </w:rPr>
                          <w:t>MHS 652</w:t>
                        </w:r>
                      </w:p>
                    </w:tc>
                    <w:tc>
                      <w:tcPr>
                        <w:tcW w:w="2445" w:type="dxa"/>
                      </w:tcPr>
                      <w:p>
                        <w:pPr>
                          <w:pStyle w:val="TableParagraph"/>
                          <w:spacing w:line="223" w:lineRule="exact" w:before="0"/>
                          <w:ind w:left="153"/>
                          <w:rPr>
                            <w:sz w:val="20"/>
                          </w:rPr>
                        </w:pPr>
                        <w:r>
                          <w:rPr>
                            <w:sz w:val="20"/>
                          </w:rPr>
                          <w:t>LEADERSHIP</w:t>
                        </w:r>
                        <w:r>
                          <w:rPr>
                            <w:spacing w:val="-2"/>
                            <w:sz w:val="20"/>
                          </w:rPr>
                          <w:t> AND</w:t>
                        </w:r>
                      </w:p>
                      <w:p>
                        <w:pPr>
                          <w:pStyle w:val="TableParagraph"/>
                          <w:spacing w:line="219" w:lineRule="exact" w:before="10"/>
                          <w:ind w:left="153"/>
                          <w:rPr>
                            <w:sz w:val="20"/>
                          </w:rPr>
                        </w:pPr>
                        <w:r>
                          <w:rPr>
                            <w:sz w:val="20"/>
                          </w:rPr>
                          <w:t>COMMUNICATION</w:t>
                        </w:r>
                      </w:p>
                    </w:tc>
                    <w:tc>
                      <w:tcPr>
                        <w:tcW w:w="1234" w:type="dxa"/>
                      </w:tcPr>
                      <w:p>
                        <w:pPr>
                          <w:pStyle w:val="TableParagraph"/>
                          <w:spacing w:line="223" w:lineRule="exact" w:before="0"/>
                          <w:ind w:right="201"/>
                          <w:jc w:val="right"/>
                          <w:rPr>
                            <w:sz w:val="20"/>
                          </w:rPr>
                        </w:pPr>
                        <w:r>
                          <w:rPr>
                            <w:w w:val="100"/>
                            <w:sz w:val="20"/>
                          </w:rPr>
                          <w:t>3</w:t>
                        </w:r>
                      </w:p>
                    </w:tc>
                  </w:tr>
                  <w:tr>
                    <w:trPr>
                      <w:trHeight w:val="240" w:hRule="atLeast"/>
                    </w:trPr>
                    <w:tc>
                      <w:tcPr>
                        <w:tcW w:w="1275" w:type="dxa"/>
                      </w:tcPr>
                      <w:p>
                        <w:pPr>
                          <w:pStyle w:val="TableParagraph"/>
                          <w:spacing w:line="219" w:lineRule="exact"/>
                          <w:ind w:left="200"/>
                          <w:rPr>
                            <w:sz w:val="20"/>
                          </w:rPr>
                        </w:pPr>
                        <w:r>
                          <w:rPr>
                            <w:sz w:val="20"/>
                          </w:rPr>
                          <w:t>DBMS 638</w:t>
                        </w:r>
                      </w:p>
                    </w:tc>
                    <w:tc>
                      <w:tcPr>
                        <w:tcW w:w="2445" w:type="dxa"/>
                      </w:tcPr>
                      <w:p>
                        <w:pPr>
                          <w:pStyle w:val="TableParagraph"/>
                          <w:spacing w:line="219" w:lineRule="exact"/>
                          <w:ind w:left="153"/>
                          <w:rPr>
                            <w:sz w:val="20"/>
                          </w:rPr>
                        </w:pPr>
                        <w:r>
                          <w:rPr>
                            <w:sz w:val="20"/>
                          </w:rPr>
                          <w:t>BIOSTATISTICS</w:t>
                        </w:r>
                      </w:p>
                    </w:tc>
                    <w:tc>
                      <w:tcPr>
                        <w:tcW w:w="1234" w:type="dxa"/>
                      </w:tcPr>
                      <w:p>
                        <w:pPr>
                          <w:pStyle w:val="TableParagraph"/>
                          <w:spacing w:line="219" w:lineRule="exact"/>
                          <w:ind w:right="196"/>
                          <w:jc w:val="right"/>
                          <w:rPr>
                            <w:sz w:val="20"/>
                          </w:rPr>
                        </w:pPr>
                        <w:r>
                          <w:rPr>
                            <w:sz w:val="20"/>
                          </w:rPr>
                          <w:t>1 TO 3</w:t>
                        </w:r>
                      </w:p>
                    </w:tc>
                  </w:tr>
                  <w:tr>
                    <w:trPr>
                      <w:trHeight w:val="231" w:hRule="atLeast"/>
                    </w:trPr>
                    <w:tc>
                      <w:tcPr>
                        <w:tcW w:w="1275" w:type="dxa"/>
                      </w:tcPr>
                      <w:p>
                        <w:pPr>
                          <w:pStyle w:val="TableParagraph"/>
                          <w:spacing w:line="210" w:lineRule="exact"/>
                          <w:ind w:left="200"/>
                          <w:rPr>
                            <w:sz w:val="20"/>
                          </w:rPr>
                        </w:pPr>
                        <w:r>
                          <w:rPr>
                            <w:sz w:val="20"/>
                          </w:rPr>
                          <w:t>MEDT 631</w:t>
                        </w:r>
                      </w:p>
                    </w:tc>
                    <w:tc>
                      <w:tcPr>
                        <w:tcW w:w="2445" w:type="dxa"/>
                      </w:tcPr>
                      <w:p>
                        <w:pPr>
                          <w:pStyle w:val="TableParagraph"/>
                          <w:spacing w:line="210" w:lineRule="exact"/>
                          <w:ind w:left="153"/>
                          <w:rPr>
                            <w:sz w:val="20"/>
                          </w:rPr>
                        </w:pPr>
                        <w:r>
                          <w:rPr>
                            <w:sz w:val="20"/>
                          </w:rPr>
                          <w:t>RESEARCH DESIGN</w:t>
                        </w:r>
                      </w:p>
                    </w:tc>
                    <w:tc>
                      <w:tcPr>
                        <w:tcW w:w="1234" w:type="dxa"/>
                      </w:tcPr>
                      <w:p>
                        <w:pPr>
                          <w:pStyle w:val="TableParagraph"/>
                          <w:spacing w:line="210" w:lineRule="exact"/>
                          <w:ind w:right="201"/>
                          <w:jc w:val="right"/>
                          <w:rPr>
                            <w:sz w:val="20"/>
                          </w:rPr>
                        </w:pPr>
                        <w:r>
                          <w:rPr>
                            <w:w w:val="100"/>
                            <w:sz w:val="20"/>
                          </w:rPr>
                          <w:t>2</w:t>
                        </w:r>
                      </w:p>
                    </w:tc>
                  </w:tr>
                </w:tbl>
                <w:p>
                  <w:pPr>
                    <w:pStyle w:val="BodyText"/>
                    <w:spacing w:before="0"/>
                    <w:ind w:left="0"/>
                  </w:pPr>
                </w:p>
              </w:txbxContent>
            </v:textbox>
            <w10:wrap type="none"/>
          </v:shape>
        </w:pict>
      </w:r>
      <w:r>
        <w:rPr/>
        <w:t>Introduction to Forensic Science Evidence Investigation Forensic Biological Evidence Clinical Forensic Medicine </w:t>
      </w:r>
      <w:r>
        <w:rPr>
          <w:sz w:val="21"/>
        </w:rPr>
        <w:t>Available Electives</w:t>
      </w: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line="249" w:lineRule="auto" w:before="189"/>
        <w:ind w:right="6391"/>
      </w:pPr>
      <w:r>
        <w:rPr/>
        <w:t>Details are given in the Course Descriptions part of this catalog.</w:t>
      </w:r>
    </w:p>
    <w:p>
      <w:pPr>
        <w:spacing w:after="0" w:line="249" w:lineRule="auto"/>
        <w:sectPr>
          <w:pgSz w:w="12240" w:h="15840"/>
          <w:pgMar w:header="746" w:footer="0" w:top="1320" w:bottom="280" w:left="880" w:right="300"/>
        </w:sectPr>
      </w:pPr>
    </w:p>
    <w:p>
      <w:pPr>
        <w:pStyle w:val="Heading3"/>
      </w:pPr>
      <w:bookmarkStart w:name="Global Health" w:id="23"/>
      <w:bookmarkEnd w:id="23"/>
      <w:r>
        <w:rPr/>
      </w:r>
      <w:bookmarkStart w:name="_bookmark11" w:id="24"/>
      <w:bookmarkEnd w:id="24"/>
      <w:r>
        <w:rPr/>
      </w:r>
      <w:r>
        <w:rPr/>
        <w:t>Global Health</w:t>
      </w:r>
    </w:p>
    <w:p>
      <w:pPr>
        <w:pStyle w:val="BodyText"/>
        <w:spacing w:before="190"/>
      </w:pPr>
      <w:hyperlink r:id="rId43">
        <w:r>
          <w:rPr>
            <w:color w:val="0000FF"/>
            <w:u w:val="single" w:color="0000FF"/>
          </w:rPr>
          <w:t>https://www.graduate.umaryland.edu/globalhealthms/</w:t>
        </w:r>
      </w:hyperlink>
    </w:p>
    <w:p>
      <w:pPr>
        <w:pStyle w:val="Heading6"/>
        <w:spacing w:before="192"/>
      </w:pPr>
      <w:r>
        <w:rPr/>
        <w:t>Degree Offered</w:t>
      </w:r>
    </w:p>
    <w:p>
      <w:pPr>
        <w:pStyle w:val="BodyText"/>
        <w:spacing w:before="188"/>
      </w:pPr>
      <w:r>
        <w:rPr/>
        <w:t>MS</w:t>
      </w:r>
    </w:p>
    <w:p>
      <w:pPr>
        <w:pStyle w:val="Heading6"/>
        <w:spacing w:before="192"/>
      </w:pPr>
      <w:r>
        <w:rPr/>
        <w:t>Program Description</w:t>
      </w:r>
    </w:p>
    <w:p>
      <w:pPr>
        <w:pStyle w:val="BodyText"/>
        <w:spacing w:line="249" w:lineRule="auto" w:before="188"/>
        <w:ind w:left="199" w:right="20"/>
      </w:pPr>
      <w:r>
        <w:rPr/>
        <w:t>The Master of Science (M.S.) in Global Health is a predominantly online, 31-credit program that will allow students to be trained in best practices of global health education, research, and practice and to specialize in one of three areas of concentration. The M.S. in Global Health program is organized around a completely online core curriculum (19 credits). The areas of concentration are: 1) Implementation and Dissemination Science (online); 2) Global Health Program Monitoring and Evaluation (online, starting Fall 2021); and 3) Global Health Innovation (10- week study abroad in Costa Rica, starting Fall 2021).</w:t>
      </w:r>
    </w:p>
    <w:p>
      <w:pPr>
        <w:pStyle w:val="BodyText"/>
        <w:spacing w:line="249" w:lineRule="auto" w:before="8"/>
        <w:ind w:left="199" w:right="135"/>
      </w:pPr>
      <w:r>
        <w:rPr/>
        <w:t>Students can also pursue the degree with no concentration but rather pursue a generalized 31-credit M.S. in Global Health. Degree students are required to complete a research seminar (online) followed by a capstone project (online) on a global health topic chosen in cooperation with UMB faculty. Full- and part-time plans of study are available to students.</w:t>
      </w:r>
    </w:p>
    <w:p>
      <w:pPr>
        <w:pStyle w:val="Heading6"/>
        <w:spacing w:before="187"/>
        <w:ind w:left="199"/>
      </w:pPr>
      <w:r>
        <w:rPr/>
        <w:t>Learning Outcome</w:t>
      </w:r>
    </w:p>
    <w:p>
      <w:pPr>
        <w:pStyle w:val="BodyText"/>
        <w:spacing w:line="249" w:lineRule="auto" w:before="188"/>
        <w:ind w:left="199" w:right="24"/>
      </w:pPr>
      <w:r>
        <w:rPr/>
        <w:t>By the completion of the proposed M.S. in Global Health and consistent with the Consortium of Universities for Global Health (CUGH) competencies, students will be able to:</w:t>
      </w:r>
    </w:p>
    <w:p>
      <w:pPr>
        <w:pStyle w:val="ListParagraph"/>
        <w:numPr>
          <w:ilvl w:val="0"/>
          <w:numId w:val="7"/>
        </w:numPr>
        <w:tabs>
          <w:tab w:pos="633" w:val="left" w:leader="none"/>
        </w:tabs>
        <w:spacing w:line="240" w:lineRule="auto" w:before="185" w:after="0"/>
        <w:ind w:left="632" w:right="0" w:hanging="216"/>
        <w:jc w:val="left"/>
        <w:rPr>
          <w:sz w:val="20"/>
        </w:rPr>
      </w:pPr>
      <w:r>
        <w:rPr>
          <w:sz w:val="20"/>
        </w:rPr>
        <w:t>Understand the </w:t>
      </w:r>
      <w:r>
        <w:rPr>
          <w:spacing w:val="-3"/>
          <w:sz w:val="20"/>
        </w:rPr>
        <w:t>Global </w:t>
      </w:r>
      <w:r>
        <w:rPr>
          <w:sz w:val="20"/>
        </w:rPr>
        <w:t>Burden </w:t>
      </w:r>
      <w:r>
        <w:rPr>
          <w:spacing w:val="-3"/>
          <w:sz w:val="20"/>
        </w:rPr>
        <w:t>of </w:t>
      </w:r>
      <w:r>
        <w:rPr>
          <w:sz w:val="20"/>
        </w:rPr>
        <w:t>Disease,</w:t>
      </w:r>
      <w:r>
        <w:rPr>
          <w:spacing w:val="16"/>
          <w:sz w:val="20"/>
        </w:rPr>
        <w:t> </w:t>
      </w:r>
      <w:r>
        <w:rPr>
          <w:sz w:val="20"/>
        </w:rPr>
        <w:t>and</w:t>
      </w:r>
    </w:p>
    <w:p>
      <w:pPr>
        <w:pStyle w:val="ListParagraph"/>
        <w:numPr>
          <w:ilvl w:val="1"/>
          <w:numId w:val="7"/>
        </w:numPr>
        <w:tabs>
          <w:tab w:pos="920" w:val="left" w:leader="none"/>
        </w:tabs>
        <w:spacing w:line="249" w:lineRule="auto" w:before="188" w:after="0"/>
        <w:ind w:left="919" w:right="283" w:hanging="215"/>
        <w:jc w:val="left"/>
        <w:rPr>
          <w:sz w:val="20"/>
        </w:rPr>
      </w:pPr>
      <w:r>
        <w:rPr>
          <w:sz w:val="20"/>
        </w:rPr>
        <w:t>Describe the major cause </w:t>
      </w:r>
      <w:r>
        <w:rPr>
          <w:spacing w:val="-3"/>
          <w:sz w:val="20"/>
        </w:rPr>
        <w:t>of </w:t>
      </w:r>
      <w:r>
        <w:rPr>
          <w:sz w:val="20"/>
        </w:rPr>
        <w:t>morbidity and mortality around the world, and how the risk </w:t>
      </w:r>
      <w:r>
        <w:rPr>
          <w:spacing w:val="-5"/>
          <w:sz w:val="20"/>
        </w:rPr>
        <w:t>of </w:t>
      </w:r>
      <w:r>
        <w:rPr>
          <w:sz w:val="20"/>
        </w:rPr>
        <w:t>disease varies with</w:t>
      </w:r>
      <w:r>
        <w:rPr>
          <w:spacing w:val="-3"/>
          <w:sz w:val="20"/>
        </w:rPr>
        <w:t> </w:t>
      </w:r>
      <w:r>
        <w:rPr>
          <w:sz w:val="20"/>
        </w:rPr>
        <w:t>regions</w:t>
      </w:r>
    </w:p>
    <w:p>
      <w:pPr>
        <w:pStyle w:val="ListParagraph"/>
        <w:numPr>
          <w:ilvl w:val="1"/>
          <w:numId w:val="7"/>
        </w:numPr>
        <w:tabs>
          <w:tab w:pos="920" w:val="left" w:leader="none"/>
        </w:tabs>
        <w:spacing w:line="249" w:lineRule="auto" w:before="184" w:after="0"/>
        <w:ind w:left="919" w:right="216" w:hanging="215"/>
        <w:jc w:val="left"/>
        <w:rPr>
          <w:sz w:val="20"/>
        </w:rPr>
      </w:pPr>
      <w:r>
        <w:rPr>
          <w:sz w:val="20"/>
        </w:rPr>
        <w:t>Analyze major public health efforts to reduce disparities in global health (such as Sustainable Development Goals (SDGs) and </w:t>
      </w:r>
      <w:r>
        <w:rPr>
          <w:spacing w:val="-3"/>
          <w:sz w:val="20"/>
        </w:rPr>
        <w:t>Global </w:t>
      </w:r>
      <w:r>
        <w:rPr>
          <w:sz w:val="20"/>
        </w:rPr>
        <w:t>Fund to Fight AIDS, TB, and</w:t>
      </w:r>
      <w:r>
        <w:rPr>
          <w:spacing w:val="-4"/>
          <w:sz w:val="20"/>
        </w:rPr>
        <w:t> </w:t>
      </w:r>
      <w:r>
        <w:rPr>
          <w:sz w:val="20"/>
        </w:rPr>
        <w:t>Malaria).</w:t>
      </w:r>
    </w:p>
    <w:p>
      <w:pPr>
        <w:pStyle w:val="ListParagraph"/>
        <w:numPr>
          <w:ilvl w:val="1"/>
          <w:numId w:val="7"/>
        </w:numPr>
        <w:tabs>
          <w:tab w:pos="920" w:val="left" w:leader="none"/>
        </w:tabs>
        <w:spacing w:line="249" w:lineRule="auto" w:before="181" w:after="0"/>
        <w:ind w:left="919" w:right="110" w:hanging="215"/>
        <w:jc w:val="left"/>
        <w:rPr>
          <w:sz w:val="20"/>
        </w:rPr>
      </w:pPr>
      <w:r>
        <w:rPr>
          <w:sz w:val="20"/>
        </w:rPr>
        <w:t>Validate the health status </w:t>
      </w:r>
      <w:r>
        <w:rPr>
          <w:spacing w:val="-3"/>
          <w:sz w:val="20"/>
        </w:rPr>
        <w:t>of </w:t>
      </w:r>
      <w:r>
        <w:rPr>
          <w:sz w:val="20"/>
        </w:rPr>
        <w:t>populations using available data (e.g., public health surveillance data, vital statistics, registries, </w:t>
      </w:r>
      <w:r>
        <w:rPr>
          <w:spacing w:val="-3"/>
          <w:sz w:val="20"/>
        </w:rPr>
        <w:t>surveys, </w:t>
      </w:r>
      <w:r>
        <w:rPr>
          <w:sz w:val="20"/>
        </w:rPr>
        <w:t>electronic health records and health plan claims</w:t>
      </w:r>
      <w:r>
        <w:rPr>
          <w:spacing w:val="-7"/>
          <w:sz w:val="20"/>
        </w:rPr>
        <w:t> </w:t>
      </w:r>
      <w:r>
        <w:rPr>
          <w:sz w:val="20"/>
        </w:rPr>
        <w:t>data).</w:t>
      </w:r>
    </w:p>
    <w:p>
      <w:pPr>
        <w:pStyle w:val="ListParagraph"/>
        <w:numPr>
          <w:ilvl w:val="0"/>
          <w:numId w:val="7"/>
        </w:numPr>
        <w:tabs>
          <w:tab w:pos="632" w:val="left" w:leader="none"/>
        </w:tabs>
        <w:spacing w:line="249" w:lineRule="auto" w:before="185" w:after="0"/>
        <w:ind w:left="631" w:right="103" w:hanging="216"/>
        <w:jc w:val="left"/>
        <w:rPr>
          <w:sz w:val="20"/>
        </w:rPr>
      </w:pPr>
      <w:r>
        <w:rPr>
          <w:sz w:val="20"/>
        </w:rPr>
        <w:t>Understand Globalization </w:t>
      </w:r>
      <w:r>
        <w:rPr>
          <w:spacing w:val="-3"/>
          <w:sz w:val="20"/>
        </w:rPr>
        <w:t>of </w:t>
      </w:r>
      <w:r>
        <w:rPr>
          <w:sz w:val="20"/>
        </w:rPr>
        <w:t>Health and </w:t>
      </w:r>
      <w:r>
        <w:rPr>
          <w:spacing w:val="-3"/>
          <w:sz w:val="20"/>
        </w:rPr>
        <w:t>Health </w:t>
      </w:r>
      <w:r>
        <w:rPr>
          <w:sz w:val="20"/>
        </w:rPr>
        <w:t>Care, and</w:t>
      </w:r>
    </w:p>
    <w:p>
      <w:pPr>
        <w:pStyle w:val="ListParagraph"/>
        <w:numPr>
          <w:ilvl w:val="1"/>
          <w:numId w:val="7"/>
        </w:numPr>
        <w:tabs>
          <w:tab w:pos="920" w:val="left" w:leader="none"/>
        </w:tabs>
        <w:spacing w:line="240" w:lineRule="auto" w:before="179" w:after="0"/>
        <w:ind w:left="919" w:right="0" w:hanging="216"/>
        <w:jc w:val="left"/>
        <w:rPr>
          <w:sz w:val="20"/>
        </w:rPr>
      </w:pPr>
      <w:r>
        <w:rPr>
          <w:sz w:val="20"/>
        </w:rPr>
        <w:t>Critically evaluate different national models</w:t>
      </w:r>
      <w:r>
        <w:rPr>
          <w:spacing w:val="-12"/>
          <w:sz w:val="20"/>
        </w:rPr>
        <w:t> </w:t>
      </w:r>
      <w:r>
        <w:rPr>
          <w:spacing w:val="-3"/>
          <w:sz w:val="20"/>
        </w:rPr>
        <w:t>or</w:t>
      </w:r>
    </w:p>
    <w:p>
      <w:pPr>
        <w:pStyle w:val="BodyText"/>
        <w:spacing w:line="249" w:lineRule="auto" w:before="96"/>
        <w:ind w:left="704" w:right="824"/>
      </w:pPr>
      <w:r>
        <w:rPr/>
        <w:br w:type="column"/>
      </w:r>
      <w:r>
        <w:rPr/>
        <w:t>health systems for provision of healthcare and their respective effects on health and healthcare expenditure.</w:t>
      </w:r>
    </w:p>
    <w:p>
      <w:pPr>
        <w:pStyle w:val="ListParagraph"/>
        <w:numPr>
          <w:ilvl w:val="1"/>
          <w:numId w:val="7"/>
        </w:numPr>
        <w:tabs>
          <w:tab w:pos="705" w:val="left" w:leader="none"/>
        </w:tabs>
        <w:spacing w:line="249" w:lineRule="auto" w:before="180" w:after="0"/>
        <w:ind w:left="704" w:right="697" w:hanging="216"/>
        <w:jc w:val="left"/>
        <w:rPr>
          <w:sz w:val="20"/>
        </w:rPr>
      </w:pPr>
      <w:r>
        <w:rPr>
          <w:sz w:val="20"/>
        </w:rPr>
        <w:t>Analyze how global trends in healthcare</w:t>
      </w:r>
      <w:r>
        <w:rPr>
          <w:spacing w:val="-24"/>
          <w:sz w:val="20"/>
        </w:rPr>
        <w:t> </w:t>
      </w:r>
      <w:r>
        <w:rPr>
          <w:sz w:val="20"/>
        </w:rPr>
        <w:t>practice, commerce and culture, multinational agreements and multinational organizations contribute to the quality and availability of health and healthcare locally and</w:t>
      </w:r>
      <w:r>
        <w:rPr>
          <w:spacing w:val="-10"/>
          <w:sz w:val="20"/>
        </w:rPr>
        <w:t> </w:t>
      </w:r>
      <w:r>
        <w:rPr>
          <w:sz w:val="20"/>
        </w:rPr>
        <w:t>internationally.</w:t>
      </w:r>
    </w:p>
    <w:p>
      <w:pPr>
        <w:pStyle w:val="ListParagraph"/>
        <w:numPr>
          <w:ilvl w:val="1"/>
          <w:numId w:val="7"/>
        </w:numPr>
        <w:tabs>
          <w:tab w:pos="705" w:val="left" w:leader="none"/>
        </w:tabs>
        <w:spacing w:line="249" w:lineRule="auto" w:before="186" w:after="0"/>
        <w:ind w:left="704" w:right="885" w:hanging="216"/>
        <w:jc w:val="left"/>
        <w:rPr>
          <w:sz w:val="20"/>
        </w:rPr>
      </w:pPr>
      <w:r>
        <w:rPr>
          <w:sz w:val="20"/>
        </w:rPr>
        <w:t>Describe how travel and trade contribute to the spread </w:t>
      </w:r>
      <w:r>
        <w:rPr>
          <w:spacing w:val="-3"/>
          <w:sz w:val="20"/>
        </w:rPr>
        <w:t>of </w:t>
      </w:r>
      <w:r>
        <w:rPr>
          <w:sz w:val="20"/>
        </w:rPr>
        <w:t>communicable and chronic</w:t>
      </w:r>
      <w:r>
        <w:rPr>
          <w:spacing w:val="-10"/>
          <w:sz w:val="20"/>
        </w:rPr>
        <w:t> </w:t>
      </w:r>
      <w:r>
        <w:rPr>
          <w:sz w:val="20"/>
        </w:rPr>
        <w:t>disease.</w:t>
      </w:r>
    </w:p>
    <w:p>
      <w:pPr>
        <w:pStyle w:val="ListParagraph"/>
        <w:numPr>
          <w:ilvl w:val="1"/>
          <w:numId w:val="7"/>
        </w:numPr>
        <w:tabs>
          <w:tab w:pos="705" w:val="left" w:leader="none"/>
        </w:tabs>
        <w:spacing w:line="249" w:lineRule="auto" w:before="179" w:after="0"/>
        <w:ind w:left="704" w:right="823" w:hanging="216"/>
        <w:jc w:val="left"/>
        <w:rPr>
          <w:sz w:val="20"/>
        </w:rPr>
      </w:pPr>
      <w:r>
        <w:rPr>
          <w:sz w:val="20"/>
        </w:rPr>
        <w:t>Critique general trends and influences in the global availability and movement </w:t>
      </w:r>
      <w:r>
        <w:rPr>
          <w:spacing w:val="-3"/>
          <w:sz w:val="20"/>
        </w:rPr>
        <w:t>of </w:t>
      </w:r>
      <w:r>
        <w:rPr>
          <w:sz w:val="20"/>
        </w:rPr>
        <w:t>health care workers.</w:t>
      </w:r>
    </w:p>
    <w:p>
      <w:pPr>
        <w:pStyle w:val="ListParagraph"/>
        <w:numPr>
          <w:ilvl w:val="0"/>
          <w:numId w:val="7"/>
        </w:numPr>
        <w:tabs>
          <w:tab w:pos="417" w:val="left" w:leader="none"/>
        </w:tabs>
        <w:spacing w:line="249" w:lineRule="auto" w:before="185" w:after="0"/>
        <w:ind w:left="416" w:right="757" w:hanging="216"/>
        <w:jc w:val="left"/>
        <w:rPr>
          <w:sz w:val="20"/>
        </w:rPr>
      </w:pPr>
      <w:r>
        <w:rPr>
          <w:sz w:val="20"/>
        </w:rPr>
        <w:t>Understand Social and Environmental Determinants of Health,</w:t>
      </w:r>
      <w:r>
        <w:rPr>
          <w:spacing w:val="-7"/>
          <w:sz w:val="20"/>
        </w:rPr>
        <w:t> </w:t>
      </w:r>
      <w:r>
        <w:rPr>
          <w:sz w:val="20"/>
        </w:rPr>
        <w:t>and</w:t>
      </w:r>
    </w:p>
    <w:p>
      <w:pPr>
        <w:pStyle w:val="ListParagraph"/>
        <w:numPr>
          <w:ilvl w:val="1"/>
          <w:numId w:val="7"/>
        </w:numPr>
        <w:tabs>
          <w:tab w:pos="705" w:val="left" w:leader="none"/>
        </w:tabs>
        <w:spacing w:line="249" w:lineRule="auto" w:before="179" w:after="0"/>
        <w:ind w:left="704" w:right="1376" w:hanging="216"/>
        <w:jc w:val="left"/>
        <w:rPr>
          <w:sz w:val="20"/>
        </w:rPr>
      </w:pPr>
      <w:r>
        <w:rPr>
          <w:sz w:val="20"/>
        </w:rPr>
        <w:t>Describe how cultural context</w:t>
      </w:r>
      <w:r>
        <w:rPr>
          <w:spacing w:val="-15"/>
          <w:sz w:val="20"/>
        </w:rPr>
        <w:t> </w:t>
      </w:r>
      <w:r>
        <w:rPr>
          <w:sz w:val="20"/>
        </w:rPr>
        <w:t>influences perceptions </w:t>
      </w:r>
      <w:r>
        <w:rPr>
          <w:spacing w:val="-3"/>
          <w:sz w:val="20"/>
        </w:rPr>
        <w:t>of </w:t>
      </w:r>
      <w:r>
        <w:rPr>
          <w:sz w:val="20"/>
        </w:rPr>
        <w:t>health and</w:t>
      </w:r>
      <w:r>
        <w:rPr>
          <w:spacing w:val="-6"/>
          <w:sz w:val="20"/>
        </w:rPr>
        <w:t> </w:t>
      </w:r>
      <w:r>
        <w:rPr>
          <w:sz w:val="20"/>
        </w:rPr>
        <w:t>disease.</w:t>
      </w:r>
    </w:p>
    <w:p>
      <w:pPr>
        <w:pStyle w:val="ListParagraph"/>
        <w:numPr>
          <w:ilvl w:val="1"/>
          <w:numId w:val="7"/>
        </w:numPr>
        <w:tabs>
          <w:tab w:pos="705" w:val="left" w:leader="none"/>
        </w:tabs>
        <w:spacing w:line="249" w:lineRule="auto" w:before="184" w:after="0"/>
        <w:ind w:left="704" w:right="840" w:hanging="216"/>
        <w:jc w:val="left"/>
        <w:rPr>
          <w:sz w:val="20"/>
        </w:rPr>
      </w:pPr>
      <w:r>
        <w:rPr>
          <w:sz w:val="20"/>
        </w:rPr>
        <w:t>List </w:t>
      </w:r>
      <w:r>
        <w:rPr>
          <w:spacing w:val="-3"/>
          <w:sz w:val="20"/>
        </w:rPr>
        <w:t>major </w:t>
      </w:r>
      <w:r>
        <w:rPr>
          <w:sz w:val="20"/>
        </w:rPr>
        <w:t>social and economic determinants </w:t>
      </w:r>
      <w:r>
        <w:rPr>
          <w:spacing w:val="-3"/>
          <w:sz w:val="20"/>
        </w:rPr>
        <w:t>of </w:t>
      </w:r>
      <w:r>
        <w:rPr>
          <w:sz w:val="20"/>
        </w:rPr>
        <w:t>health and their impacts </w:t>
      </w:r>
      <w:r>
        <w:rPr>
          <w:spacing w:val="-5"/>
          <w:sz w:val="20"/>
        </w:rPr>
        <w:t>on </w:t>
      </w:r>
      <w:r>
        <w:rPr>
          <w:sz w:val="20"/>
        </w:rPr>
        <w:t>the access to and quality of health services and </w:t>
      </w:r>
      <w:r>
        <w:rPr>
          <w:spacing w:val="-5"/>
          <w:sz w:val="20"/>
        </w:rPr>
        <w:t>on </w:t>
      </w:r>
      <w:r>
        <w:rPr>
          <w:sz w:val="20"/>
        </w:rPr>
        <w:t>differences in morbidity and mortality between and within countries.</w:t>
      </w:r>
    </w:p>
    <w:p>
      <w:pPr>
        <w:pStyle w:val="ListParagraph"/>
        <w:numPr>
          <w:ilvl w:val="1"/>
          <w:numId w:val="7"/>
        </w:numPr>
        <w:tabs>
          <w:tab w:pos="705" w:val="left" w:leader="none"/>
        </w:tabs>
        <w:spacing w:line="249" w:lineRule="auto" w:before="181" w:after="0"/>
        <w:ind w:left="704" w:right="869" w:hanging="216"/>
        <w:jc w:val="left"/>
        <w:rPr>
          <w:sz w:val="20"/>
        </w:rPr>
      </w:pPr>
      <w:r>
        <w:rPr>
          <w:sz w:val="20"/>
        </w:rPr>
        <w:t>Analyze the relationship </w:t>
      </w:r>
      <w:r>
        <w:rPr>
          <w:spacing w:val="-3"/>
          <w:sz w:val="20"/>
        </w:rPr>
        <w:t>between </w:t>
      </w:r>
      <w:r>
        <w:rPr>
          <w:sz w:val="20"/>
        </w:rPr>
        <w:t>access to and quality of water, sanitation, </w:t>
      </w:r>
      <w:r>
        <w:rPr>
          <w:spacing w:val="-3"/>
          <w:sz w:val="20"/>
        </w:rPr>
        <w:t>food </w:t>
      </w:r>
      <w:r>
        <w:rPr>
          <w:sz w:val="20"/>
        </w:rPr>
        <w:t>and air </w:t>
      </w:r>
      <w:r>
        <w:rPr>
          <w:spacing w:val="-3"/>
          <w:sz w:val="20"/>
        </w:rPr>
        <w:t>on </w:t>
      </w:r>
      <w:r>
        <w:rPr>
          <w:sz w:val="20"/>
        </w:rPr>
        <w:t>individual and population</w:t>
      </w:r>
      <w:r>
        <w:rPr>
          <w:spacing w:val="-3"/>
          <w:sz w:val="20"/>
        </w:rPr>
        <w:t> </w:t>
      </w:r>
      <w:r>
        <w:rPr>
          <w:sz w:val="20"/>
        </w:rPr>
        <w:t>health.</w:t>
      </w:r>
    </w:p>
    <w:p>
      <w:pPr>
        <w:pStyle w:val="ListParagraph"/>
        <w:numPr>
          <w:ilvl w:val="0"/>
          <w:numId w:val="7"/>
        </w:numPr>
        <w:tabs>
          <w:tab w:pos="417" w:val="left" w:leader="none"/>
        </w:tabs>
        <w:spacing w:line="240" w:lineRule="auto" w:before="185" w:after="0"/>
        <w:ind w:left="416" w:right="0" w:hanging="216"/>
        <w:jc w:val="left"/>
        <w:rPr>
          <w:sz w:val="20"/>
        </w:rPr>
      </w:pPr>
      <w:r>
        <w:rPr>
          <w:sz w:val="20"/>
        </w:rPr>
        <w:t>Understand Capacity Strengthening,</w:t>
      </w:r>
      <w:r>
        <w:rPr>
          <w:spacing w:val="-10"/>
          <w:sz w:val="20"/>
        </w:rPr>
        <w:t> </w:t>
      </w:r>
      <w:r>
        <w:rPr>
          <w:sz w:val="20"/>
        </w:rPr>
        <w:t>and</w:t>
      </w:r>
    </w:p>
    <w:p>
      <w:pPr>
        <w:pStyle w:val="ListParagraph"/>
        <w:numPr>
          <w:ilvl w:val="1"/>
          <w:numId w:val="7"/>
        </w:numPr>
        <w:tabs>
          <w:tab w:pos="704" w:val="left" w:leader="none"/>
        </w:tabs>
        <w:spacing w:line="249" w:lineRule="auto" w:before="187" w:after="0"/>
        <w:ind w:left="704" w:right="697" w:hanging="216"/>
        <w:jc w:val="left"/>
        <w:rPr>
          <w:sz w:val="20"/>
        </w:rPr>
      </w:pPr>
      <w:r>
        <w:rPr>
          <w:sz w:val="20"/>
        </w:rPr>
        <w:t>Collaborate </w:t>
      </w:r>
      <w:r>
        <w:rPr>
          <w:spacing w:val="-3"/>
          <w:sz w:val="20"/>
        </w:rPr>
        <w:t>with </w:t>
      </w:r>
      <w:r>
        <w:rPr>
          <w:sz w:val="20"/>
        </w:rPr>
        <w:t>a host </w:t>
      </w:r>
      <w:r>
        <w:rPr>
          <w:spacing w:val="-3"/>
          <w:sz w:val="20"/>
        </w:rPr>
        <w:t>or </w:t>
      </w:r>
      <w:r>
        <w:rPr>
          <w:sz w:val="20"/>
        </w:rPr>
        <w:t>partner organization to assess the organization’s operational</w:t>
      </w:r>
      <w:r>
        <w:rPr>
          <w:spacing w:val="-12"/>
          <w:sz w:val="20"/>
        </w:rPr>
        <w:t> </w:t>
      </w:r>
      <w:r>
        <w:rPr>
          <w:sz w:val="20"/>
        </w:rPr>
        <w:t>capacity.</w:t>
      </w:r>
    </w:p>
    <w:p>
      <w:pPr>
        <w:pStyle w:val="ListParagraph"/>
        <w:numPr>
          <w:ilvl w:val="1"/>
          <w:numId w:val="7"/>
        </w:numPr>
        <w:tabs>
          <w:tab w:pos="704" w:val="left" w:leader="none"/>
        </w:tabs>
        <w:spacing w:line="249" w:lineRule="auto" w:before="184" w:after="0"/>
        <w:ind w:left="704" w:right="617" w:hanging="216"/>
        <w:jc w:val="left"/>
        <w:rPr>
          <w:sz w:val="20"/>
        </w:rPr>
      </w:pPr>
      <w:r>
        <w:rPr>
          <w:sz w:val="20"/>
        </w:rPr>
        <w:t>Co-create strategies </w:t>
      </w:r>
      <w:r>
        <w:rPr>
          <w:spacing w:val="-3"/>
          <w:sz w:val="20"/>
        </w:rPr>
        <w:t>with </w:t>
      </w:r>
      <w:r>
        <w:rPr>
          <w:sz w:val="20"/>
        </w:rPr>
        <w:t>the community to strengthen community capabilities and contribute to reduction in health disparities and improvement of community</w:t>
      </w:r>
      <w:r>
        <w:rPr>
          <w:spacing w:val="-9"/>
          <w:sz w:val="20"/>
        </w:rPr>
        <w:t> </w:t>
      </w:r>
      <w:r>
        <w:rPr>
          <w:sz w:val="20"/>
        </w:rPr>
        <w:t>health.</w:t>
      </w:r>
    </w:p>
    <w:p>
      <w:pPr>
        <w:pStyle w:val="ListParagraph"/>
        <w:numPr>
          <w:ilvl w:val="1"/>
          <w:numId w:val="7"/>
        </w:numPr>
        <w:tabs>
          <w:tab w:pos="704" w:val="left" w:leader="none"/>
        </w:tabs>
        <w:spacing w:line="249" w:lineRule="auto" w:before="180" w:after="0"/>
        <w:ind w:left="704" w:right="622" w:hanging="216"/>
        <w:jc w:val="left"/>
        <w:rPr>
          <w:sz w:val="20"/>
        </w:rPr>
      </w:pPr>
      <w:r>
        <w:rPr>
          <w:sz w:val="20"/>
        </w:rPr>
        <w:t>Integrate community assets and resources to improve the health </w:t>
      </w:r>
      <w:r>
        <w:rPr>
          <w:spacing w:val="-3"/>
          <w:sz w:val="20"/>
        </w:rPr>
        <w:t>of </w:t>
      </w:r>
      <w:r>
        <w:rPr>
          <w:sz w:val="20"/>
        </w:rPr>
        <w:t>individuals and</w:t>
      </w:r>
      <w:r>
        <w:rPr>
          <w:spacing w:val="-10"/>
          <w:sz w:val="20"/>
        </w:rPr>
        <w:t> </w:t>
      </w:r>
      <w:r>
        <w:rPr>
          <w:sz w:val="20"/>
        </w:rPr>
        <w:t>populations.</w:t>
      </w:r>
    </w:p>
    <w:p>
      <w:pPr>
        <w:pStyle w:val="ListParagraph"/>
        <w:numPr>
          <w:ilvl w:val="0"/>
          <w:numId w:val="7"/>
        </w:numPr>
        <w:tabs>
          <w:tab w:pos="416" w:val="left" w:leader="none"/>
        </w:tabs>
        <w:spacing w:line="249" w:lineRule="auto" w:before="184" w:after="0"/>
        <w:ind w:left="415" w:right="1595" w:hanging="215"/>
        <w:jc w:val="left"/>
        <w:rPr>
          <w:sz w:val="20"/>
        </w:rPr>
      </w:pPr>
      <w:r>
        <w:rPr>
          <w:sz w:val="20"/>
        </w:rPr>
        <w:t>Understand Collaboration, Partnering and Communication,</w:t>
      </w:r>
      <w:r>
        <w:rPr>
          <w:spacing w:val="-1"/>
          <w:sz w:val="20"/>
        </w:rPr>
        <w:t> </w:t>
      </w:r>
      <w:r>
        <w:rPr>
          <w:sz w:val="20"/>
        </w:rPr>
        <w:t>and</w:t>
      </w:r>
    </w:p>
    <w:p>
      <w:pPr>
        <w:pStyle w:val="ListParagraph"/>
        <w:numPr>
          <w:ilvl w:val="1"/>
          <w:numId w:val="7"/>
        </w:numPr>
        <w:tabs>
          <w:tab w:pos="704" w:val="left" w:leader="none"/>
        </w:tabs>
        <w:spacing w:line="249" w:lineRule="auto" w:before="179" w:after="0"/>
        <w:ind w:left="704" w:right="771" w:hanging="216"/>
        <w:jc w:val="both"/>
        <w:rPr>
          <w:sz w:val="20"/>
        </w:rPr>
      </w:pPr>
      <w:r>
        <w:rPr>
          <w:sz w:val="20"/>
        </w:rPr>
        <w:t>Include representatives </w:t>
      </w:r>
      <w:r>
        <w:rPr>
          <w:spacing w:val="-3"/>
          <w:sz w:val="20"/>
        </w:rPr>
        <w:t>of </w:t>
      </w:r>
      <w:r>
        <w:rPr>
          <w:sz w:val="20"/>
        </w:rPr>
        <w:t>diverse constituencies in community partnerships and </w:t>
      </w:r>
      <w:r>
        <w:rPr>
          <w:spacing w:val="-3"/>
          <w:sz w:val="20"/>
        </w:rPr>
        <w:t>foster </w:t>
      </w:r>
      <w:r>
        <w:rPr>
          <w:sz w:val="20"/>
        </w:rPr>
        <w:t>interactive learning </w:t>
      </w:r>
      <w:r>
        <w:rPr>
          <w:spacing w:val="-3"/>
          <w:sz w:val="20"/>
        </w:rPr>
        <w:t>with </w:t>
      </w:r>
      <w:r>
        <w:rPr>
          <w:sz w:val="20"/>
        </w:rPr>
        <w:t>these</w:t>
      </w:r>
      <w:r>
        <w:rPr>
          <w:spacing w:val="5"/>
          <w:sz w:val="20"/>
        </w:rPr>
        <w:t> </w:t>
      </w:r>
      <w:r>
        <w:rPr>
          <w:sz w:val="20"/>
        </w:rPr>
        <w:t>partners.</w:t>
      </w:r>
    </w:p>
    <w:p>
      <w:pPr>
        <w:pStyle w:val="ListParagraph"/>
        <w:numPr>
          <w:ilvl w:val="1"/>
          <w:numId w:val="7"/>
        </w:numPr>
        <w:tabs>
          <w:tab w:pos="704" w:val="left" w:leader="none"/>
        </w:tabs>
        <w:spacing w:line="249" w:lineRule="auto" w:before="185" w:after="0"/>
        <w:ind w:left="703" w:right="1124" w:hanging="216"/>
        <w:jc w:val="left"/>
        <w:rPr>
          <w:sz w:val="20"/>
        </w:rPr>
      </w:pPr>
      <w:r>
        <w:rPr>
          <w:sz w:val="20"/>
        </w:rPr>
        <w:t>Demonstrate diplomacy and build trust </w:t>
      </w:r>
      <w:r>
        <w:rPr>
          <w:spacing w:val="-3"/>
          <w:sz w:val="20"/>
        </w:rPr>
        <w:t>with </w:t>
      </w:r>
      <w:r>
        <w:rPr>
          <w:sz w:val="20"/>
        </w:rPr>
        <w:t>community</w:t>
      </w:r>
      <w:r>
        <w:rPr>
          <w:spacing w:val="-7"/>
          <w:sz w:val="20"/>
        </w:rPr>
        <w:t> </w:t>
      </w:r>
      <w:r>
        <w:rPr>
          <w:sz w:val="20"/>
        </w:rPr>
        <w:t>partners.</w:t>
      </w:r>
    </w:p>
    <w:p>
      <w:pPr>
        <w:spacing w:after="0" w:line="249" w:lineRule="auto"/>
        <w:jc w:val="left"/>
        <w:rPr>
          <w:sz w:val="20"/>
        </w:rPr>
        <w:sectPr>
          <w:pgSz w:w="12240" w:h="15840"/>
          <w:pgMar w:header="746" w:footer="0" w:top="1320" w:bottom="280" w:left="880" w:right="300"/>
          <w:cols w:num="2" w:equalWidth="0">
            <w:col w:w="4998" w:space="704"/>
            <w:col w:w="5358"/>
          </w:cols>
        </w:sectPr>
      </w:pPr>
    </w:p>
    <w:p>
      <w:pPr>
        <w:pStyle w:val="ListParagraph"/>
        <w:numPr>
          <w:ilvl w:val="1"/>
          <w:numId w:val="7"/>
        </w:numPr>
        <w:tabs>
          <w:tab w:pos="920" w:val="left" w:leader="none"/>
        </w:tabs>
        <w:spacing w:line="249" w:lineRule="auto" w:before="100" w:after="0"/>
        <w:ind w:left="919" w:right="105" w:hanging="215"/>
        <w:jc w:val="left"/>
        <w:rPr>
          <w:sz w:val="20"/>
        </w:rPr>
      </w:pPr>
      <w:r>
        <w:rPr>
          <w:sz w:val="20"/>
        </w:rPr>
        <w:t>Communicate joint lessons learned to community partners and global</w:t>
      </w:r>
      <w:r>
        <w:rPr>
          <w:spacing w:val="-4"/>
          <w:sz w:val="20"/>
        </w:rPr>
        <w:t> </w:t>
      </w:r>
      <w:r>
        <w:rPr>
          <w:sz w:val="20"/>
        </w:rPr>
        <w:t>constituencies.</w:t>
      </w:r>
    </w:p>
    <w:p>
      <w:pPr>
        <w:pStyle w:val="ListParagraph"/>
        <w:numPr>
          <w:ilvl w:val="1"/>
          <w:numId w:val="7"/>
        </w:numPr>
        <w:tabs>
          <w:tab w:pos="920" w:val="left" w:leader="none"/>
        </w:tabs>
        <w:spacing w:line="249" w:lineRule="auto" w:before="179" w:after="0"/>
        <w:ind w:left="919" w:right="38" w:hanging="216"/>
        <w:jc w:val="left"/>
        <w:rPr>
          <w:sz w:val="20"/>
        </w:rPr>
      </w:pPr>
      <w:r>
        <w:rPr>
          <w:sz w:val="20"/>
        </w:rPr>
        <w:t>Exhibit interprofessional values and communication skills that demonstrate respect for, and awareness </w:t>
      </w:r>
      <w:r>
        <w:rPr>
          <w:spacing w:val="-4"/>
          <w:sz w:val="20"/>
        </w:rPr>
        <w:t>of, </w:t>
      </w:r>
      <w:r>
        <w:rPr>
          <w:sz w:val="20"/>
        </w:rPr>
        <w:t>the unique cultures, values, roles/responsibilities and expertise represented by other professionals and groups that work in global health.</w:t>
      </w:r>
    </w:p>
    <w:p>
      <w:pPr>
        <w:pStyle w:val="ListParagraph"/>
        <w:numPr>
          <w:ilvl w:val="1"/>
          <w:numId w:val="7"/>
        </w:numPr>
        <w:tabs>
          <w:tab w:pos="920" w:val="left" w:leader="none"/>
        </w:tabs>
        <w:spacing w:line="249" w:lineRule="auto" w:before="187" w:after="0"/>
        <w:ind w:left="919" w:right="853" w:hanging="216"/>
        <w:jc w:val="left"/>
        <w:rPr>
          <w:sz w:val="20"/>
        </w:rPr>
      </w:pPr>
      <w:r>
        <w:rPr>
          <w:sz w:val="20"/>
        </w:rPr>
        <w:t>Acknowledge one’s limitations in skills, knowledge, and</w:t>
      </w:r>
      <w:r>
        <w:rPr>
          <w:spacing w:val="2"/>
          <w:sz w:val="20"/>
        </w:rPr>
        <w:t> </w:t>
      </w:r>
      <w:r>
        <w:rPr>
          <w:sz w:val="20"/>
        </w:rPr>
        <w:t>abilities.</w:t>
      </w:r>
    </w:p>
    <w:p>
      <w:pPr>
        <w:pStyle w:val="ListParagraph"/>
        <w:numPr>
          <w:ilvl w:val="1"/>
          <w:numId w:val="7"/>
        </w:numPr>
        <w:tabs>
          <w:tab w:pos="920" w:val="left" w:leader="none"/>
        </w:tabs>
        <w:spacing w:line="249" w:lineRule="auto" w:before="179" w:after="0"/>
        <w:ind w:left="919" w:right="436" w:hanging="216"/>
        <w:jc w:val="left"/>
        <w:rPr>
          <w:sz w:val="20"/>
        </w:rPr>
      </w:pPr>
      <w:r>
        <w:rPr>
          <w:sz w:val="20"/>
        </w:rPr>
        <w:t>Apply leadership practices that support collaborative practice and team</w:t>
      </w:r>
      <w:r>
        <w:rPr>
          <w:spacing w:val="-16"/>
          <w:sz w:val="20"/>
        </w:rPr>
        <w:t> </w:t>
      </w:r>
      <w:r>
        <w:rPr>
          <w:sz w:val="20"/>
        </w:rPr>
        <w:t>effectiveness.</w:t>
      </w:r>
    </w:p>
    <w:p>
      <w:pPr>
        <w:pStyle w:val="ListParagraph"/>
        <w:numPr>
          <w:ilvl w:val="0"/>
          <w:numId w:val="7"/>
        </w:numPr>
        <w:tabs>
          <w:tab w:pos="632" w:val="left" w:leader="none"/>
        </w:tabs>
        <w:spacing w:line="240" w:lineRule="auto" w:before="184" w:after="0"/>
        <w:ind w:left="631" w:right="0" w:hanging="216"/>
        <w:jc w:val="left"/>
        <w:rPr>
          <w:sz w:val="20"/>
        </w:rPr>
      </w:pPr>
      <w:r>
        <w:rPr>
          <w:sz w:val="20"/>
        </w:rPr>
        <w:t>Understand Global </w:t>
      </w:r>
      <w:r>
        <w:rPr>
          <w:spacing w:val="-3"/>
          <w:sz w:val="20"/>
        </w:rPr>
        <w:t>Health </w:t>
      </w:r>
      <w:r>
        <w:rPr>
          <w:sz w:val="20"/>
        </w:rPr>
        <w:t>Ethics,</w:t>
      </w:r>
      <w:r>
        <w:rPr>
          <w:spacing w:val="7"/>
          <w:sz w:val="20"/>
        </w:rPr>
        <w:t> </w:t>
      </w:r>
      <w:r>
        <w:rPr>
          <w:sz w:val="20"/>
        </w:rPr>
        <w:t>and</w:t>
      </w:r>
    </w:p>
    <w:p>
      <w:pPr>
        <w:pStyle w:val="ListParagraph"/>
        <w:numPr>
          <w:ilvl w:val="1"/>
          <w:numId w:val="7"/>
        </w:numPr>
        <w:tabs>
          <w:tab w:pos="920" w:val="left" w:leader="none"/>
        </w:tabs>
        <w:spacing w:line="249" w:lineRule="auto" w:before="187" w:after="0"/>
        <w:ind w:left="919" w:right="56" w:hanging="216"/>
        <w:jc w:val="left"/>
        <w:rPr>
          <w:sz w:val="20"/>
        </w:rPr>
      </w:pPr>
      <w:r>
        <w:rPr>
          <w:sz w:val="20"/>
        </w:rPr>
        <w:t>Demonstrate an understand </w:t>
      </w:r>
      <w:r>
        <w:rPr>
          <w:spacing w:val="-3"/>
          <w:sz w:val="20"/>
        </w:rPr>
        <w:t>of </w:t>
      </w:r>
      <w:r>
        <w:rPr>
          <w:sz w:val="20"/>
        </w:rPr>
        <w:t>and an ability to resolve common ethical issues and challenges that arise in working within diverse economic, political and cultural contests as </w:t>
      </w:r>
      <w:r>
        <w:rPr>
          <w:spacing w:val="-3"/>
          <w:sz w:val="20"/>
        </w:rPr>
        <w:t>well </w:t>
      </w:r>
      <w:r>
        <w:rPr>
          <w:sz w:val="20"/>
        </w:rPr>
        <w:t>as working with vulnerable populations and in low resource settings to address </w:t>
      </w:r>
      <w:r>
        <w:rPr>
          <w:spacing w:val="-3"/>
          <w:sz w:val="20"/>
        </w:rPr>
        <w:t>global </w:t>
      </w:r>
      <w:r>
        <w:rPr>
          <w:sz w:val="20"/>
        </w:rPr>
        <w:t>health</w:t>
      </w:r>
      <w:r>
        <w:rPr>
          <w:spacing w:val="-2"/>
          <w:sz w:val="20"/>
        </w:rPr>
        <w:t> </w:t>
      </w:r>
      <w:r>
        <w:rPr>
          <w:sz w:val="20"/>
        </w:rPr>
        <w:t>issues.</w:t>
      </w:r>
    </w:p>
    <w:p>
      <w:pPr>
        <w:pStyle w:val="ListParagraph"/>
        <w:numPr>
          <w:ilvl w:val="1"/>
          <w:numId w:val="7"/>
        </w:numPr>
        <w:tabs>
          <w:tab w:pos="920" w:val="left" w:leader="none"/>
        </w:tabs>
        <w:spacing w:line="249" w:lineRule="auto" w:before="187" w:after="0"/>
        <w:ind w:left="919" w:right="258" w:hanging="216"/>
        <w:jc w:val="left"/>
        <w:rPr>
          <w:sz w:val="20"/>
        </w:rPr>
      </w:pPr>
      <w:r>
        <w:rPr>
          <w:sz w:val="20"/>
        </w:rPr>
        <w:t>Demonstrate an awareness </w:t>
      </w:r>
      <w:r>
        <w:rPr>
          <w:spacing w:val="-3"/>
          <w:sz w:val="20"/>
        </w:rPr>
        <w:t>of </w:t>
      </w:r>
      <w:r>
        <w:rPr>
          <w:sz w:val="20"/>
        </w:rPr>
        <w:t>local and national codes of ethics relevant to one’s working environment.</w:t>
      </w:r>
    </w:p>
    <w:p>
      <w:pPr>
        <w:pStyle w:val="ListParagraph"/>
        <w:numPr>
          <w:ilvl w:val="1"/>
          <w:numId w:val="7"/>
        </w:numPr>
        <w:tabs>
          <w:tab w:pos="920" w:val="left" w:leader="none"/>
        </w:tabs>
        <w:spacing w:line="249" w:lineRule="auto" w:before="180" w:after="0"/>
        <w:ind w:left="919" w:right="117" w:hanging="216"/>
        <w:jc w:val="left"/>
        <w:rPr>
          <w:sz w:val="20"/>
        </w:rPr>
      </w:pPr>
      <w:r>
        <w:rPr>
          <w:sz w:val="20"/>
        </w:rPr>
        <w:t>Apply the fundamental principles </w:t>
      </w:r>
      <w:r>
        <w:rPr>
          <w:spacing w:val="-3"/>
          <w:sz w:val="20"/>
        </w:rPr>
        <w:t>of </w:t>
      </w:r>
      <w:r>
        <w:rPr>
          <w:sz w:val="20"/>
        </w:rPr>
        <w:t>international standards </w:t>
      </w:r>
      <w:r>
        <w:rPr>
          <w:spacing w:val="-4"/>
          <w:sz w:val="20"/>
        </w:rPr>
        <w:t>for </w:t>
      </w:r>
      <w:r>
        <w:rPr>
          <w:sz w:val="20"/>
        </w:rPr>
        <w:t>the protection </w:t>
      </w:r>
      <w:r>
        <w:rPr>
          <w:spacing w:val="-3"/>
          <w:sz w:val="20"/>
        </w:rPr>
        <w:t>of </w:t>
      </w:r>
      <w:r>
        <w:rPr>
          <w:sz w:val="20"/>
        </w:rPr>
        <w:t>human subjects in diverse cultural</w:t>
      </w:r>
      <w:r>
        <w:rPr>
          <w:spacing w:val="-3"/>
          <w:sz w:val="20"/>
        </w:rPr>
        <w:t> </w:t>
      </w:r>
      <w:r>
        <w:rPr>
          <w:sz w:val="20"/>
        </w:rPr>
        <w:t>settings.</w:t>
      </w:r>
    </w:p>
    <w:p>
      <w:pPr>
        <w:pStyle w:val="ListParagraph"/>
        <w:numPr>
          <w:ilvl w:val="0"/>
          <w:numId w:val="7"/>
        </w:numPr>
        <w:tabs>
          <w:tab w:pos="632" w:val="left" w:leader="none"/>
        </w:tabs>
        <w:spacing w:line="240" w:lineRule="auto" w:before="184" w:after="0"/>
        <w:ind w:left="631" w:right="0" w:hanging="216"/>
        <w:jc w:val="left"/>
        <w:rPr>
          <w:sz w:val="20"/>
        </w:rPr>
      </w:pPr>
      <w:r>
        <w:rPr>
          <w:sz w:val="20"/>
        </w:rPr>
        <w:t>Understand Professional Practice, and</w:t>
      </w:r>
    </w:p>
    <w:p>
      <w:pPr>
        <w:pStyle w:val="ListParagraph"/>
        <w:numPr>
          <w:ilvl w:val="1"/>
          <w:numId w:val="7"/>
        </w:numPr>
        <w:tabs>
          <w:tab w:pos="920" w:val="left" w:leader="none"/>
        </w:tabs>
        <w:spacing w:line="249" w:lineRule="auto" w:before="188" w:after="0"/>
        <w:ind w:left="919" w:right="171" w:hanging="216"/>
        <w:jc w:val="left"/>
        <w:rPr>
          <w:sz w:val="20"/>
        </w:rPr>
      </w:pPr>
      <w:r>
        <w:rPr>
          <w:sz w:val="20"/>
        </w:rPr>
        <w:t>Exhibit </w:t>
      </w:r>
      <w:r>
        <w:rPr>
          <w:spacing w:val="-3"/>
          <w:sz w:val="20"/>
        </w:rPr>
        <w:t>integrity, </w:t>
      </w:r>
      <w:r>
        <w:rPr>
          <w:sz w:val="20"/>
        </w:rPr>
        <w:t>regard and respect for others in all aspects </w:t>
      </w:r>
      <w:r>
        <w:rPr>
          <w:spacing w:val="-3"/>
          <w:sz w:val="20"/>
        </w:rPr>
        <w:t>of </w:t>
      </w:r>
      <w:r>
        <w:rPr>
          <w:sz w:val="20"/>
        </w:rPr>
        <w:t>professional</w:t>
      </w:r>
      <w:r>
        <w:rPr>
          <w:spacing w:val="-1"/>
          <w:sz w:val="20"/>
        </w:rPr>
        <w:t> </w:t>
      </w:r>
      <w:r>
        <w:rPr>
          <w:sz w:val="20"/>
        </w:rPr>
        <w:t>practice.</w:t>
      </w:r>
    </w:p>
    <w:p>
      <w:pPr>
        <w:pStyle w:val="ListParagraph"/>
        <w:numPr>
          <w:ilvl w:val="1"/>
          <w:numId w:val="7"/>
        </w:numPr>
        <w:tabs>
          <w:tab w:pos="920" w:val="left" w:leader="none"/>
        </w:tabs>
        <w:spacing w:line="249" w:lineRule="auto" w:before="184" w:after="0"/>
        <w:ind w:left="919" w:right="50" w:hanging="216"/>
        <w:jc w:val="left"/>
        <w:rPr>
          <w:sz w:val="20"/>
        </w:rPr>
      </w:pPr>
      <w:r>
        <w:rPr>
          <w:sz w:val="20"/>
        </w:rPr>
        <w:t>Articulate barriers to health and healthcare in </w:t>
      </w:r>
      <w:r>
        <w:rPr>
          <w:spacing w:val="-3"/>
          <w:sz w:val="20"/>
        </w:rPr>
        <w:t>low- </w:t>
      </w:r>
      <w:r>
        <w:rPr>
          <w:sz w:val="20"/>
        </w:rPr>
        <w:t>resource settings locally and</w:t>
      </w:r>
      <w:r>
        <w:rPr>
          <w:spacing w:val="-17"/>
          <w:sz w:val="20"/>
        </w:rPr>
        <w:t> </w:t>
      </w:r>
      <w:r>
        <w:rPr>
          <w:sz w:val="20"/>
        </w:rPr>
        <w:t>internationally.</w:t>
      </w:r>
    </w:p>
    <w:p>
      <w:pPr>
        <w:pStyle w:val="ListParagraph"/>
        <w:numPr>
          <w:ilvl w:val="1"/>
          <w:numId w:val="7"/>
        </w:numPr>
        <w:tabs>
          <w:tab w:pos="920" w:val="left" w:leader="none"/>
        </w:tabs>
        <w:spacing w:line="249" w:lineRule="auto" w:before="179" w:after="0"/>
        <w:ind w:left="919" w:right="660" w:hanging="216"/>
        <w:jc w:val="left"/>
        <w:rPr>
          <w:sz w:val="20"/>
        </w:rPr>
      </w:pPr>
      <w:r>
        <w:rPr>
          <w:sz w:val="20"/>
        </w:rPr>
        <w:t>Demonstrate the ability to adapt clinical </w:t>
      </w:r>
      <w:r>
        <w:rPr>
          <w:spacing w:val="-3"/>
          <w:sz w:val="20"/>
        </w:rPr>
        <w:t>or </w:t>
      </w:r>
      <w:r>
        <w:rPr>
          <w:sz w:val="20"/>
        </w:rPr>
        <w:t>discipline-specific skills and practice in a resource-constrained</w:t>
      </w:r>
      <w:r>
        <w:rPr>
          <w:spacing w:val="-3"/>
          <w:sz w:val="20"/>
        </w:rPr>
        <w:t> </w:t>
      </w:r>
      <w:r>
        <w:rPr>
          <w:sz w:val="20"/>
        </w:rPr>
        <w:t>setting.</w:t>
      </w:r>
    </w:p>
    <w:p>
      <w:pPr>
        <w:pStyle w:val="ListParagraph"/>
        <w:numPr>
          <w:ilvl w:val="0"/>
          <w:numId w:val="7"/>
        </w:numPr>
        <w:tabs>
          <w:tab w:pos="632" w:val="left" w:leader="none"/>
        </w:tabs>
        <w:spacing w:line="240" w:lineRule="auto" w:before="184" w:after="0"/>
        <w:ind w:left="631" w:right="0" w:hanging="216"/>
        <w:jc w:val="left"/>
        <w:rPr>
          <w:sz w:val="20"/>
        </w:rPr>
      </w:pPr>
      <w:r>
        <w:rPr>
          <w:sz w:val="20"/>
        </w:rPr>
        <w:t>Understand Health Equity and Social Justice,</w:t>
      </w:r>
      <w:r>
        <w:rPr>
          <w:spacing w:val="-13"/>
          <w:sz w:val="20"/>
        </w:rPr>
        <w:t> </w:t>
      </w:r>
      <w:r>
        <w:rPr>
          <w:sz w:val="20"/>
        </w:rPr>
        <w:t>and</w:t>
      </w:r>
    </w:p>
    <w:p>
      <w:pPr>
        <w:pStyle w:val="ListParagraph"/>
        <w:numPr>
          <w:ilvl w:val="1"/>
          <w:numId w:val="7"/>
        </w:numPr>
        <w:tabs>
          <w:tab w:pos="920" w:val="left" w:leader="none"/>
        </w:tabs>
        <w:spacing w:line="249" w:lineRule="auto" w:before="188" w:after="0"/>
        <w:ind w:left="919" w:right="212" w:hanging="216"/>
        <w:jc w:val="left"/>
        <w:rPr>
          <w:sz w:val="20"/>
        </w:rPr>
      </w:pPr>
      <w:r>
        <w:rPr>
          <w:sz w:val="20"/>
        </w:rPr>
        <w:t>Apply social justice and human rights principles in addressing global health</w:t>
      </w:r>
      <w:r>
        <w:rPr>
          <w:spacing w:val="-4"/>
          <w:sz w:val="20"/>
        </w:rPr>
        <w:t> </w:t>
      </w:r>
      <w:r>
        <w:rPr>
          <w:sz w:val="20"/>
        </w:rPr>
        <w:t>problems.</w:t>
      </w:r>
    </w:p>
    <w:p>
      <w:pPr>
        <w:pStyle w:val="ListParagraph"/>
        <w:numPr>
          <w:ilvl w:val="1"/>
          <w:numId w:val="7"/>
        </w:numPr>
        <w:tabs>
          <w:tab w:pos="919" w:val="left" w:leader="none"/>
        </w:tabs>
        <w:spacing w:line="249" w:lineRule="auto" w:before="184" w:after="0"/>
        <w:ind w:left="918" w:right="79" w:hanging="215"/>
        <w:jc w:val="left"/>
        <w:rPr>
          <w:sz w:val="20"/>
        </w:rPr>
      </w:pPr>
      <w:r>
        <w:rPr>
          <w:sz w:val="20"/>
        </w:rPr>
        <w:t>Implement and evaluate strategies to engage marginalized and vulnerable populations in making decisions that affect their health and well- being.</w:t>
      </w:r>
    </w:p>
    <w:p>
      <w:pPr>
        <w:pStyle w:val="ListParagraph"/>
        <w:numPr>
          <w:ilvl w:val="1"/>
          <w:numId w:val="7"/>
        </w:numPr>
        <w:tabs>
          <w:tab w:pos="919" w:val="left" w:leader="none"/>
        </w:tabs>
        <w:spacing w:line="240" w:lineRule="auto" w:before="180" w:after="0"/>
        <w:ind w:left="918" w:right="0" w:hanging="216"/>
        <w:jc w:val="left"/>
        <w:rPr>
          <w:sz w:val="20"/>
        </w:rPr>
      </w:pPr>
      <w:r>
        <w:rPr>
          <w:sz w:val="20"/>
        </w:rPr>
        <w:t>Demonstrate a basic understanding </w:t>
      </w:r>
      <w:r>
        <w:rPr>
          <w:spacing w:val="-3"/>
          <w:sz w:val="20"/>
        </w:rPr>
        <w:t>of</w:t>
      </w:r>
      <w:r>
        <w:rPr>
          <w:spacing w:val="-4"/>
          <w:sz w:val="20"/>
        </w:rPr>
        <w:t> </w:t>
      </w:r>
      <w:r>
        <w:rPr>
          <w:sz w:val="20"/>
        </w:rPr>
        <w:t>the</w:t>
      </w:r>
    </w:p>
    <w:p>
      <w:pPr>
        <w:pStyle w:val="BodyText"/>
        <w:spacing w:line="249" w:lineRule="auto" w:before="96"/>
        <w:ind w:left="1136" w:right="898"/>
      </w:pPr>
      <w:r>
        <w:rPr/>
        <w:br w:type="column"/>
      </w:r>
      <w:r>
        <w:rPr/>
        <w:t>relationship between health, human rights, and global inequities.</w:t>
      </w:r>
    </w:p>
    <w:p>
      <w:pPr>
        <w:pStyle w:val="ListParagraph"/>
        <w:numPr>
          <w:ilvl w:val="1"/>
          <w:numId w:val="7"/>
        </w:numPr>
        <w:tabs>
          <w:tab w:pos="1137" w:val="left" w:leader="none"/>
        </w:tabs>
        <w:spacing w:line="249" w:lineRule="auto" w:before="179" w:after="0"/>
        <w:ind w:left="1136" w:right="835" w:hanging="216"/>
        <w:jc w:val="left"/>
        <w:rPr>
          <w:sz w:val="20"/>
        </w:rPr>
      </w:pPr>
      <w:r>
        <w:rPr>
          <w:sz w:val="20"/>
        </w:rPr>
        <w:t>Describe the role </w:t>
      </w:r>
      <w:r>
        <w:rPr>
          <w:spacing w:val="-3"/>
          <w:sz w:val="20"/>
        </w:rPr>
        <w:t>of </w:t>
      </w:r>
      <w:r>
        <w:rPr>
          <w:spacing w:val="-2"/>
          <w:sz w:val="20"/>
        </w:rPr>
        <w:t>WHO </w:t>
      </w:r>
      <w:r>
        <w:rPr>
          <w:sz w:val="20"/>
        </w:rPr>
        <w:t>in linking health and human rights, the Universal Declaration </w:t>
      </w:r>
      <w:r>
        <w:rPr>
          <w:spacing w:val="-3"/>
          <w:sz w:val="20"/>
        </w:rPr>
        <w:t>of </w:t>
      </w:r>
      <w:r>
        <w:rPr>
          <w:sz w:val="20"/>
        </w:rPr>
        <w:t>Human Rights, International Ethical Guidelines for Biomedical Research involving human subjects.</w:t>
      </w:r>
    </w:p>
    <w:p>
      <w:pPr>
        <w:pStyle w:val="ListParagraph"/>
        <w:numPr>
          <w:ilvl w:val="1"/>
          <w:numId w:val="7"/>
        </w:numPr>
        <w:tabs>
          <w:tab w:pos="1137" w:val="left" w:leader="none"/>
        </w:tabs>
        <w:spacing w:line="240" w:lineRule="auto" w:before="186" w:after="0"/>
        <w:ind w:left="1136" w:right="0" w:hanging="216"/>
        <w:jc w:val="left"/>
        <w:rPr>
          <w:sz w:val="20"/>
        </w:rPr>
      </w:pPr>
      <w:r>
        <w:rPr>
          <w:sz w:val="20"/>
        </w:rPr>
        <w:t>Exhibit a commitment to social</w:t>
      </w:r>
      <w:r>
        <w:rPr>
          <w:spacing w:val="-15"/>
          <w:sz w:val="20"/>
        </w:rPr>
        <w:t> </w:t>
      </w:r>
      <w:r>
        <w:rPr>
          <w:sz w:val="20"/>
        </w:rPr>
        <w:t>responsibility.</w:t>
      </w:r>
    </w:p>
    <w:p>
      <w:pPr>
        <w:pStyle w:val="ListParagraph"/>
        <w:numPr>
          <w:ilvl w:val="1"/>
          <w:numId w:val="7"/>
        </w:numPr>
        <w:tabs>
          <w:tab w:pos="1137" w:val="left" w:leader="none"/>
        </w:tabs>
        <w:spacing w:line="249" w:lineRule="auto" w:before="188" w:after="0"/>
        <w:ind w:left="1136" w:right="995" w:hanging="216"/>
        <w:jc w:val="left"/>
        <w:rPr>
          <w:sz w:val="20"/>
        </w:rPr>
      </w:pPr>
      <w:r>
        <w:rPr>
          <w:sz w:val="20"/>
        </w:rPr>
        <w:t>Develop understanding and awareness </w:t>
      </w:r>
      <w:r>
        <w:rPr>
          <w:spacing w:val="-3"/>
          <w:sz w:val="20"/>
        </w:rPr>
        <w:t>of </w:t>
      </w:r>
      <w:r>
        <w:rPr>
          <w:sz w:val="20"/>
        </w:rPr>
        <w:t>the health care workforce crisis in the developing world, the factors that contribute to this, and strategies to address this</w:t>
      </w:r>
      <w:r>
        <w:rPr>
          <w:spacing w:val="-15"/>
          <w:sz w:val="20"/>
        </w:rPr>
        <w:t> </w:t>
      </w:r>
      <w:r>
        <w:rPr>
          <w:sz w:val="20"/>
        </w:rPr>
        <w:t>problem.</w:t>
      </w:r>
    </w:p>
    <w:p>
      <w:pPr>
        <w:pStyle w:val="ListParagraph"/>
        <w:numPr>
          <w:ilvl w:val="0"/>
          <w:numId w:val="7"/>
        </w:numPr>
        <w:tabs>
          <w:tab w:pos="848" w:val="left" w:leader="none"/>
        </w:tabs>
        <w:spacing w:line="240" w:lineRule="auto" w:before="185" w:after="0"/>
        <w:ind w:left="847" w:right="0" w:hanging="215"/>
        <w:jc w:val="left"/>
        <w:rPr>
          <w:sz w:val="20"/>
        </w:rPr>
      </w:pPr>
      <w:r>
        <w:rPr>
          <w:sz w:val="20"/>
        </w:rPr>
        <w:t>Understand Program Management,</w:t>
      </w:r>
      <w:r>
        <w:rPr>
          <w:spacing w:val="-4"/>
          <w:sz w:val="20"/>
        </w:rPr>
        <w:t> </w:t>
      </w:r>
      <w:r>
        <w:rPr>
          <w:sz w:val="20"/>
        </w:rPr>
        <w:t>and</w:t>
      </w:r>
    </w:p>
    <w:p>
      <w:pPr>
        <w:pStyle w:val="ListParagraph"/>
        <w:numPr>
          <w:ilvl w:val="1"/>
          <w:numId w:val="7"/>
        </w:numPr>
        <w:tabs>
          <w:tab w:pos="1136" w:val="left" w:leader="none"/>
        </w:tabs>
        <w:spacing w:line="249" w:lineRule="auto" w:before="188" w:after="0"/>
        <w:ind w:left="1135" w:right="722" w:hanging="216"/>
        <w:jc w:val="left"/>
        <w:rPr>
          <w:sz w:val="20"/>
        </w:rPr>
      </w:pPr>
      <w:r>
        <w:rPr>
          <w:sz w:val="20"/>
        </w:rPr>
        <w:t>Plan, implement, and evaluate an</w:t>
      </w:r>
      <w:r>
        <w:rPr>
          <w:spacing w:val="-23"/>
          <w:sz w:val="20"/>
        </w:rPr>
        <w:t> </w:t>
      </w:r>
      <w:r>
        <w:rPr>
          <w:sz w:val="20"/>
        </w:rPr>
        <w:t>evidence-based program.</w:t>
      </w:r>
    </w:p>
    <w:p>
      <w:pPr>
        <w:pStyle w:val="ListParagraph"/>
        <w:numPr>
          <w:ilvl w:val="1"/>
          <w:numId w:val="7"/>
        </w:numPr>
        <w:tabs>
          <w:tab w:pos="1136" w:val="left" w:leader="none"/>
        </w:tabs>
        <w:spacing w:line="249" w:lineRule="auto" w:before="184" w:after="0"/>
        <w:ind w:left="1135" w:right="642" w:hanging="216"/>
        <w:jc w:val="left"/>
        <w:rPr>
          <w:sz w:val="20"/>
        </w:rPr>
      </w:pPr>
      <w:r>
        <w:rPr>
          <w:sz w:val="20"/>
        </w:rPr>
        <w:t>Apply project management techniques throughout program planning, implementation, and evaluation.</w:t>
      </w:r>
    </w:p>
    <w:p>
      <w:pPr>
        <w:pStyle w:val="ListParagraph"/>
        <w:numPr>
          <w:ilvl w:val="0"/>
          <w:numId w:val="7"/>
        </w:numPr>
        <w:tabs>
          <w:tab w:pos="1135" w:val="left" w:leader="none"/>
          <w:tab w:pos="1136" w:val="left" w:leader="none"/>
        </w:tabs>
        <w:spacing w:line="249" w:lineRule="auto" w:before="180" w:after="0"/>
        <w:ind w:left="847" w:right="1559" w:hanging="216"/>
        <w:jc w:val="left"/>
        <w:rPr>
          <w:sz w:val="20"/>
        </w:rPr>
      </w:pPr>
      <w:r>
        <w:rPr>
          <w:sz w:val="20"/>
        </w:rPr>
        <w:t>Understand Sociocultural and Political Awareness, and</w:t>
      </w:r>
    </w:p>
    <w:p>
      <w:pPr>
        <w:pStyle w:val="ListParagraph"/>
        <w:numPr>
          <w:ilvl w:val="1"/>
          <w:numId w:val="7"/>
        </w:numPr>
        <w:tabs>
          <w:tab w:pos="1136" w:val="left" w:leader="none"/>
        </w:tabs>
        <w:spacing w:line="249" w:lineRule="auto" w:before="183" w:after="0"/>
        <w:ind w:left="1135" w:right="962" w:hanging="216"/>
        <w:jc w:val="left"/>
        <w:rPr>
          <w:sz w:val="20"/>
        </w:rPr>
      </w:pPr>
      <w:r>
        <w:rPr>
          <w:spacing w:val="-3"/>
          <w:sz w:val="20"/>
        </w:rPr>
        <w:t>Model </w:t>
      </w:r>
      <w:r>
        <w:rPr>
          <w:sz w:val="20"/>
        </w:rPr>
        <w:t>the roles and relationships </w:t>
      </w:r>
      <w:r>
        <w:rPr>
          <w:spacing w:val="-3"/>
          <w:sz w:val="20"/>
        </w:rPr>
        <w:t>of </w:t>
      </w:r>
      <w:r>
        <w:rPr>
          <w:sz w:val="20"/>
        </w:rPr>
        <w:t>the </w:t>
      </w:r>
      <w:r>
        <w:rPr>
          <w:spacing w:val="-3"/>
          <w:sz w:val="20"/>
        </w:rPr>
        <w:t>major </w:t>
      </w:r>
      <w:r>
        <w:rPr>
          <w:sz w:val="20"/>
        </w:rPr>
        <w:t>entities influencing </w:t>
      </w:r>
      <w:r>
        <w:rPr>
          <w:spacing w:val="-3"/>
          <w:sz w:val="20"/>
        </w:rPr>
        <w:t>global </w:t>
      </w:r>
      <w:r>
        <w:rPr>
          <w:sz w:val="20"/>
        </w:rPr>
        <w:t>health and development.</w:t>
      </w:r>
    </w:p>
    <w:p>
      <w:pPr>
        <w:pStyle w:val="ListParagraph"/>
        <w:numPr>
          <w:ilvl w:val="0"/>
          <w:numId w:val="7"/>
        </w:numPr>
        <w:tabs>
          <w:tab w:pos="1135" w:val="left" w:leader="none"/>
          <w:tab w:pos="1136" w:val="left" w:leader="none"/>
        </w:tabs>
        <w:spacing w:line="240" w:lineRule="auto" w:before="180" w:after="0"/>
        <w:ind w:left="1135" w:right="0" w:hanging="504"/>
        <w:jc w:val="left"/>
        <w:rPr>
          <w:sz w:val="20"/>
        </w:rPr>
      </w:pPr>
      <w:r>
        <w:rPr>
          <w:sz w:val="20"/>
        </w:rPr>
        <w:t>Understand Strategic Analysis,</w:t>
      </w:r>
      <w:r>
        <w:rPr>
          <w:spacing w:val="-9"/>
          <w:sz w:val="20"/>
        </w:rPr>
        <w:t> </w:t>
      </w:r>
      <w:r>
        <w:rPr>
          <w:sz w:val="20"/>
        </w:rPr>
        <w:t>and</w:t>
      </w:r>
    </w:p>
    <w:p>
      <w:pPr>
        <w:pStyle w:val="ListParagraph"/>
        <w:numPr>
          <w:ilvl w:val="1"/>
          <w:numId w:val="7"/>
        </w:numPr>
        <w:tabs>
          <w:tab w:pos="1136" w:val="left" w:leader="none"/>
        </w:tabs>
        <w:spacing w:line="249" w:lineRule="auto" w:before="193" w:after="0"/>
        <w:ind w:left="1135" w:right="615" w:hanging="216"/>
        <w:jc w:val="both"/>
        <w:rPr>
          <w:sz w:val="20"/>
        </w:rPr>
      </w:pPr>
      <w:r>
        <w:rPr>
          <w:sz w:val="20"/>
        </w:rPr>
        <w:t>Identify how demographic and other major factors can influence patterns </w:t>
      </w:r>
      <w:r>
        <w:rPr>
          <w:spacing w:val="-3"/>
          <w:sz w:val="20"/>
        </w:rPr>
        <w:t>of </w:t>
      </w:r>
      <w:r>
        <w:rPr>
          <w:sz w:val="20"/>
        </w:rPr>
        <w:t>morbidity, mortality, and disability in a define</w:t>
      </w:r>
      <w:r>
        <w:rPr>
          <w:spacing w:val="-8"/>
          <w:sz w:val="20"/>
        </w:rPr>
        <w:t> </w:t>
      </w:r>
      <w:r>
        <w:rPr>
          <w:sz w:val="20"/>
        </w:rPr>
        <w:t>population.</w:t>
      </w:r>
    </w:p>
    <w:p>
      <w:pPr>
        <w:pStyle w:val="ListParagraph"/>
        <w:numPr>
          <w:ilvl w:val="1"/>
          <w:numId w:val="7"/>
        </w:numPr>
        <w:tabs>
          <w:tab w:pos="1136" w:val="left" w:leader="none"/>
        </w:tabs>
        <w:spacing w:line="240" w:lineRule="auto" w:before="179" w:after="0"/>
        <w:ind w:left="1135" w:right="0" w:hanging="216"/>
        <w:jc w:val="left"/>
        <w:rPr>
          <w:sz w:val="20"/>
        </w:rPr>
      </w:pPr>
      <w:r>
        <w:rPr>
          <w:sz w:val="20"/>
        </w:rPr>
        <w:t>Execute a community needs</w:t>
      </w:r>
      <w:r>
        <w:rPr>
          <w:spacing w:val="-10"/>
          <w:sz w:val="20"/>
        </w:rPr>
        <w:t> </w:t>
      </w:r>
      <w:r>
        <w:rPr>
          <w:sz w:val="20"/>
        </w:rPr>
        <w:t>assessment.</w:t>
      </w:r>
    </w:p>
    <w:p>
      <w:pPr>
        <w:pStyle w:val="ListParagraph"/>
        <w:numPr>
          <w:ilvl w:val="1"/>
          <w:numId w:val="7"/>
        </w:numPr>
        <w:tabs>
          <w:tab w:pos="1136" w:val="left" w:leader="none"/>
        </w:tabs>
        <w:spacing w:line="249" w:lineRule="auto" w:before="193" w:after="0"/>
        <w:ind w:left="1135" w:right="862" w:hanging="216"/>
        <w:jc w:val="left"/>
        <w:rPr>
          <w:sz w:val="20"/>
        </w:rPr>
      </w:pPr>
      <w:r>
        <w:rPr>
          <w:sz w:val="20"/>
        </w:rPr>
        <w:t>Conduct a situational analysis across a range </w:t>
      </w:r>
      <w:r>
        <w:rPr>
          <w:spacing w:val="-3"/>
          <w:sz w:val="20"/>
        </w:rPr>
        <w:t>of </w:t>
      </w:r>
      <w:r>
        <w:rPr>
          <w:sz w:val="20"/>
        </w:rPr>
        <w:t>cultural, economic, and health</w:t>
      </w:r>
      <w:r>
        <w:rPr>
          <w:spacing w:val="-3"/>
          <w:sz w:val="20"/>
        </w:rPr>
        <w:t> </w:t>
      </w:r>
      <w:r>
        <w:rPr>
          <w:sz w:val="20"/>
        </w:rPr>
        <w:t>contexts.</w:t>
      </w:r>
    </w:p>
    <w:p>
      <w:pPr>
        <w:pStyle w:val="ListParagraph"/>
        <w:numPr>
          <w:ilvl w:val="1"/>
          <w:numId w:val="7"/>
        </w:numPr>
        <w:tabs>
          <w:tab w:pos="1136" w:val="left" w:leader="none"/>
        </w:tabs>
        <w:spacing w:line="249" w:lineRule="auto" w:before="179" w:after="0"/>
        <w:ind w:left="1135" w:right="785" w:hanging="216"/>
        <w:jc w:val="left"/>
        <w:rPr>
          <w:sz w:val="20"/>
        </w:rPr>
      </w:pPr>
      <w:r>
        <w:rPr>
          <w:sz w:val="20"/>
        </w:rPr>
        <w:t>Design context-specific health interventions and evaluations based upon situational</w:t>
      </w:r>
      <w:r>
        <w:rPr>
          <w:spacing w:val="-8"/>
          <w:sz w:val="20"/>
        </w:rPr>
        <w:t> </w:t>
      </w:r>
      <w:r>
        <w:rPr>
          <w:sz w:val="20"/>
        </w:rPr>
        <w:t>analysis.</w:t>
      </w:r>
    </w:p>
    <w:p>
      <w:pPr>
        <w:pStyle w:val="Heading6"/>
        <w:spacing w:before="184"/>
        <w:ind w:left="415"/>
      </w:pPr>
      <w:r>
        <w:rPr/>
        <w:t>Degree Requirements</w:t>
      </w:r>
    </w:p>
    <w:p>
      <w:pPr>
        <w:pStyle w:val="BodyText"/>
        <w:spacing w:line="249" w:lineRule="auto" w:before="187"/>
        <w:ind w:left="415" w:right="614"/>
      </w:pPr>
      <w:r>
        <w:rPr/>
        <w:t>Degree candidates must complete a minimum </w:t>
      </w:r>
      <w:r>
        <w:rPr>
          <w:spacing w:val="-3"/>
        </w:rPr>
        <w:t>of </w:t>
      </w:r>
      <w:r>
        <w:rPr/>
        <w:t>31 credits. Students must maintain a minimum, cumulative grade- point average </w:t>
      </w:r>
      <w:r>
        <w:rPr>
          <w:spacing w:val="-3"/>
        </w:rPr>
        <w:t>of </w:t>
      </w:r>
      <w:r>
        <w:rPr/>
        <w:t>3.0 </w:t>
      </w:r>
      <w:r>
        <w:rPr>
          <w:spacing w:val="-5"/>
        </w:rPr>
        <w:t>on </w:t>
      </w:r>
      <w:r>
        <w:rPr/>
        <w:t>a 4.0 scale. </w:t>
      </w:r>
      <w:r>
        <w:rPr>
          <w:spacing w:val="-2"/>
        </w:rPr>
        <w:t>All </w:t>
      </w:r>
      <w:r>
        <w:rPr/>
        <w:t>courses must </w:t>
      </w:r>
      <w:r>
        <w:rPr>
          <w:spacing w:val="-3"/>
        </w:rPr>
        <w:t>be </w:t>
      </w:r>
      <w:r>
        <w:rPr/>
        <w:t>taken </w:t>
      </w:r>
      <w:r>
        <w:rPr>
          <w:spacing w:val="-4"/>
        </w:rPr>
        <w:t>for </w:t>
      </w:r>
      <w:r>
        <w:rPr/>
        <w:t>letter grade; courses taken as Pass/Fail (P/F) </w:t>
      </w:r>
      <w:r>
        <w:rPr>
          <w:spacing w:val="-3"/>
        </w:rPr>
        <w:t>or </w:t>
      </w:r>
      <w:r>
        <w:rPr/>
        <w:t>Audit </w:t>
      </w:r>
      <w:r>
        <w:rPr>
          <w:spacing w:val="-3"/>
        </w:rPr>
        <w:t>(AU) </w:t>
      </w:r>
      <w:r>
        <w:rPr/>
        <w:t>do not count toward the degree. All requirements </w:t>
      </w:r>
      <w:r>
        <w:rPr>
          <w:spacing w:val="-4"/>
        </w:rPr>
        <w:t>for </w:t>
      </w:r>
      <w:r>
        <w:rPr/>
        <w:t>the degree must </w:t>
      </w:r>
      <w:r>
        <w:rPr>
          <w:spacing w:val="-3"/>
        </w:rPr>
        <w:t>be </w:t>
      </w:r>
      <w:r>
        <w:rPr/>
        <w:t>completed within  three years after admission and all credits </w:t>
      </w:r>
      <w:r>
        <w:rPr>
          <w:spacing w:val="-4"/>
        </w:rPr>
        <w:t>for </w:t>
      </w:r>
      <w:r>
        <w:rPr/>
        <w:t>the degree must </w:t>
      </w:r>
      <w:r>
        <w:rPr>
          <w:spacing w:val="-3"/>
        </w:rPr>
        <w:t>be </w:t>
      </w:r>
      <w:r>
        <w:rPr/>
        <w:t>completed at the University of</w:t>
      </w:r>
      <w:r>
        <w:rPr>
          <w:spacing w:val="-9"/>
        </w:rPr>
        <w:t> </w:t>
      </w:r>
      <w:r>
        <w:rPr/>
        <w:t>Maryland,</w:t>
      </w:r>
    </w:p>
    <w:p>
      <w:pPr>
        <w:spacing w:after="0" w:line="249" w:lineRule="auto"/>
        <w:sectPr>
          <w:pgSz w:w="12240" w:h="15840"/>
          <w:pgMar w:header="746" w:footer="0" w:top="1320" w:bottom="280" w:left="880" w:right="300"/>
          <w:cols w:num="2" w:equalWidth="0">
            <w:col w:w="5004" w:space="264"/>
            <w:col w:w="5792"/>
          </w:cols>
        </w:sectPr>
      </w:pPr>
    </w:p>
    <w:p>
      <w:pPr>
        <w:pStyle w:val="BodyText"/>
        <w:spacing w:line="249" w:lineRule="auto" w:before="100"/>
        <w:ind w:right="6258"/>
      </w:pPr>
      <w:r>
        <w:rPr/>
        <w:t>Baltimore. Complete guidelines and requirements for progression and completion are outlined in the Academic Performance and Progress section of this catalog.</w:t>
      </w:r>
    </w:p>
    <w:p>
      <w:pPr>
        <w:pStyle w:val="BodyText"/>
        <w:spacing w:line="249" w:lineRule="auto" w:before="180"/>
        <w:ind w:right="6391"/>
      </w:pPr>
      <w:r>
        <w:rPr/>
        <w:t>Details are given in the Course Descriptions part of this catalog.</w:t>
      </w:r>
    </w:p>
    <w:p>
      <w:pPr>
        <w:spacing w:after="0" w:line="249" w:lineRule="auto"/>
        <w:sectPr>
          <w:pgSz w:w="12240" w:h="15840"/>
          <w:pgMar w:header="746" w:footer="0" w:top="1320" w:bottom="280" w:left="880" w:right="300"/>
        </w:sectPr>
      </w:pPr>
    </w:p>
    <w:p>
      <w:pPr>
        <w:pStyle w:val="Heading3"/>
      </w:pPr>
      <w:bookmarkStart w:name="Global Health Systems and Innovation" w:id="25"/>
      <w:bookmarkEnd w:id="25"/>
      <w:r>
        <w:rPr/>
      </w:r>
      <w:bookmarkStart w:name="_bookmark12" w:id="26"/>
      <w:bookmarkEnd w:id="26"/>
      <w:r>
        <w:rPr/>
      </w:r>
      <w:r>
        <w:rPr/>
        <w:t>Global Health Systems and Innovation</w:t>
      </w:r>
    </w:p>
    <w:p>
      <w:pPr>
        <w:pStyle w:val="BodyText"/>
        <w:spacing w:before="190"/>
      </w:pPr>
      <w:hyperlink r:id="rId44">
        <w:r>
          <w:rPr>
            <w:color w:val="0000FF"/>
            <w:u w:val="single" w:color="0000FF"/>
          </w:rPr>
          <w:t>http://graduate.umaryland.edu/globalhealth/</w:t>
        </w:r>
      </w:hyperlink>
    </w:p>
    <w:p>
      <w:pPr>
        <w:spacing w:line="439" w:lineRule="auto" w:before="192"/>
        <w:ind w:left="200" w:right="2401"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left="199" w:right="123"/>
        <w:jc w:val="both"/>
      </w:pPr>
      <w:r>
        <w:rPr/>
        <w:t>The online postbaccalaureate certificate in Global </w:t>
      </w:r>
      <w:r>
        <w:rPr>
          <w:spacing w:val="-2"/>
        </w:rPr>
        <w:t>Health </w:t>
      </w:r>
      <w:r>
        <w:rPr/>
        <w:t>Systems and Innovation (PBC in </w:t>
      </w:r>
      <w:r>
        <w:rPr>
          <w:spacing w:val="-3"/>
        </w:rPr>
        <w:t>Global Health Systems </w:t>
      </w:r>
      <w:r>
        <w:rPr/>
        <w:t>and Innovation </w:t>
      </w:r>
      <w:r>
        <w:rPr>
          <w:spacing w:val="-3"/>
        </w:rPr>
        <w:t>or PBC </w:t>
      </w:r>
      <w:r>
        <w:rPr/>
        <w:t>in </w:t>
      </w:r>
      <w:r>
        <w:rPr>
          <w:spacing w:val="-3"/>
        </w:rPr>
        <w:t>GHSI) </w:t>
      </w:r>
      <w:r>
        <w:rPr/>
        <w:t>is a partnership </w:t>
      </w:r>
      <w:r>
        <w:rPr>
          <w:spacing w:val="-3"/>
        </w:rPr>
        <w:t>between </w:t>
      </w:r>
      <w:r>
        <w:rPr/>
        <w:t>the University of Maryland, Baltimore and the University of Maryland University College (UMUC).</w:t>
      </w:r>
    </w:p>
    <w:p>
      <w:pPr>
        <w:pStyle w:val="BodyText"/>
        <w:spacing w:line="249" w:lineRule="auto" w:before="181"/>
        <w:ind w:left="199" w:right="29"/>
      </w:pPr>
      <w:r>
        <w:rPr/>
        <w:t>This 12-credit program draws students primarily from UMB alumni and other practicing health care professionals. Taught online, its focus is to introduce basic global health systems and services to health professionals interested in short- or medium-term consultation/projects overseas and subsequent opportunities. Most students are trained/licensed and experienced practitioners.</w:t>
      </w:r>
    </w:p>
    <w:p>
      <w:pPr>
        <w:pStyle w:val="BodyText"/>
        <w:spacing w:line="249" w:lineRule="auto" w:before="183"/>
        <w:ind w:left="199" w:right="19"/>
      </w:pPr>
      <w:r>
        <w:rPr/>
        <w:t>This program is offered in partnership with UMUC’s online postbaccalaureate certificate in Global Health Management (PBC Global Management). Both certificates share two common core courses. UMUC and UMB have drafted a memorandum of understanding to articulate shared delivery of the first two courses, including hosting of courses, faculty, student enrollment in each program, and confidentiality of student information.</w:t>
      </w:r>
    </w:p>
    <w:p>
      <w:pPr>
        <w:pStyle w:val="BodyText"/>
        <w:spacing w:line="249" w:lineRule="auto" w:before="188"/>
        <w:ind w:left="199" w:right="63"/>
      </w:pPr>
      <w:r>
        <w:rPr/>
        <w:t>This UMB-UMUC partnership takes advantage of UMB’s extensive graduate health professional, clinical, practice, and global expertise and UMUC’s extensive online and health management expertise. It offers UMB and UMUC graduates and students interested in global health management and global health systems and services options that are unavailable through their home institutions.</w:t>
      </w:r>
    </w:p>
    <w:p>
      <w:pPr>
        <w:pStyle w:val="BodyText"/>
        <w:spacing w:line="249" w:lineRule="auto" w:before="184"/>
        <w:ind w:left="199" w:right="230"/>
      </w:pPr>
      <w:r>
        <w:rPr/>
        <w:t>It is the goal of this program to apply skills to improve delivery of global health systems, policies, and services.</w:t>
      </w:r>
    </w:p>
    <w:p>
      <w:pPr>
        <w:pStyle w:val="BodyText"/>
        <w:spacing w:line="249" w:lineRule="auto" w:before="183"/>
        <w:ind w:left="199" w:right="316"/>
      </w:pPr>
      <w:r>
        <w:rPr/>
        <w:t>Global health systems and innovation also is a concentration of study within the Master of Science in Health Science (MSHS) program. Credits earned in the stand-alone Global Health Systems and Innovation certificate program may be applied toward the MSHS degree requirements.</w:t>
      </w:r>
    </w:p>
    <w:p>
      <w:pPr>
        <w:pStyle w:val="Heading6"/>
        <w:spacing w:before="182"/>
        <w:ind w:left="199"/>
      </w:pPr>
      <w:r>
        <w:rPr/>
        <w:t>Certificate Objectives</w:t>
      </w:r>
    </w:p>
    <w:p>
      <w:pPr>
        <w:pStyle w:val="ListParagraph"/>
        <w:numPr>
          <w:ilvl w:val="1"/>
          <w:numId w:val="3"/>
        </w:numPr>
        <w:tabs>
          <w:tab w:pos="632" w:val="left" w:leader="none"/>
        </w:tabs>
        <w:spacing w:line="240" w:lineRule="auto" w:before="193" w:after="0"/>
        <w:ind w:left="631" w:right="0" w:hanging="216"/>
        <w:jc w:val="left"/>
        <w:rPr>
          <w:sz w:val="20"/>
        </w:rPr>
      </w:pPr>
      <w:r>
        <w:rPr>
          <w:sz w:val="20"/>
        </w:rPr>
        <w:t>Formulate global health systems and</w:t>
      </w:r>
      <w:r>
        <w:rPr>
          <w:spacing w:val="-11"/>
          <w:sz w:val="20"/>
        </w:rPr>
        <w:t> </w:t>
      </w:r>
      <w:r>
        <w:rPr>
          <w:sz w:val="20"/>
        </w:rPr>
        <w:t>services.</w:t>
      </w:r>
    </w:p>
    <w:p>
      <w:pPr>
        <w:pStyle w:val="ListParagraph"/>
        <w:numPr>
          <w:ilvl w:val="1"/>
          <w:numId w:val="3"/>
        </w:numPr>
        <w:tabs>
          <w:tab w:pos="633" w:val="left" w:leader="none"/>
        </w:tabs>
        <w:spacing w:line="249" w:lineRule="auto" w:before="96" w:after="0"/>
        <w:ind w:left="632" w:right="1022" w:hanging="216"/>
        <w:jc w:val="left"/>
        <w:rPr>
          <w:sz w:val="20"/>
        </w:rPr>
      </w:pPr>
      <w:r>
        <w:rPr>
          <w:w w:val="100"/>
          <w:sz w:val="20"/>
        </w:rPr>
        <w:br w:type="column"/>
      </w:r>
      <w:r>
        <w:rPr>
          <w:sz w:val="20"/>
        </w:rPr>
        <w:t>Improve systems for quality of care and service delivery within different national health</w:t>
      </w:r>
      <w:r>
        <w:rPr>
          <w:spacing w:val="-28"/>
          <w:sz w:val="20"/>
        </w:rPr>
        <w:t> </w:t>
      </w:r>
      <w:r>
        <w:rPr>
          <w:sz w:val="20"/>
        </w:rPr>
        <w:t>systems.</w:t>
      </w:r>
    </w:p>
    <w:p>
      <w:pPr>
        <w:pStyle w:val="ListParagraph"/>
        <w:numPr>
          <w:ilvl w:val="1"/>
          <w:numId w:val="3"/>
        </w:numPr>
        <w:tabs>
          <w:tab w:pos="633" w:val="left" w:leader="none"/>
        </w:tabs>
        <w:spacing w:line="249" w:lineRule="auto" w:before="179" w:after="0"/>
        <w:ind w:left="632" w:right="620" w:hanging="216"/>
        <w:jc w:val="left"/>
        <w:rPr>
          <w:sz w:val="20"/>
        </w:rPr>
      </w:pPr>
      <w:r>
        <w:rPr>
          <w:sz w:val="20"/>
        </w:rPr>
        <w:t>Plan health programs within diverse cultures that may have differing ethical values.</w:t>
      </w:r>
    </w:p>
    <w:p>
      <w:pPr>
        <w:pStyle w:val="ListParagraph"/>
        <w:numPr>
          <w:ilvl w:val="1"/>
          <w:numId w:val="3"/>
        </w:numPr>
        <w:tabs>
          <w:tab w:pos="633" w:val="left" w:leader="none"/>
        </w:tabs>
        <w:spacing w:line="249" w:lineRule="auto" w:before="184" w:after="0"/>
        <w:ind w:left="632" w:right="998" w:hanging="216"/>
        <w:jc w:val="left"/>
        <w:rPr>
          <w:sz w:val="20"/>
        </w:rPr>
      </w:pPr>
      <w:r>
        <w:rPr>
          <w:sz w:val="20"/>
        </w:rPr>
        <w:t>Produce global health policy and </w:t>
      </w:r>
      <w:r>
        <w:rPr>
          <w:spacing w:val="-3"/>
          <w:sz w:val="20"/>
        </w:rPr>
        <w:t>systems </w:t>
      </w:r>
      <w:r>
        <w:rPr>
          <w:sz w:val="20"/>
        </w:rPr>
        <w:t>practitioners </w:t>
      </w:r>
      <w:r>
        <w:rPr>
          <w:spacing w:val="-3"/>
          <w:sz w:val="20"/>
        </w:rPr>
        <w:t>with </w:t>
      </w:r>
      <w:r>
        <w:rPr>
          <w:sz w:val="20"/>
        </w:rPr>
        <w:t>understanding </w:t>
      </w:r>
      <w:r>
        <w:rPr>
          <w:spacing w:val="-3"/>
          <w:sz w:val="20"/>
        </w:rPr>
        <w:t>of </w:t>
      </w:r>
      <w:r>
        <w:rPr>
          <w:sz w:val="20"/>
        </w:rPr>
        <w:t>global health ethics, women’s and children’s health, health implications </w:t>
      </w:r>
      <w:r>
        <w:rPr>
          <w:spacing w:val="-3"/>
          <w:sz w:val="20"/>
        </w:rPr>
        <w:t>of </w:t>
      </w:r>
      <w:r>
        <w:rPr>
          <w:sz w:val="20"/>
        </w:rPr>
        <w:t>mass violence and disaster and/or infectious disease</w:t>
      </w:r>
      <w:r>
        <w:rPr>
          <w:spacing w:val="-2"/>
          <w:sz w:val="20"/>
        </w:rPr>
        <w:t> </w:t>
      </w:r>
      <w:r>
        <w:rPr>
          <w:sz w:val="20"/>
        </w:rPr>
        <w:t>epidemiology.</w:t>
      </w:r>
    </w:p>
    <w:p>
      <w:pPr>
        <w:pStyle w:val="Heading6"/>
        <w:spacing w:before="181"/>
      </w:pPr>
      <w:r>
        <w:rPr/>
        <w:t>Learning Outcomes</w:t>
      </w:r>
    </w:p>
    <w:p>
      <w:pPr>
        <w:pStyle w:val="ListParagraph"/>
        <w:numPr>
          <w:ilvl w:val="1"/>
          <w:numId w:val="3"/>
        </w:numPr>
        <w:tabs>
          <w:tab w:pos="633" w:val="left" w:leader="none"/>
        </w:tabs>
        <w:spacing w:line="249" w:lineRule="auto" w:before="193" w:after="0"/>
        <w:ind w:left="632" w:right="653" w:hanging="216"/>
        <w:jc w:val="left"/>
        <w:rPr>
          <w:sz w:val="20"/>
        </w:rPr>
      </w:pPr>
      <w:r>
        <w:rPr>
          <w:sz w:val="20"/>
        </w:rPr>
        <w:t>Understand the international health organizations and their roles in promulgating </w:t>
      </w:r>
      <w:r>
        <w:rPr>
          <w:spacing w:val="-3"/>
          <w:sz w:val="20"/>
        </w:rPr>
        <w:t>global </w:t>
      </w:r>
      <w:r>
        <w:rPr>
          <w:sz w:val="20"/>
        </w:rPr>
        <w:t>health </w:t>
      </w:r>
      <w:r>
        <w:rPr>
          <w:spacing w:val="-3"/>
          <w:sz w:val="20"/>
        </w:rPr>
        <w:t>systems, </w:t>
      </w:r>
      <w:r>
        <w:rPr>
          <w:sz w:val="20"/>
        </w:rPr>
        <w:t>policies, and procedures and organizing health services.</w:t>
      </w:r>
    </w:p>
    <w:p>
      <w:pPr>
        <w:pStyle w:val="ListParagraph"/>
        <w:numPr>
          <w:ilvl w:val="1"/>
          <w:numId w:val="3"/>
        </w:numPr>
        <w:tabs>
          <w:tab w:pos="633" w:val="left" w:leader="none"/>
        </w:tabs>
        <w:spacing w:line="249" w:lineRule="auto" w:before="180" w:after="0"/>
        <w:ind w:left="632" w:right="1028" w:hanging="216"/>
        <w:jc w:val="left"/>
        <w:rPr>
          <w:sz w:val="20"/>
        </w:rPr>
      </w:pPr>
      <w:r>
        <w:rPr>
          <w:sz w:val="20"/>
        </w:rPr>
        <w:t>Assess and design global health programs within different national</w:t>
      </w:r>
      <w:r>
        <w:rPr>
          <w:spacing w:val="-3"/>
          <w:sz w:val="20"/>
        </w:rPr>
        <w:t> </w:t>
      </w:r>
      <w:r>
        <w:rPr>
          <w:sz w:val="20"/>
        </w:rPr>
        <w:t>contexts.</w:t>
      </w:r>
    </w:p>
    <w:p>
      <w:pPr>
        <w:pStyle w:val="ListParagraph"/>
        <w:numPr>
          <w:ilvl w:val="1"/>
          <w:numId w:val="3"/>
        </w:numPr>
        <w:tabs>
          <w:tab w:pos="633" w:val="left" w:leader="none"/>
        </w:tabs>
        <w:spacing w:line="249" w:lineRule="auto" w:before="184" w:after="0"/>
        <w:ind w:left="632" w:right="687" w:hanging="216"/>
        <w:jc w:val="left"/>
        <w:rPr>
          <w:sz w:val="20"/>
        </w:rPr>
      </w:pPr>
      <w:r>
        <w:rPr>
          <w:sz w:val="20"/>
        </w:rPr>
        <w:t>Implement and evaluate global health programs to maximize contributions to </w:t>
      </w:r>
      <w:r>
        <w:rPr>
          <w:spacing w:val="-3"/>
          <w:sz w:val="20"/>
        </w:rPr>
        <w:t>effective </w:t>
      </w:r>
      <w:r>
        <w:rPr>
          <w:sz w:val="20"/>
        </w:rPr>
        <w:t>policy, enhanced practice, and </w:t>
      </w:r>
      <w:r>
        <w:rPr>
          <w:spacing w:val="-3"/>
          <w:sz w:val="20"/>
        </w:rPr>
        <w:t>improved </w:t>
      </w:r>
      <w:r>
        <w:rPr>
          <w:sz w:val="20"/>
        </w:rPr>
        <w:t>and sustainable health outcomes.</w:t>
      </w:r>
    </w:p>
    <w:p>
      <w:pPr>
        <w:pStyle w:val="ListParagraph"/>
        <w:numPr>
          <w:ilvl w:val="1"/>
          <w:numId w:val="3"/>
        </w:numPr>
        <w:tabs>
          <w:tab w:pos="633" w:val="left" w:leader="none"/>
        </w:tabs>
        <w:spacing w:line="249" w:lineRule="auto" w:before="181" w:after="0"/>
        <w:ind w:left="632" w:right="724" w:hanging="216"/>
        <w:jc w:val="left"/>
        <w:rPr>
          <w:sz w:val="20"/>
        </w:rPr>
      </w:pPr>
      <w:r>
        <w:rPr>
          <w:sz w:val="20"/>
        </w:rPr>
        <w:t>Work effectively within diverse cultural settings and across national and international political landscapes to maximize contributions to effective policy and enhanced</w:t>
      </w:r>
      <w:r>
        <w:rPr>
          <w:spacing w:val="1"/>
          <w:sz w:val="20"/>
        </w:rPr>
        <w:t> </w:t>
      </w:r>
      <w:r>
        <w:rPr>
          <w:sz w:val="20"/>
        </w:rPr>
        <w:t>practice.</w:t>
      </w:r>
    </w:p>
    <w:p>
      <w:pPr>
        <w:pStyle w:val="ListParagraph"/>
        <w:numPr>
          <w:ilvl w:val="1"/>
          <w:numId w:val="3"/>
        </w:numPr>
        <w:tabs>
          <w:tab w:pos="633" w:val="left" w:leader="none"/>
        </w:tabs>
        <w:spacing w:line="249" w:lineRule="auto" w:before="185" w:after="0"/>
        <w:ind w:left="632" w:right="743" w:hanging="216"/>
        <w:jc w:val="both"/>
        <w:rPr>
          <w:sz w:val="20"/>
        </w:rPr>
      </w:pPr>
      <w:r>
        <w:rPr>
          <w:sz w:val="20"/>
        </w:rPr>
        <w:t>Build interdisciplinary teams and communicate with clinical providers, administrators, and patients using appropriate cultural</w:t>
      </w:r>
      <w:r>
        <w:rPr>
          <w:spacing w:val="2"/>
          <w:sz w:val="20"/>
        </w:rPr>
        <w:t> </w:t>
      </w:r>
      <w:r>
        <w:rPr>
          <w:sz w:val="20"/>
        </w:rPr>
        <w:t>practices.</w:t>
      </w:r>
    </w:p>
    <w:p>
      <w:pPr>
        <w:pStyle w:val="ListParagraph"/>
        <w:numPr>
          <w:ilvl w:val="1"/>
          <w:numId w:val="3"/>
        </w:numPr>
        <w:tabs>
          <w:tab w:pos="633" w:val="left" w:leader="none"/>
        </w:tabs>
        <w:spacing w:line="249" w:lineRule="auto" w:before="180" w:after="0"/>
        <w:ind w:left="632" w:right="632" w:hanging="216"/>
        <w:jc w:val="left"/>
        <w:rPr>
          <w:sz w:val="20"/>
        </w:rPr>
      </w:pPr>
      <w:r>
        <w:rPr>
          <w:sz w:val="20"/>
        </w:rPr>
        <w:t>Use a </w:t>
      </w:r>
      <w:r>
        <w:rPr>
          <w:spacing w:val="-3"/>
          <w:sz w:val="20"/>
        </w:rPr>
        <w:t>systems </w:t>
      </w:r>
      <w:r>
        <w:rPr>
          <w:sz w:val="20"/>
        </w:rPr>
        <w:t>approach to health </w:t>
      </w:r>
      <w:r>
        <w:rPr>
          <w:spacing w:val="-3"/>
          <w:sz w:val="20"/>
        </w:rPr>
        <w:t>services </w:t>
      </w:r>
      <w:r>
        <w:rPr>
          <w:sz w:val="20"/>
        </w:rPr>
        <w:t>management, including strategic planning, budgeting, and resource</w:t>
      </w:r>
      <w:r>
        <w:rPr>
          <w:spacing w:val="-5"/>
          <w:sz w:val="20"/>
        </w:rPr>
        <w:t> </w:t>
      </w:r>
      <w:r>
        <w:rPr>
          <w:sz w:val="20"/>
        </w:rPr>
        <w:t>allocation.</w:t>
      </w:r>
    </w:p>
    <w:p>
      <w:pPr>
        <w:pStyle w:val="BodyText"/>
        <w:spacing w:line="249" w:lineRule="auto" w:before="184"/>
        <w:ind w:left="199" w:right="690"/>
      </w:pPr>
      <w:r>
        <w:rPr/>
        <w:t>Evaluation and assessment for the program will take place in the required courses, including regular course evaluations, review of grade distributions, and faculty review of student performance on embedded course assessments. Additional review includes tracking student completion rates.</w:t>
      </w:r>
    </w:p>
    <w:p>
      <w:pPr>
        <w:pStyle w:val="Heading6"/>
        <w:spacing w:before="182"/>
        <w:ind w:left="199"/>
      </w:pPr>
      <w:r>
        <w:rPr/>
        <w:t>Program Admission</w:t>
      </w:r>
    </w:p>
    <w:p>
      <w:pPr>
        <w:pStyle w:val="BodyText"/>
        <w:spacing w:line="249" w:lineRule="auto" w:before="193"/>
        <w:ind w:left="199" w:right="607"/>
      </w:pPr>
      <w:r>
        <w:rPr/>
        <w:t>General application requirements for admission to postbaccalaureate certificate programs are outlined in the Admissions section of this catalog. UMB recognizes that the coursework designed for the GHSI certificate has the potential to benefit learners who are pursuing multiple clinical and professional degrees and credentials. Thus, the program considers applicants who hold a bachelor’s degree</w:t>
      </w:r>
    </w:p>
    <w:p>
      <w:pPr>
        <w:spacing w:after="0" w:line="249" w:lineRule="auto"/>
        <w:sectPr>
          <w:pgSz w:w="12240" w:h="15840"/>
          <w:pgMar w:header="746" w:footer="0" w:top="1320" w:bottom="280" w:left="880" w:right="300"/>
          <w:cols w:num="2" w:equalWidth="0">
            <w:col w:w="4948" w:space="537"/>
            <w:col w:w="5575"/>
          </w:cols>
        </w:sectPr>
      </w:pPr>
    </w:p>
    <w:p>
      <w:pPr>
        <w:pStyle w:val="BodyText"/>
        <w:spacing w:line="249" w:lineRule="auto" w:before="100"/>
        <w:ind w:right="21"/>
      </w:pPr>
      <w:r>
        <w:rPr/>
        <w:t>and who are co-enrolled in, or have graduated from, a UMB health professional discipline. To apply for this postbaccalaureate certificate, individuals must (1) have a</w:t>
      </w:r>
    </w:p>
    <w:p>
      <w:pPr>
        <w:pStyle w:val="BodyText"/>
        <w:spacing w:before="0"/>
        <w:ind w:left="0"/>
        <w:rPr>
          <w:sz w:val="22"/>
        </w:rPr>
      </w:pPr>
      <w:r>
        <w:rPr/>
        <w:br w:type="column"/>
      </w:r>
      <w:r>
        <w:rPr>
          <w:sz w:val="22"/>
        </w:rPr>
      </w:r>
    </w:p>
    <w:p>
      <w:pPr>
        <w:pStyle w:val="BodyText"/>
        <w:spacing w:before="2"/>
        <w:ind w:left="0"/>
        <w:rPr>
          <w:sz w:val="22"/>
        </w:rPr>
      </w:pPr>
    </w:p>
    <w:p>
      <w:pPr>
        <w:pStyle w:val="Heading5"/>
        <w:spacing w:before="0"/>
      </w:pPr>
      <w:r>
        <w:rPr/>
        <w:t>Required</w:t>
      </w:r>
    </w:p>
    <w:p>
      <w:pPr>
        <w:pStyle w:val="BodyText"/>
        <w:spacing w:before="100"/>
      </w:pPr>
      <w:r>
        <w:rPr/>
        <w:br w:type="column"/>
      </w:r>
      <w:r>
        <w:rPr/>
        <w:t>COMMUNITY LEVEL</w:t>
      </w:r>
    </w:p>
    <w:p>
      <w:pPr>
        <w:spacing w:after="0"/>
        <w:sectPr>
          <w:pgSz w:w="12240" w:h="15840"/>
          <w:pgMar w:header="746" w:footer="0" w:top="1320" w:bottom="280" w:left="880" w:right="300"/>
          <w:cols w:num="3" w:equalWidth="0">
            <w:col w:w="4789" w:space="697"/>
            <w:col w:w="1008" w:space="322"/>
            <w:col w:w="4244"/>
          </w:cols>
        </w:sectPr>
      </w:pPr>
    </w:p>
    <w:p>
      <w:pPr>
        <w:pStyle w:val="BodyText"/>
        <w:spacing w:line="249" w:lineRule="auto" w:before="2"/>
        <w:ind w:right="82"/>
      </w:pPr>
      <w:r>
        <w:rPr/>
        <w:t>bachelor’s or master’s degree in health, or (2) three to five years of health care experience and a bachelor’s degree, or</w:t>
      </w:r>
    </w:p>
    <w:p>
      <w:pPr>
        <w:pStyle w:val="ListParagraph"/>
        <w:numPr>
          <w:ilvl w:val="0"/>
          <w:numId w:val="8"/>
        </w:numPr>
        <w:tabs>
          <w:tab w:pos="488" w:val="left" w:leader="none"/>
        </w:tabs>
        <w:spacing w:line="240" w:lineRule="auto" w:before="1" w:after="0"/>
        <w:ind w:left="487" w:right="0" w:hanging="287"/>
        <w:jc w:val="left"/>
        <w:rPr>
          <w:sz w:val="20"/>
        </w:rPr>
      </w:pPr>
      <w:r>
        <w:rPr>
          <w:spacing w:val="-3"/>
          <w:sz w:val="20"/>
        </w:rPr>
        <w:t>be </w:t>
      </w:r>
      <w:r>
        <w:rPr>
          <w:sz w:val="20"/>
        </w:rPr>
        <w:t>a current </w:t>
      </w:r>
      <w:r>
        <w:rPr>
          <w:spacing w:val="-4"/>
          <w:sz w:val="20"/>
        </w:rPr>
        <w:t>UMUC </w:t>
      </w:r>
      <w:r>
        <w:rPr>
          <w:spacing w:val="-3"/>
          <w:sz w:val="20"/>
        </w:rPr>
        <w:t>or UMB </w:t>
      </w:r>
      <w:r>
        <w:rPr>
          <w:sz w:val="20"/>
        </w:rPr>
        <w:t>graduate</w:t>
      </w:r>
      <w:r>
        <w:rPr>
          <w:spacing w:val="22"/>
          <w:sz w:val="20"/>
        </w:rPr>
        <w:t> </w:t>
      </w:r>
      <w:r>
        <w:rPr>
          <w:sz w:val="20"/>
        </w:rPr>
        <w:t>student.</w:t>
      </w:r>
    </w:p>
    <w:p>
      <w:pPr>
        <w:pStyle w:val="BodyText"/>
        <w:spacing w:line="249" w:lineRule="auto" w:before="188"/>
        <w:ind w:right="198"/>
      </w:pPr>
      <w:r>
        <w:rPr/>
        <w:t>Graduates with postbaccalaureate certificates in global health systems and innovation may volunteer for global assignments through their current health workplace or go to work for:</w:t>
      </w:r>
    </w:p>
    <w:p>
      <w:pPr>
        <w:pStyle w:val="ListParagraph"/>
        <w:numPr>
          <w:ilvl w:val="1"/>
          <w:numId w:val="8"/>
        </w:numPr>
        <w:tabs>
          <w:tab w:pos="632" w:val="left" w:leader="none"/>
        </w:tabs>
        <w:spacing w:line="240" w:lineRule="auto" w:before="185" w:after="0"/>
        <w:ind w:left="630" w:right="0" w:hanging="215"/>
        <w:jc w:val="left"/>
        <w:rPr>
          <w:sz w:val="20"/>
        </w:rPr>
      </w:pPr>
      <w:r>
        <w:rPr>
          <w:sz w:val="20"/>
        </w:rPr>
        <w:t>In-country field</w:t>
      </w:r>
      <w:r>
        <w:rPr>
          <w:spacing w:val="-6"/>
          <w:sz w:val="20"/>
        </w:rPr>
        <w:t> </w:t>
      </w:r>
      <w:r>
        <w:rPr>
          <w:sz w:val="20"/>
        </w:rPr>
        <w:t>consultants</w:t>
      </w:r>
    </w:p>
    <w:p>
      <w:pPr>
        <w:pStyle w:val="ListParagraph"/>
        <w:numPr>
          <w:ilvl w:val="1"/>
          <w:numId w:val="8"/>
        </w:numPr>
        <w:tabs>
          <w:tab w:pos="632" w:val="left" w:leader="none"/>
        </w:tabs>
        <w:spacing w:line="240" w:lineRule="auto" w:before="188" w:after="0"/>
        <w:ind w:left="631" w:right="0" w:hanging="216"/>
        <w:jc w:val="left"/>
        <w:rPr>
          <w:sz w:val="20"/>
        </w:rPr>
      </w:pPr>
      <w:r>
        <w:rPr>
          <w:sz w:val="20"/>
        </w:rPr>
        <w:t>Disaster relief</w:t>
      </w:r>
      <w:r>
        <w:rPr>
          <w:spacing w:val="-5"/>
          <w:sz w:val="20"/>
        </w:rPr>
        <w:t> </w:t>
      </w:r>
      <w:r>
        <w:rPr>
          <w:sz w:val="20"/>
        </w:rPr>
        <w:t>organizations</w:t>
      </w:r>
    </w:p>
    <w:p>
      <w:pPr>
        <w:pStyle w:val="ListParagraph"/>
        <w:numPr>
          <w:ilvl w:val="1"/>
          <w:numId w:val="8"/>
        </w:numPr>
        <w:tabs>
          <w:tab w:pos="632" w:val="left" w:leader="none"/>
        </w:tabs>
        <w:spacing w:line="240" w:lineRule="auto" w:before="192" w:after="0"/>
        <w:ind w:left="631" w:right="0" w:hanging="216"/>
        <w:jc w:val="left"/>
        <w:rPr>
          <w:sz w:val="20"/>
        </w:rPr>
      </w:pPr>
      <w:r>
        <w:rPr>
          <w:sz w:val="20"/>
        </w:rPr>
        <w:t>Immigrant/refugee health</w:t>
      </w:r>
      <w:r>
        <w:rPr>
          <w:spacing w:val="-1"/>
          <w:sz w:val="20"/>
        </w:rPr>
        <w:t> </w:t>
      </w:r>
      <w:r>
        <w:rPr>
          <w:sz w:val="20"/>
        </w:rPr>
        <w:t>organizations</w:t>
      </w:r>
    </w:p>
    <w:p>
      <w:pPr>
        <w:pStyle w:val="ListParagraph"/>
        <w:numPr>
          <w:ilvl w:val="1"/>
          <w:numId w:val="8"/>
        </w:numPr>
        <w:tabs>
          <w:tab w:pos="632" w:val="left" w:leader="none"/>
        </w:tabs>
        <w:spacing w:line="240" w:lineRule="auto" w:before="188" w:after="0"/>
        <w:ind w:left="631" w:right="0" w:hanging="216"/>
        <w:jc w:val="left"/>
        <w:rPr>
          <w:sz w:val="20"/>
        </w:rPr>
      </w:pPr>
      <w:r>
        <w:rPr>
          <w:sz w:val="20"/>
        </w:rPr>
        <w:t>Research and academic</w:t>
      </w:r>
      <w:r>
        <w:rPr>
          <w:spacing w:val="-2"/>
          <w:sz w:val="20"/>
        </w:rPr>
        <w:t> </w:t>
      </w:r>
      <w:r>
        <w:rPr>
          <w:sz w:val="20"/>
        </w:rPr>
        <w:t>institutions</w:t>
      </w:r>
    </w:p>
    <w:p>
      <w:pPr>
        <w:pStyle w:val="ListParagraph"/>
        <w:numPr>
          <w:ilvl w:val="1"/>
          <w:numId w:val="8"/>
        </w:numPr>
        <w:tabs>
          <w:tab w:pos="632" w:val="left" w:leader="none"/>
        </w:tabs>
        <w:spacing w:line="240" w:lineRule="auto" w:before="192" w:after="0"/>
        <w:ind w:left="631" w:right="0" w:hanging="216"/>
        <w:jc w:val="left"/>
        <w:rPr>
          <w:sz w:val="20"/>
        </w:rPr>
      </w:pPr>
      <w:r>
        <w:rPr>
          <w:sz w:val="20"/>
        </w:rPr>
        <w:t>International</w:t>
      </w:r>
      <w:r>
        <w:rPr>
          <w:spacing w:val="-2"/>
          <w:sz w:val="20"/>
        </w:rPr>
        <w:t> </w:t>
      </w:r>
      <w:r>
        <w:rPr>
          <w:sz w:val="20"/>
        </w:rPr>
        <w:t>agencies</w:t>
      </w:r>
    </w:p>
    <w:p>
      <w:pPr>
        <w:pStyle w:val="ListParagraph"/>
        <w:numPr>
          <w:ilvl w:val="1"/>
          <w:numId w:val="8"/>
        </w:numPr>
        <w:tabs>
          <w:tab w:pos="631" w:val="left" w:leader="none"/>
        </w:tabs>
        <w:spacing w:line="240" w:lineRule="auto" w:before="188" w:after="0"/>
        <w:ind w:left="630" w:right="0" w:hanging="216"/>
        <w:jc w:val="left"/>
        <w:rPr>
          <w:sz w:val="20"/>
        </w:rPr>
      </w:pPr>
      <w:r>
        <w:rPr>
          <w:sz w:val="20"/>
        </w:rPr>
        <w:t>Other nongovernmental organizations</w:t>
      </w:r>
      <w:r>
        <w:rPr>
          <w:spacing w:val="-5"/>
          <w:sz w:val="20"/>
        </w:rPr>
        <w:t> </w:t>
      </w:r>
      <w:r>
        <w:rPr>
          <w:sz w:val="20"/>
        </w:rPr>
        <w:t>(NGOs)</w:t>
      </w:r>
    </w:p>
    <w:p>
      <w:pPr>
        <w:pStyle w:val="ListParagraph"/>
        <w:numPr>
          <w:ilvl w:val="1"/>
          <w:numId w:val="8"/>
        </w:numPr>
        <w:tabs>
          <w:tab w:pos="631" w:val="left" w:leader="none"/>
        </w:tabs>
        <w:spacing w:line="249" w:lineRule="auto" w:before="192" w:after="0"/>
        <w:ind w:left="630" w:right="741" w:hanging="216"/>
        <w:jc w:val="left"/>
        <w:rPr>
          <w:sz w:val="20"/>
        </w:rPr>
      </w:pPr>
      <w:r>
        <w:rPr>
          <w:sz w:val="20"/>
        </w:rPr>
        <w:t>Lending agencies that do work in developing countries</w:t>
      </w:r>
    </w:p>
    <w:p>
      <w:pPr>
        <w:pStyle w:val="ListParagraph"/>
        <w:numPr>
          <w:ilvl w:val="1"/>
          <w:numId w:val="8"/>
        </w:numPr>
        <w:tabs>
          <w:tab w:pos="631" w:val="left" w:leader="none"/>
        </w:tabs>
        <w:spacing w:line="249" w:lineRule="auto" w:before="179" w:after="0"/>
        <w:ind w:left="630" w:right="534" w:hanging="216"/>
        <w:jc w:val="left"/>
        <w:rPr>
          <w:sz w:val="20"/>
        </w:rPr>
      </w:pPr>
      <w:r>
        <w:rPr>
          <w:sz w:val="20"/>
        </w:rPr>
        <w:t>Multilateral agencies (such as the World </w:t>
      </w:r>
      <w:r>
        <w:rPr>
          <w:spacing w:val="-2"/>
          <w:sz w:val="20"/>
        </w:rPr>
        <w:t>Health </w:t>
      </w:r>
      <w:r>
        <w:rPr>
          <w:sz w:val="20"/>
        </w:rPr>
        <w:t>Organization)</w:t>
      </w:r>
    </w:p>
    <w:p>
      <w:pPr>
        <w:pStyle w:val="ListParagraph"/>
        <w:numPr>
          <w:ilvl w:val="1"/>
          <w:numId w:val="8"/>
        </w:numPr>
        <w:tabs>
          <w:tab w:pos="631" w:val="left" w:leader="none"/>
        </w:tabs>
        <w:spacing w:line="249" w:lineRule="auto" w:before="184" w:after="0"/>
        <w:ind w:left="630" w:right="343" w:hanging="216"/>
        <w:jc w:val="left"/>
        <w:rPr>
          <w:sz w:val="20"/>
        </w:rPr>
      </w:pPr>
      <w:r>
        <w:rPr>
          <w:sz w:val="20"/>
        </w:rPr>
        <w:t>Governmental agencies (U.S. Agency for International Development, in-country ministry </w:t>
      </w:r>
      <w:r>
        <w:rPr>
          <w:spacing w:val="-3"/>
          <w:sz w:val="20"/>
        </w:rPr>
        <w:t>of </w:t>
      </w:r>
      <w:r>
        <w:rPr>
          <w:sz w:val="20"/>
        </w:rPr>
        <w:t>health,</w:t>
      </w:r>
      <w:r>
        <w:rPr>
          <w:spacing w:val="4"/>
          <w:sz w:val="20"/>
        </w:rPr>
        <w:t> </w:t>
      </w:r>
      <w:r>
        <w:rPr>
          <w:sz w:val="20"/>
        </w:rPr>
        <w:t>etc.)</w:t>
      </w:r>
    </w:p>
    <w:p>
      <w:pPr>
        <w:pStyle w:val="Heading6"/>
        <w:spacing w:before="180"/>
        <w:ind w:left="198"/>
      </w:pPr>
      <w:r>
        <w:rPr/>
        <w:t>Degree Requirements</w:t>
      </w:r>
    </w:p>
    <w:p>
      <w:pPr>
        <w:pStyle w:val="BodyText"/>
        <w:spacing w:line="249" w:lineRule="auto" w:before="192"/>
        <w:ind w:left="198" w:right="38"/>
      </w:pPr>
      <w:r>
        <w:rPr/>
        <w:t>Certificate candidates must complete a minimum </w:t>
      </w:r>
      <w:r>
        <w:rPr>
          <w:spacing w:val="-3"/>
        </w:rPr>
        <w:t>of </w:t>
      </w:r>
      <w:r>
        <w:rPr/>
        <w:t>12 credits. Students must maintain a minimum, cumulative 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courses </w:t>
      </w:r>
      <w:r>
        <w:rPr>
          <w:spacing w:val="-3"/>
        </w:rPr>
        <w:t>taken </w:t>
      </w:r>
      <w:r>
        <w:rPr/>
        <w:t>as Pass/Fail (P/F) </w:t>
      </w:r>
      <w:r>
        <w:rPr>
          <w:spacing w:val="-3"/>
        </w:rPr>
        <w:t>or </w:t>
      </w:r>
      <w:r>
        <w:rPr/>
        <w:t>Audit </w:t>
      </w:r>
      <w:r>
        <w:rPr>
          <w:spacing w:val="-3"/>
        </w:rPr>
        <w:t>(AU) </w:t>
      </w:r>
      <w:r>
        <w:rPr/>
        <w:t>do not count toward the certificate. </w:t>
      </w:r>
      <w:r>
        <w:rPr>
          <w:spacing w:val="-2"/>
        </w:rPr>
        <w:t>All </w:t>
      </w:r>
      <w:r>
        <w:rPr/>
        <w:t>requirements </w:t>
      </w:r>
      <w:r>
        <w:rPr>
          <w:spacing w:val="-4"/>
        </w:rPr>
        <w:t>for </w:t>
      </w:r>
      <w:r>
        <w:rPr/>
        <w:t>the certificate must </w:t>
      </w:r>
      <w:r>
        <w:rPr>
          <w:spacing w:val="-3"/>
        </w:rPr>
        <w:t>be </w:t>
      </w:r>
      <w:r>
        <w:rPr/>
        <w:t>completed within three years after admission and all credits </w:t>
      </w:r>
      <w:r>
        <w:rPr>
          <w:spacing w:val="-4"/>
        </w:rPr>
        <w:t>for </w:t>
      </w:r>
      <w:r>
        <w:rPr/>
        <w:t>the certificate must </w:t>
      </w:r>
      <w:r>
        <w:rPr>
          <w:spacing w:val="-3"/>
        </w:rPr>
        <w:t>be </w:t>
      </w:r>
      <w:r>
        <w:rPr/>
        <w:t>completed at the University of Maryland, Baltimore. Complete guidelines and requirements </w:t>
      </w:r>
      <w:r>
        <w:rPr>
          <w:spacing w:val="-4"/>
        </w:rPr>
        <w:t>for </w:t>
      </w:r>
      <w:r>
        <w:rPr/>
        <w:t>progression and completion are outlined in the Academic Performance and Progress in a Postbaccalaureate Certificate Program section </w:t>
      </w:r>
      <w:r>
        <w:rPr>
          <w:spacing w:val="-3"/>
        </w:rPr>
        <w:t>of </w:t>
      </w:r>
      <w:r>
        <w:rPr/>
        <w:t>this catalog.</w:t>
      </w:r>
    </w:p>
    <w:p>
      <w:pPr>
        <w:pStyle w:val="Heading5"/>
        <w:spacing w:before="180"/>
      </w:pPr>
      <w:r>
        <w:rPr/>
        <w:t>Required Courses</w:t>
      </w:r>
    </w:p>
    <w:p>
      <w:pPr>
        <w:pStyle w:val="BodyText"/>
        <w:spacing w:line="249" w:lineRule="auto" w:before="122"/>
        <w:ind w:left="198" w:right="578"/>
      </w:pPr>
      <w:r>
        <w:rPr/>
        <w:br w:type="column"/>
      </w:r>
      <w:r>
        <w:rPr/>
        <w:t>Once students have completed the core introductory courses, they can choose to specialize further in health outcomes related to women and children in low-resourced environments, infectious diseases, mass violence and disasters, or health delivery ethics and law.</w:t>
      </w:r>
    </w:p>
    <w:p>
      <w:pPr>
        <w:pStyle w:val="BodyText"/>
        <w:spacing w:before="181"/>
        <w:ind w:left="198"/>
      </w:pPr>
      <w:r>
        <w:rPr/>
        <w:t>Select two from these three courses:</w:t>
      </w: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0"/>
        <w:gridCol w:w="3047"/>
        <w:gridCol w:w="691"/>
      </w:tblGrid>
      <w:tr>
        <w:trPr>
          <w:trHeight w:val="471" w:hRule="atLeast"/>
        </w:trPr>
        <w:tc>
          <w:tcPr>
            <w:tcW w:w="1210" w:type="dxa"/>
          </w:tcPr>
          <w:p>
            <w:pPr>
              <w:pStyle w:val="TableParagraph"/>
              <w:spacing w:line="223" w:lineRule="exact" w:before="0"/>
              <w:ind w:left="200"/>
              <w:rPr>
                <w:sz w:val="20"/>
              </w:rPr>
            </w:pPr>
            <w:r>
              <w:rPr>
                <w:sz w:val="20"/>
              </w:rPr>
              <w:t>CIPP 960</w:t>
            </w:r>
          </w:p>
        </w:tc>
        <w:tc>
          <w:tcPr>
            <w:tcW w:w="3047" w:type="dxa"/>
          </w:tcPr>
          <w:p>
            <w:pPr>
              <w:pStyle w:val="TableParagraph"/>
              <w:spacing w:line="223" w:lineRule="exact" w:before="0"/>
              <w:ind w:left="228"/>
              <w:rPr>
                <w:sz w:val="20"/>
              </w:rPr>
            </w:pPr>
            <w:r>
              <w:rPr>
                <w:sz w:val="20"/>
              </w:rPr>
              <w:t>GLOBAL WOMEN'S</w:t>
            </w:r>
          </w:p>
          <w:p>
            <w:pPr>
              <w:pStyle w:val="TableParagraph"/>
              <w:spacing w:line="219" w:lineRule="exact" w:before="10"/>
              <w:ind w:left="228"/>
              <w:rPr>
                <w:sz w:val="20"/>
              </w:rPr>
            </w:pPr>
            <w:r>
              <w:rPr>
                <w:sz w:val="20"/>
              </w:rPr>
              <w:t>HEALTH</w:t>
            </w:r>
          </w:p>
        </w:tc>
        <w:tc>
          <w:tcPr>
            <w:tcW w:w="691" w:type="dxa"/>
          </w:tcPr>
          <w:p>
            <w:pPr>
              <w:pStyle w:val="TableParagraph"/>
              <w:spacing w:line="223" w:lineRule="exact" w:before="0"/>
              <w:ind w:right="195"/>
              <w:jc w:val="right"/>
              <w:rPr>
                <w:sz w:val="20"/>
              </w:rPr>
            </w:pPr>
            <w:r>
              <w:rPr>
                <w:w w:val="100"/>
                <w:sz w:val="20"/>
              </w:rPr>
              <w:t>3</w:t>
            </w:r>
          </w:p>
        </w:tc>
      </w:tr>
      <w:tr>
        <w:trPr>
          <w:trHeight w:val="720" w:hRule="atLeast"/>
        </w:trPr>
        <w:tc>
          <w:tcPr>
            <w:tcW w:w="1210" w:type="dxa"/>
          </w:tcPr>
          <w:p>
            <w:pPr>
              <w:pStyle w:val="TableParagraph"/>
              <w:ind w:left="200"/>
              <w:rPr>
                <w:sz w:val="20"/>
              </w:rPr>
            </w:pPr>
            <w:r>
              <w:rPr>
                <w:sz w:val="20"/>
              </w:rPr>
              <w:t>MHS 639</w:t>
            </w:r>
          </w:p>
        </w:tc>
        <w:tc>
          <w:tcPr>
            <w:tcW w:w="3047" w:type="dxa"/>
          </w:tcPr>
          <w:p>
            <w:pPr>
              <w:pStyle w:val="TableParagraph"/>
              <w:spacing w:line="249" w:lineRule="auto"/>
              <w:ind w:left="228" w:right="415"/>
              <w:rPr>
                <w:sz w:val="20"/>
              </w:rPr>
            </w:pPr>
            <w:r>
              <w:rPr>
                <w:sz w:val="20"/>
              </w:rPr>
              <w:t>HEALTH IMPLICATIONS OF MASS VIOLENCE AND</w:t>
            </w:r>
          </w:p>
          <w:p>
            <w:pPr>
              <w:pStyle w:val="TableParagraph"/>
              <w:spacing w:line="219" w:lineRule="exact" w:before="2"/>
              <w:ind w:left="228"/>
              <w:rPr>
                <w:sz w:val="20"/>
              </w:rPr>
            </w:pPr>
            <w:r>
              <w:rPr>
                <w:sz w:val="20"/>
              </w:rPr>
              <w:t>DISASTER</w:t>
            </w:r>
          </w:p>
        </w:tc>
        <w:tc>
          <w:tcPr>
            <w:tcW w:w="691" w:type="dxa"/>
          </w:tcPr>
          <w:p>
            <w:pPr>
              <w:pStyle w:val="TableParagraph"/>
              <w:ind w:right="195"/>
              <w:jc w:val="right"/>
              <w:rPr>
                <w:sz w:val="20"/>
              </w:rPr>
            </w:pPr>
            <w:r>
              <w:rPr>
                <w:w w:val="100"/>
                <w:sz w:val="20"/>
              </w:rPr>
              <w:t>3</w:t>
            </w:r>
          </w:p>
        </w:tc>
      </w:tr>
      <w:tr>
        <w:trPr>
          <w:trHeight w:val="711" w:hRule="atLeast"/>
        </w:trPr>
        <w:tc>
          <w:tcPr>
            <w:tcW w:w="1210" w:type="dxa"/>
          </w:tcPr>
          <w:p>
            <w:pPr>
              <w:pStyle w:val="TableParagraph"/>
              <w:ind w:left="200"/>
              <w:rPr>
                <w:sz w:val="20"/>
              </w:rPr>
            </w:pPr>
            <w:r>
              <w:rPr>
                <w:sz w:val="20"/>
              </w:rPr>
              <w:t>MHS 630</w:t>
            </w:r>
          </w:p>
        </w:tc>
        <w:tc>
          <w:tcPr>
            <w:tcW w:w="3047" w:type="dxa"/>
          </w:tcPr>
          <w:p>
            <w:pPr>
              <w:pStyle w:val="TableParagraph"/>
              <w:ind w:left="228"/>
              <w:rPr>
                <w:sz w:val="20"/>
              </w:rPr>
            </w:pPr>
            <w:r>
              <w:rPr>
                <w:sz w:val="20"/>
              </w:rPr>
              <w:t>ESSENTIALS OF CHRONIC</w:t>
            </w:r>
          </w:p>
          <w:p>
            <w:pPr>
              <w:pStyle w:val="TableParagraph"/>
              <w:spacing w:line="240" w:lineRule="atLeast" w:before="0"/>
              <w:ind w:left="228" w:right="1288"/>
              <w:rPr>
                <w:sz w:val="20"/>
              </w:rPr>
            </w:pPr>
            <w:r>
              <w:rPr>
                <w:sz w:val="20"/>
              </w:rPr>
              <w:t>INFECTIOUS EPIDEMIOLOGY</w:t>
            </w:r>
          </w:p>
        </w:tc>
        <w:tc>
          <w:tcPr>
            <w:tcW w:w="691" w:type="dxa"/>
          </w:tcPr>
          <w:p>
            <w:pPr>
              <w:pStyle w:val="TableParagraph"/>
              <w:ind w:right="195"/>
              <w:jc w:val="right"/>
              <w:rPr>
                <w:sz w:val="20"/>
              </w:rPr>
            </w:pPr>
            <w:r>
              <w:rPr>
                <w:w w:val="100"/>
                <w:sz w:val="20"/>
              </w:rPr>
              <w:t>3</w:t>
            </w:r>
          </w:p>
        </w:tc>
      </w:tr>
    </w:tbl>
    <w:p>
      <w:pPr>
        <w:pStyle w:val="BodyText"/>
        <w:spacing w:before="3"/>
        <w:ind w:left="0"/>
        <w:rPr>
          <w:sz w:val="18"/>
        </w:rPr>
      </w:pPr>
    </w:p>
    <w:p>
      <w:pPr>
        <w:pStyle w:val="BodyText"/>
        <w:spacing w:line="249" w:lineRule="auto" w:before="0"/>
        <w:ind w:left="198" w:right="905"/>
      </w:pPr>
      <w:r>
        <w:rPr/>
        <w:t>Details are given in the Course Descriptions part of this catalog.</w:t>
      </w:r>
    </w:p>
    <w:p>
      <w:pPr>
        <w:spacing w:after="0" w:line="249" w:lineRule="auto"/>
        <w:sectPr>
          <w:type w:val="continuous"/>
          <w:pgSz w:w="12240" w:h="15840"/>
          <w:pgMar w:top="1500" w:bottom="280" w:left="880" w:right="300"/>
          <w:cols w:num="2" w:equalWidth="0">
            <w:col w:w="4989" w:space="499"/>
            <w:col w:w="5572"/>
          </w:cols>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3"/>
        <w:gridCol w:w="2879"/>
        <w:gridCol w:w="868"/>
      </w:tblGrid>
      <w:tr>
        <w:trPr>
          <w:trHeight w:val="471" w:hRule="atLeast"/>
        </w:trPr>
        <w:tc>
          <w:tcPr>
            <w:tcW w:w="1203" w:type="dxa"/>
          </w:tcPr>
          <w:p>
            <w:pPr>
              <w:pStyle w:val="TableParagraph"/>
              <w:spacing w:line="223" w:lineRule="exact" w:before="0"/>
              <w:ind w:right="218"/>
              <w:jc w:val="right"/>
              <w:rPr>
                <w:sz w:val="20"/>
              </w:rPr>
            </w:pPr>
            <w:r>
              <w:rPr>
                <w:sz w:val="20"/>
              </w:rPr>
              <w:t>MHS 605</w:t>
            </w:r>
          </w:p>
        </w:tc>
        <w:tc>
          <w:tcPr>
            <w:tcW w:w="2879" w:type="dxa"/>
          </w:tcPr>
          <w:p>
            <w:pPr>
              <w:pStyle w:val="TableParagraph"/>
              <w:spacing w:line="223" w:lineRule="exact" w:before="0"/>
              <w:ind w:left="220"/>
              <w:rPr>
                <w:sz w:val="20"/>
              </w:rPr>
            </w:pPr>
            <w:r>
              <w:rPr>
                <w:sz w:val="20"/>
              </w:rPr>
              <w:t>PERSPECTIVES ON</w:t>
            </w:r>
          </w:p>
          <w:p>
            <w:pPr>
              <w:pStyle w:val="TableParagraph"/>
              <w:spacing w:line="219" w:lineRule="exact" w:before="10"/>
              <w:ind w:left="220"/>
              <w:rPr>
                <w:sz w:val="20"/>
              </w:rPr>
            </w:pPr>
            <w:r>
              <w:rPr>
                <w:sz w:val="20"/>
              </w:rPr>
              <w:t>GLOBAL HEALTH</w:t>
            </w:r>
          </w:p>
        </w:tc>
        <w:tc>
          <w:tcPr>
            <w:tcW w:w="868" w:type="dxa"/>
          </w:tcPr>
          <w:p>
            <w:pPr>
              <w:pStyle w:val="TableParagraph"/>
              <w:spacing w:line="223" w:lineRule="exact" w:before="0"/>
              <w:ind w:right="197"/>
              <w:jc w:val="right"/>
              <w:rPr>
                <w:sz w:val="20"/>
              </w:rPr>
            </w:pPr>
            <w:r>
              <w:rPr>
                <w:w w:val="100"/>
                <w:sz w:val="20"/>
              </w:rPr>
              <w:t>3</w:t>
            </w:r>
          </w:p>
        </w:tc>
      </w:tr>
      <w:tr>
        <w:trPr>
          <w:trHeight w:val="951" w:hRule="atLeast"/>
        </w:trPr>
        <w:tc>
          <w:tcPr>
            <w:tcW w:w="1203" w:type="dxa"/>
          </w:tcPr>
          <w:p>
            <w:pPr>
              <w:pStyle w:val="TableParagraph"/>
              <w:ind w:right="218"/>
              <w:jc w:val="right"/>
              <w:rPr>
                <w:sz w:val="20"/>
              </w:rPr>
            </w:pPr>
            <w:r>
              <w:rPr>
                <w:sz w:val="20"/>
              </w:rPr>
              <w:t>MHS 610</w:t>
            </w:r>
          </w:p>
        </w:tc>
        <w:tc>
          <w:tcPr>
            <w:tcW w:w="2879" w:type="dxa"/>
          </w:tcPr>
          <w:p>
            <w:pPr>
              <w:pStyle w:val="TableParagraph"/>
              <w:spacing w:line="249" w:lineRule="auto"/>
              <w:ind w:left="220" w:right="1017"/>
              <w:rPr>
                <w:sz w:val="20"/>
              </w:rPr>
            </w:pPr>
            <w:r>
              <w:rPr>
                <w:sz w:val="20"/>
              </w:rPr>
              <w:t>NATIONAL AND INTERNATIONAL APPROACHES TO</w:t>
            </w:r>
          </w:p>
          <w:p>
            <w:pPr>
              <w:pStyle w:val="TableParagraph"/>
              <w:spacing w:line="210" w:lineRule="exact" w:before="2"/>
              <w:ind w:left="220"/>
              <w:rPr>
                <w:sz w:val="20"/>
              </w:rPr>
            </w:pPr>
            <w:r>
              <w:rPr>
                <w:sz w:val="20"/>
              </w:rPr>
              <w:t>HEALTHCARE AT THE</w:t>
            </w:r>
          </w:p>
        </w:tc>
        <w:tc>
          <w:tcPr>
            <w:tcW w:w="868" w:type="dxa"/>
          </w:tcPr>
          <w:p>
            <w:pPr>
              <w:pStyle w:val="TableParagraph"/>
              <w:ind w:right="197"/>
              <w:jc w:val="right"/>
              <w:rPr>
                <w:sz w:val="20"/>
              </w:rPr>
            </w:pPr>
            <w:r>
              <w:rPr>
                <w:w w:val="100"/>
                <w:sz w:val="20"/>
              </w:rPr>
              <w:t>3</w:t>
            </w:r>
          </w:p>
        </w:tc>
      </w:tr>
    </w:tbl>
    <w:p>
      <w:pPr>
        <w:spacing w:after="0"/>
        <w:jc w:val="right"/>
        <w:rPr>
          <w:sz w:val="20"/>
        </w:rPr>
        <w:sectPr>
          <w:type w:val="continuous"/>
          <w:pgSz w:w="12240" w:h="15840"/>
          <w:pgMar w:top="1500" w:bottom="280" w:left="880" w:right="300"/>
        </w:sectPr>
      </w:pPr>
    </w:p>
    <w:p>
      <w:pPr>
        <w:pStyle w:val="Heading3"/>
      </w:pPr>
      <w:bookmarkStart w:name="Graduate Program in Life Sciences" w:id="27"/>
      <w:bookmarkEnd w:id="27"/>
      <w:r>
        <w:rPr/>
      </w:r>
      <w:bookmarkStart w:name="_bookmark13" w:id="28"/>
      <w:bookmarkEnd w:id="28"/>
      <w:r>
        <w:rPr/>
      </w:r>
      <w:r>
        <w:rPr/>
        <w:t>Graduate Program in Life Sciences</w:t>
      </w:r>
    </w:p>
    <w:p>
      <w:pPr>
        <w:pStyle w:val="BodyText"/>
        <w:spacing w:before="190"/>
      </w:pPr>
      <w:hyperlink r:id="rId45">
        <w:r>
          <w:rPr>
            <w:color w:val="0000FF"/>
            <w:u w:val="single" w:color="0000FF"/>
          </w:rPr>
          <w:t>http://lifesciences.umaryland.edu/</w:t>
        </w:r>
      </w:hyperlink>
    </w:p>
    <w:p>
      <w:pPr>
        <w:pStyle w:val="Heading6"/>
        <w:spacing w:before="192"/>
      </w:pPr>
      <w:r>
        <w:rPr/>
        <w:t>Degrees Offered</w:t>
      </w:r>
    </w:p>
    <w:p>
      <w:pPr>
        <w:pStyle w:val="BodyText"/>
        <w:spacing w:before="188"/>
      </w:pPr>
      <w:r>
        <w:rPr/>
        <w:t>PhD, MS, Postbaccalaureate Certificate, MD/PhD</w:t>
      </w:r>
    </w:p>
    <w:p>
      <w:pPr>
        <w:pStyle w:val="Heading6"/>
        <w:spacing w:before="192"/>
      </w:pPr>
      <w:r>
        <w:rPr/>
        <w:t>Overview</w:t>
      </w:r>
    </w:p>
    <w:p>
      <w:pPr>
        <w:pStyle w:val="BodyText"/>
        <w:spacing w:line="249" w:lineRule="auto" w:before="188"/>
        <w:ind w:right="34"/>
      </w:pPr>
      <w:r>
        <w:rPr/>
        <w:t>The Graduate Program in Life Sciences (GPILS) in the School of Medicine offers cutting-edge research training in basic, biomedical, translational, clinical, and population sciences.</w:t>
      </w:r>
    </w:p>
    <w:p>
      <w:pPr>
        <w:pStyle w:val="BodyText"/>
        <w:spacing w:line="249" w:lineRule="auto"/>
        <w:ind w:right="40"/>
      </w:pPr>
      <w:r>
        <w:rPr/>
        <w:t>Our graduate programs in biochemistry and molecular biology, epidemiology and human genetics, gerontology, molecular medicine, molecular microbiology and immunology, neuroscience, and physical rehabilitation science award the PhD degree emphasizing the continuum from bench to bedside to population. Additionally, there are three MS programs: cellular and molecular biomedical science, epidemiology and preventive medicine, and toxicology. GPILS hosts a postbaccalaureate certificate program in clinical research as well. </w:t>
      </w:r>
      <w:r>
        <w:rPr>
          <w:spacing w:val="-3"/>
        </w:rPr>
        <w:t>In </w:t>
      </w:r>
      <w:r>
        <w:rPr/>
        <w:t>all </w:t>
      </w:r>
      <w:r>
        <w:rPr>
          <w:spacing w:val="-3"/>
        </w:rPr>
        <w:t>of </w:t>
      </w:r>
      <w:r>
        <w:rPr/>
        <w:t>these programs, students are provided integrative training that will meet the demands </w:t>
      </w:r>
      <w:r>
        <w:rPr>
          <w:spacing w:val="-3"/>
        </w:rPr>
        <w:t>of </w:t>
      </w:r>
      <w:r>
        <w:rPr/>
        <w:t>the era that now follows the structural elucidation </w:t>
      </w:r>
      <w:r>
        <w:rPr>
          <w:spacing w:val="-3"/>
        </w:rPr>
        <w:t>of </w:t>
      </w:r>
      <w:r>
        <w:rPr/>
        <w:t>the genome and the urgent need to translate biomedical advances to patients and communities. Students are well-prepared </w:t>
      </w:r>
      <w:r>
        <w:rPr>
          <w:spacing w:val="-4"/>
        </w:rPr>
        <w:t>for </w:t>
      </w:r>
      <w:r>
        <w:rPr/>
        <w:t>careers in academia, industry, </w:t>
      </w:r>
      <w:r>
        <w:rPr>
          <w:spacing w:val="-3"/>
        </w:rPr>
        <w:t>or </w:t>
      </w:r>
      <w:r>
        <w:rPr/>
        <w:t>government. </w:t>
      </w:r>
      <w:r>
        <w:rPr>
          <w:spacing w:val="-3"/>
        </w:rPr>
        <w:t>Our </w:t>
      </w:r>
      <w:r>
        <w:rPr/>
        <w:t>ideal location </w:t>
      </w:r>
      <w:r>
        <w:rPr>
          <w:spacing w:val="-3"/>
        </w:rPr>
        <w:t>within </w:t>
      </w:r>
      <w:r>
        <w:rPr/>
        <w:t>the nexus </w:t>
      </w:r>
      <w:r>
        <w:rPr>
          <w:spacing w:val="-3"/>
        </w:rPr>
        <w:t>of </w:t>
      </w:r>
      <w:r>
        <w:rPr/>
        <w:t>biomedical research </w:t>
      </w:r>
      <w:r>
        <w:rPr>
          <w:spacing w:val="-3"/>
        </w:rPr>
        <w:t>on </w:t>
      </w:r>
      <w:r>
        <w:rPr/>
        <w:t>the East Coast provides students </w:t>
      </w:r>
      <w:r>
        <w:rPr>
          <w:spacing w:val="-3"/>
        </w:rPr>
        <w:t>with </w:t>
      </w:r>
      <w:r>
        <w:rPr/>
        <w:t>an unparalleled breadth and depth </w:t>
      </w:r>
      <w:r>
        <w:rPr>
          <w:spacing w:val="-3"/>
        </w:rPr>
        <w:t>of </w:t>
      </w:r>
      <w:r>
        <w:rPr/>
        <w:t>expertise.</w:t>
      </w:r>
    </w:p>
    <w:p>
      <w:pPr>
        <w:pStyle w:val="Heading6"/>
        <w:spacing w:before="192"/>
      </w:pPr>
      <w:r>
        <w:rPr/>
        <w:t>Program Admission</w:t>
      </w:r>
    </w:p>
    <w:p>
      <w:pPr>
        <w:pStyle w:val="BodyText"/>
        <w:spacing w:line="249" w:lineRule="auto" w:before="192"/>
        <w:ind w:right="38"/>
      </w:pPr>
      <w:r>
        <w:rPr/>
        <w:t>In addition to meeting the Graduate School’s minimum admission requirements, applicants should have a bachelor’s degree </w:t>
      </w:r>
      <w:r>
        <w:rPr>
          <w:spacing w:val="-3"/>
        </w:rPr>
        <w:t>with </w:t>
      </w:r>
      <w:r>
        <w:rPr/>
        <w:t>training in an appropriate </w:t>
      </w:r>
      <w:r>
        <w:rPr>
          <w:spacing w:val="-3"/>
        </w:rPr>
        <w:t>major </w:t>
      </w:r>
      <w:r>
        <w:rPr/>
        <w:t>field </w:t>
      </w:r>
      <w:r>
        <w:rPr>
          <w:spacing w:val="-3"/>
        </w:rPr>
        <w:t>of </w:t>
      </w:r>
      <w:r>
        <w:rPr/>
        <w:t>biology </w:t>
      </w:r>
      <w:r>
        <w:rPr>
          <w:spacing w:val="-3"/>
        </w:rPr>
        <w:t>or </w:t>
      </w:r>
      <w:r>
        <w:rPr/>
        <w:t>biomedical sciences. All supporting documents </w:t>
      </w:r>
      <w:r>
        <w:rPr>
          <w:spacing w:val="-4"/>
        </w:rPr>
        <w:t>for </w:t>
      </w:r>
      <w:r>
        <w:rPr/>
        <w:t>admission are shared </w:t>
      </w:r>
      <w:r>
        <w:rPr>
          <w:spacing w:val="-3"/>
        </w:rPr>
        <w:t>with </w:t>
      </w:r>
      <w:r>
        <w:rPr/>
        <w:t>the respective GPILS programs. While </w:t>
      </w:r>
      <w:r>
        <w:rPr>
          <w:spacing w:val="-3"/>
        </w:rPr>
        <w:t>each </w:t>
      </w:r>
      <w:r>
        <w:rPr/>
        <w:t>GPILS program has its </w:t>
      </w:r>
      <w:r>
        <w:rPr>
          <w:spacing w:val="-4"/>
        </w:rPr>
        <w:t>own </w:t>
      </w:r>
      <w:r>
        <w:rPr/>
        <w:t>admissions criteria, the quality </w:t>
      </w:r>
      <w:r>
        <w:rPr>
          <w:spacing w:val="-3"/>
        </w:rPr>
        <w:t>of </w:t>
      </w:r>
      <w:r>
        <w:rPr/>
        <w:t>students </w:t>
      </w:r>
      <w:r>
        <w:rPr>
          <w:spacing w:val="-3"/>
        </w:rPr>
        <w:t>each </w:t>
      </w:r>
      <w:r>
        <w:rPr/>
        <w:t>program aims to enroll is </w:t>
      </w:r>
      <w:r>
        <w:rPr>
          <w:spacing w:val="-3"/>
        </w:rPr>
        <w:t>of </w:t>
      </w:r>
      <w:r>
        <w:rPr/>
        <w:t>a high caliber. A competitive applicant achieves upper-percentile scores </w:t>
      </w:r>
      <w:r>
        <w:rPr>
          <w:spacing w:val="-3"/>
        </w:rPr>
        <w:t>on </w:t>
      </w:r>
      <w:r>
        <w:rPr/>
        <w:t>the Graduate Record Examinations, a cumulative grade- point average above 3.0 (on a 4.0 scale), and some degree </w:t>
      </w:r>
      <w:r>
        <w:rPr>
          <w:spacing w:val="-3"/>
        </w:rPr>
        <w:t>of </w:t>
      </w:r>
      <w:r>
        <w:rPr/>
        <w:t>research experience. While all elements </w:t>
      </w:r>
      <w:r>
        <w:rPr>
          <w:spacing w:val="-3"/>
        </w:rPr>
        <w:t>of </w:t>
      </w:r>
      <w:r>
        <w:rPr/>
        <w:t>an applicant’s background are considered, letters </w:t>
      </w:r>
      <w:r>
        <w:rPr>
          <w:spacing w:val="-3"/>
        </w:rPr>
        <w:t>of </w:t>
      </w:r>
      <w:r>
        <w:rPr/>
        <w:t>recommendation and practical experience weigh heavily in admissions</w:t>
      </w:r>
      <w:r>
        <w:rPr>
          <w:spacing w:val="-11"/>
        </w:rPr>
        <w:t> </w:t>
      </w:r>
      <w:r>
        <w:rPr/>
        <w:t>decisions.</w:t>
      </w:r>
    </w:p>
    <w:p>
      <w:pPr>
        <w:pStyle w:val="BodyText"/>
        <w:spacing w:line="249" w:lineRule="auto" w:before="188"/>
        <w:ind w:right="51"/>
      </w:pPr>
      <w:r>
        <w:rPr/>
        <w:t>Interested applicants are encouraged to contact the appropriate program staff. Contact information can be found on each program’s website at</w:t>
      </w:r>
    </w:p>
    <w:p>
      <w:pPr>
        <w:pStyle w:val="BodyText"/>
        <w:spacing w:before="96"/>
      </w:pPr>
      <w:r>
        <w:rPr/>
        <w:br w:type="column"/>
      </w:r>
      <w:hyperlink r:id="rId45">
        <w:r>
          <w:rPr/>
          <w:t>http://lifesciences.umaryland.edu/.</w:t>
        </w:r>
      </w:hyperlink>
    </w:p>
    <w:p>
      <w:pPr>
        <w:pStyle w:val="Heading5"/>
        <w:spacing w:before="182"/>
      </w:pPr>
      <w:r>
        <w:rPr/>
        <w:t>Courses</w:t>
      </w:r>
    </w:p>
    <w:p>
      <w:pPr>
        <w:pStyle w:val="BodyText"/>
        <w:spacing w:line="249" w:lineRule="auto" w:before="190"/>
        <w:ind w:right="787"/>
      </w:pPr>
      <w:r>
        <w:rPr/>
        <w:t>See listings under GPILS in the Course Descriptions part of this catalog.</w:t>
      </w:r>
    </w:p>
    <w:p>
      <w:pPr>
        <w:spacing w:after="0" w:line="249" w:lineRule="auto"/>
        <w:sectPr>
          <w:pgSz w:w="12240" w:h="15840"/>
          <w:pgMar w:header="746" w:footer="0" w:top="1320" w:bottom="280" w:left="880" w:right="300"/>
          <w:cols w:num="2" w:equalWidth="0">
            <w:col w:w="4992" w:space="494"/>
            <w:col w:w="5574"/>
          </w:cols>
        </w:sectPr>
      </w:pPr>
    </w:p>
    <w:p>
      <w:pPr>
        <w:pStyle w:val="Heading3"/>
      </w:pPr>
      <w:bookmarkStart w:name="Biochemistry and Molecular Biology" w:id="29"/>
      <w:bookmarkEnd w:id="29"/>
      <w:r>
        <w:rPr/>
      </w:r>
      <w:bookmarkStart w:name="_bookmark14" w:id="30"/>
      <w:bookmarkEnd w:id="30"/>
      <w:r>
        <w:rPr/>
      </w:r>
      <w:r>
        <w:rPr/>
        <w:t>Biochemistry and Molecular Biology</w:t>
      </w:r>
    </w:p>
    <w:p>
      <w:pPr>
        <w:spacing w:line="427" w:lineRule="auto" w:before="171"/>
        <w:ind w:left="200" w:right="902" w:firstLine="0"/>
        <w:jc w:val="left"/>
        <w:rPr>
          <w:b/>
          <w:sz w:val="20"/>
        </w:rPr>
      </w:pPr>
      <w:r>
        <w:rPr>
          <w:b/>
          <w:sz w:val="22"/>
        </w:rPr>
        <w:t>Graduate Program in Life Sciences </w:t>
      </w:r>
      <w:hyperlink r:id="rId46">
        <w:r>
          <w:rPr>
            <w:color w:val="0000FF"/>
            <w:sz w:val="20"/>
            <w:u w:val="single" w:color="0000FF"/>
          </w:rPr>
          <w:t>http://lifesciences.umaryland.edu/biochemistry/</w:t>
        </w:r>
      </w:hyperlink>
      <w:r>
        <w:rPr>
          <w:color w:val="0000FF"/>
          <w:sz w:val="20"/>
        </w:rPr>
        <w:t> </w:t>
      </w:r>
      <w:r>
        <w:rPr>
          <w:b/>
          <w:sz w:val="20"/>
        </w:rPr>
        <w:t>Degrees Offered</w:t>
      </w:r>
    </w:p>
    <w:p>
      <w:pPr>
        <w:pStyle w:val="BodyText"/>
        <w:spacing w:before="12"/>
      </w:pPr>
      <w:r>
        <w:rPr/>
        <w:t>PhD, MD/PhD, MS</w:t>
      </w:r>
    </w:p>
    <w:p>
      <w:pPr>
        <w:pStyle w:val="Heading6"/>
        <w:spacing w:before="188"/>
        <w:ind w:left="199"/>
      </w:pPr>
      <w:r>
        <w:rPr/>
        <w:t>Program Description</w:t>
      </w:r>
    </w:p>
    <w:p>
      <w:pPr>
        <w:pStyle w:val="BodyText"/>
        <w:spacing w:line="249" w:lineRule="auto" w:before="192"/>
        <w:ind w:left="199" w:right="80"/>
      </w:pPr>
      <w:r>
        <w:rPr/>
        <w:t>The combined graduate program in biochemistry and molecular biology is an intercampus program combining training opportunities at the University of Maryland, Baltimore (UMB) and the University of Maryland, Baltimore County (UMBC). Students in this joint program benefit from the extensive facilities and resources of both campuses and the opportunity to interact with a large pool of scientists.</w:t>
      </w:r>
    </w:p>
    <w:p>
      <w:pPr>
        <w:pStyle w:val="BodyText"/>
        <w:spacing w:line="249" w:lineRule="auto" w:before="184"/>
        <w:ind w:left="199" w:right="57"/>
      </w:pPr>
      <w:r>
        <w:rPr/>
        <w:t>The program offers a wide range </w:t>
      </w:r>
      <w:r>
        <w:rPr>
          <w:spacing w:val="-3"/>
        </w:rPr>
        <w:t>of </w:t>
      </w:r>
      <w:r>
        <w:rPr/>
        <w:t>research training opportunities </w:t>
      </w:r>
      <w:r>
        <w:rPr>
          <w:spacing w:val="-3"/>
        </w:rPr>
        <w:t>with </w:t>
      </w:r>
      <w:r>
        <w:rPr/>
        <w:t>particular strengths in molecular biology, protein structure and function, membrane biochemistry, and physical biochemistry. These areas include but are not limited to: mechanisms and regulation of gene expression, DNA packaging and repair, protein and </w:t>
      </w:r>
      <w:r>
        <w:rPr>
          <w:spacing w:val="-3"/>
        </w:rPr>
        <w:t>RNA </w:t>
      </w:r>
      <w:r>
        <w:rPr/>
        <w:t>structural </w:t>
      </w:r>
      <w:r>
        <w:rPr>
          <w:spacing w:val="-3"/>
        </w:rPr>
        <w:t>biology, </w:t>
      </w:r>
      <w:r>
        <w:rPr/>
        <w:t>cancer and epithelial cell biology, stem cell </w:t>
      </w:r>
      <w:r>
        <w:rPr>
          <w:spacing w:val="-3"/>
        </w:rPr>
        <w:t>biology, </w:t>
      </w:r>
      <w:r>
        <w:rPr/>
        <w:t>calcium and signal transduction pathways, metabolism and bioenergetics, the cellular matrix and migration, fluorescence spectroscopy, membrane and cytoskeletal </w:t>
      </w:r>
      <w:r>
        <w:rPr>
          <w:spacing w:val="-3"/>
        </w:rPr>
        <w:t>biology, </w:t>
      </w:r>
      <w:r>
        <w:rPr/>
        <w:t>retrovirus structure and function, prion structure and function, computational biology, and bacterial</w:t>
      </w:r>
      <w:r>
        <w:rPr>
          <w:spacing w:val="4"/>
        </w:rPr>
        <w:t> </w:t>
      </w:r>
      <w:r>
        <w:rPr/>
        <w:t>pathogenesis.</w:t>
      </w:r>
    </w:p>
    <w:p>
      <w:pPr>
        <w:pStyle w:val="Heading6"/>
        <w:spacing w:before="191"/>
        <w:ind w:left="199"/>
      </w:pPr>
      <w:r>
        <w:rPr/>
        <w:t>Program Admission</w:t>
      </w:r>
    </w:p>
    <w:p>
      <w:pPr>
        <w:pStyle w:val="BodyText"/>
        <w:spacing w:line="249" w:lineRule="auto" w:before="188"/>
        <w:ind w:left="199" w:right="53"/>
      </w:pPr>
      <w:r>
        <w:rPr/>
        <w:t>Applicants must receive the approval </w:t>
      </w:r>
      <w:r>
        <w:rPr>
          <w:spacing w:val="-3"/>
        </w:rPr>
        <w:t>of </w:t>
      </w:r>
      <w:r>
        <w:rPr/>
        <w:t>the Biochemistry and Molecular Biology Graduate Governing Committee for admission. Approval is normally based </w:t>
      </w:r>
      <w:r>
        <w:rPr>
          <w:spacing w:val="-3"/>
        </w:rPr>
        <w:t>upon </w:t>
      </w:r>
      <w:r>
        <w:rPr/>
        <w:t>undergraduate courses and grades, letters </w:t>
      </w:r>
      <w:r>
        <w:rPr>
          <w:spacing w:val="-3"/>
        </w:rPr>
        <w:t>of </w:t>
      </w:r>
      <w:r>
        <w:rPr/>
        <w:t>recommendation, Graduate </w:t>
      </w:r>
      <w:r>
        <w:rPr>
          <w:spacing w:val="-3"/>
        </w:rPr>
        <w:t>Record </w:t>
      </w:r>
      <w:r>
        <w:rPr/>
        <w:t>Examinations scores, and, </w:t>
      </w:r>
      <w:r>
        <w:rPr>
          <w:spacing w:val="-3"/>
        </w:rPr>
        <w:t>wherever </w:t>
      </w:r>
      <w:r>
        <w:rPr/>
        <w:t>possible, personal interviews. Previous success in graduate education also is </w:t>
      </w:r>
      <w:r>
        <w:rPr>
          <w:spacing w:val="-3"/>
        </w:rPr>
        <w:t>taken </w:t>
      </w:r>
      <w:r>
        <w:rPr/>
        <w:t>into consideration. </w:t>
      </w:r>
      <w:r>
        <w:rPr>
          <w:spacing w:val="-3"/>
        </w:rPr>
        <w:t>In </w:t>
      </w:r>
      <w:r>
        <w:rPr/>
        <w:t>addition to meeting the Graduate School’s requirements </w:t>
      </w:r>
      <w:r>
        <w:rPr>
          <w:spacing w:val="-4"/>
        </w:rPr>
        <w:t>for </w:t>
      </w:r>
      <w:r>
        <w:rPr/>
        <w:t>admission, </w:t>
      </w:r>
      <w:r>
        <w:rPr>
          <w:spacing w:val="-3"/>
        </w:rPr>
        <w:t>each </w:t>
      </w:r>
      <w:r>
        <w:rPr/>
        <w:t>entering student is expected to satisfy minimum requirements in the fields of biochemistry, organic </w:t>
      </w:r>
      <w:r>
        <w:rPr>
          <w:spacing w:val="-3"/>
        </w:rPr>
        <w:t>chemistry, </w:t>
      </w:r>
      <w:r>
        <w:rPr/>
        <w:t>and physical chemistry </w:t>
      </w:r>
      <w:r>
        <w:rPr>
          <w:spacing w:val="-3"/>
        </w:rPr>
        <w:t>or </w:t>
      </w:r>
      <w:r>
        <w:rPr/>
        <w:t>molecular/cell </w:t>
      </w:r>
      <w:r>
        <w:rPr>
          <w:spacing w:val="-3"/>
        </w:rPr>
        <w:t>biology. </w:t>
      </w:r>
      <w:r>
        <w:rPr/>
        <w:t>Students </w:t>
      </w:r>
      <w:r>
        <w:rPr>
          <w:spacing w:val="-3"/>
        </w:rPr>
        <w:t>with </w:t>
      </w:r>
      <w:r>
        <w:rPr/>
        <w:t>deficiencies in these areas will not ordinarily be considered </w:t>
      </w:r>
      <w:r>
        <w:rPr>
          <w:spacing w:val="-4"/>
        </w:rPr>
        <w:t>for</w:t>
      </w:r>
      <w:r>
        <w:rPr>
          <w:spacing w:val="-5"/>
        </w:rPr>
        <w:t> </w:t>
      </w:r>
      <w:r>
        <w:rPr/>
        <w:t>admission.</w:t>
      </w:r>
    </w:p>
    <w:p>
      <w:pPr>
        <w:pStyle w:val="Heading6"/>
        <w:spacing w:before="192"/>
      </w:pPr>
      <w:r>
        <w:rPr/>
        <w:t>Degree Requirements</w:t>
      </w:r>
    </w:p>
    <w:p>
      <w:pPr>
        <w:pStyle w:val="BodyText"/>
        <w:spacing w:line="249" w:lineRule="auto" w:before="187"/>
      </w:pPr>
      <w:r>
        <w:rPr/>
        <w:t>The MS and PhD degrees in biochemistry and molecular biology require the completion of 30 course credits. For</w:t>
      </w:r>
    </w:p>
    <w:p>
      <w:pPr>
        <w:pStyle w:val="BodyText"/>
        <w:spacing w:line="249" w:lineRule="auto" w:before="96"/>
        <w:ind w:right="589"/>
      </w:pPr>
      <w:r>
        <w:rPr/>
        <w:br w:type="column"/>
      </w:r>
      <w:r>
        <w:rPr/>
        <w:t>thesis-master’s students, master’s thesis research under the supervision of a faculty mentor, culminating in the preparation and defense of the research thesis, replaces 6 of these credits. PhD candidates must successfully complete a minimum of 12 credits of doctoral dissertation research in addition to all required coursework.</w:t>
      </w:r>
    </w:p>
    <w:p>
      <w:pPr>
        <w:pStyle w:val="ListParagraph"/>
        <w:numPr>
          <w:ilvl w:val="0"/>
          <w:numId w:val="9"/>
        </w:numPr>
        <w:tabs>
          <w:tab w:pos="402" w:val="left" w:leader="none"/>
        </w:tabs>
        <w:spacing w:line="249" w:lineRule="auto" w:before="182" w:after="0"/>
        <w:ind w:left="200" w:right="614" w:firstLine="0"/>
        <w:jc w:val="left"/>
        <w:rPr>
          <w:sz w:val="20"/>
        </w:rPr>
      </w:pPr>
      <w:r>
        <w:rPr>
          <w:b/>
          <w:sz w:val="20"/>
        </w:rPr>
        <w:t>Qualifying exam: </w:t>
      </w:r>
      <w:r>
        <w:rPr>
          <w:sz w:val="20"/>
        </w:rPr>
        <w:t>PhD students are required to pass an oral qualifying exam no later than six months after the completion </w:t>
      </w:r>
      <w:r>
        <w:rPr>
          <w:spacing w:val="-3"/>
          <w:sz w:val="20"/>
        </w:rPr>
        <w:t>of </w:t>
      </w:r>
      <w:r>
        <w:rPr>
          <w:sz w:val="20"/>
        </w:rPr>
        <w:t>their course requirements. Two weeks before the exam, students are required to submit a National Institutes </w:t>
      </w:r>
      <w:r>
        <w:rPr>
          <w:spacing w:val="-3"/>
          <w:sz w:val="20"/>
        </w:rPr>
        <w:t>of </w:t>
      </w:r>
      <w:r>
        <w:rPr>
          <w:sz w:val="20"/>
        </w:rPr>
        <w:t>Health-style research proposal to their advisory committee that is based </w:t>
      </w:r>
      <w:r>
        <w:rPr>
          <w:spacing w:val="-3"/>
          <w:sz w:val="20"/>
        </w:rPr>
        <w:t>on </w:t>
      </w:r>
      <w:r>
        <w:rPr>
          <w:sz w:val="20"/>
        </w:rPr>
        <w:t>their </w:t>
      </w:r>
      <w:r>
        <w:rPr>
          <w:spacing w:val="-3"/>
          <w:sz w:val="20"/>
        </w:rPr>
        <w:t>proposed </w:t>
      </w:r>
      <w:r>
        <w:rPr>
          <w:sz w:val="20"/>
        </w:rPr>
        <w:t>PhD research. The format </w:t>
      </w:r>
      <w:r>
        <w:rPr>
          <w:spacing w:val="-3"/>
          <w:sz w:val="20"/>
        </w:rPr>
        <w:t>of </w:t>
      </w:r>
      <w:r>
        <w:rPr>
          <w:sz w:val="20"/>
        </w:rPr>
        <w:t>this proposal must follow the page limits and any other rules and regulations </w:t>
      </w:r>
      <w:r>
        <w:rPr>
          <w:spacing w:val="-3"/>
          <w:sz w:val="20"/>
        </w:rPr>
        <w:t>of </w:t>
      </w:r>
      <w:r>
        <w:rPr>
          <w:sz w:val="20"/>
        </w:rPr>
        <w:t>an actual NIH predoctoral fellowship proposal. Students may submit this proposal to the NIH </w:t>
      </w:r>
      <w:r>
        <w:rPr>
          <w:spacing w:val="-3"/>
          <w:sz w:val="20"/>
        </w:rPr>
        <w:t>or </w:t>
      </w:r>
      <w:r>
        <w:rPr>
          <w:sz w:val="20"/>
        </w:rPr>
        <w:t>another appropriate granting agency (e.g., the American Heart Association), although this is not required. The research proposal must </w:t>
      </w:r>
      <w:r>
        <w:rPr>
          <w:spacing w:val="-3"/>
          <w:sz w:val="20"/>
        </w:rPr>
        <w:t>be </w:t>
      </w:r>
      <w:r>
        <w:rPr>
          <w:sz w:val="20"/>
        </w:rPr>
        <w:t>defended orally to the student’s advisory committee as part </w:t>
      </w:r>
      <w:r>
        <w:rPr>
          <w:spacing w:val="-3"/>
          <w:sz w:val="20"/>
        </w:rPr>
        <w:t>of </w:t>
      </w:r>
      <w:r>
        <w:rPr>
          <w:sz w:val="20"/>
        </w:rPr>
        <w:t>the</w:t>
      </w:r>
      <w:r>
        <w:rPr>
          <w:spacing w:val="-11"/>
          <w:sz w:val="20"/>
        </w:rPr>
        <w:t> </w:t>
      </w:r>
      <w:r>
        <w:rPr>
          <w:sz w:val="20"/>
        </w:rPr>
        <w:t>exam.</w:t>
      </w:r>
    </w:p>
    <w:p>
      <w:pPr>
        <w:pStyle w:val="BodyText"/>
        <w:spacing w:line="249" w:lineRule="auto" w:before="192"/>
        <w:ind w:right="626"/>
      </w:pPr>
      <w:r>
        <w:rPr/>
        <w:t>During the oral qualifying </w:t>
      </w:r>
      <w:r>
        <w:rPr>
          <w:spacing w:val="-3"/>
        </w:rPr>
        <w:t>exam,  </w:t>
      </w:r>
      <w:r>
        <w:rPr/>
        <w:t>students also are tested </w:t>
      </w:r>
      <w:r>
        <w:rPr>
          <w:spacing w:val="-3"/>
        </w:rPr>
        <w:t>on </w:t>
      </w:r>
      <w:r>
        <w:rPr/>
        <w:t>their general knowledge of biochemistry and molecular biology, including: molecular </w:t>
      </w:r>
      <w:r>
        <w:rPr>
          <w:spacing w:val="-3"/>
        </w:rPr>
        <w:t>biology, </w:t>
      </w:r>
      <w:r>
        <w:rPr/>
        <w:t>enzymology and bioorganic </w:t>
      </w:r>
      <w:r>
        <w:rPr>
          <w:spacing w:val="-3"/>
        </w:rPr>
        <w:t>chemistry, </w:t>
      </w:r>
      <w:r>
        <w:rPr/>
        <w:t>physical and structural biochemistry, and metabolism and</w:t>
      </w:r>
      <w:r>
        <w:rPr>
          <w:spacing w:val="-12"/>
        </w:rPr>
        <w:t> </w:t>
      </w:r>
      <w:r>
        <w:rPr/>
        <w:t>regulation.</w:t>
      </w:r>
    </w:p>
    <w:p>
      <w:pPr>
        <w:pStyle w:val="BodyText"/>
        <w:spacing w:line="249" w:lineRule="auto" w:before="181"/>
        <w:ind w:right="777"/>
      </w:pPr>
      <w:r>
        <w:rPr/>
        <w:t>The outcome of the oral exam can be: pass; fail, with retake within three months; or fail, with the possibility of being awarded a terminal MS (MS is awarded only if in good academic standing with a 3.0 or better grade-point average). In cases in which a student fails and cannot retake the exam, the program director will determine whether the student qualifies for a terminal master’s degree.</w:t>
      </w:r>
    </w:p>
    <w:p>
      <w:pPr>
        <w:pStyle w:val="BodyText"/>
        <w:spacing w:line="249" w:lineRule="auto" w:before="188"/>
        <w:ind w:right="650"/>
      </w:pPr>
      <w:r>
        <w:rPr/>
        <w:t>In addition to meeting the Graduate School’s GPA requirement, PhD students must achieve at least a B average (GPA </w:t>
      </w:r>
      <w:r>
        <w:rPr>
          <w:spacing w:val="-3"/>
        </w:rPr>
        <w:t>of </w:t>
      </w:r>
      <w:r>
        <w:rPr/>
        <w:t>3.0 </w:t>
      </w:r>
      <w:r>
        <w:rPr>
          <w:spacing w:val="-3"/>
        </w:rPr>
        <w:t>or </w:t>
      </w:r>
      <w:r>
        <w:rPr/>
        <w:t>higher) </w:t>
      </w:r>
      <w:r>
        <w:rPr>
          <w:spacing w:val="-4"/>
        </w:rPr>
        <w:t>over </w:t>
      </w:r>
      <w:r>
        <w:rPr/>
        <w:t>the first two years </w:t>
      </w:r>
      <w:r>
        <w:rPr>
          <w:spacing w:val="-5"/>
        </w:rPr>
        <w:t>of </w:t>
      </w:r>
      <w:r>
        <w:rPr/>
        <w:t>enrollment. The program generally dismisses students </w:t>
      </w:r>
      <w:r>
        <w:rPr>
          <w:spacing w:val="-3"/>
        </w:rPr>
        <w:t>who </w:t>
      </w:r>
      <w:r>
        <w:rPr/>
        <w:t>have a GPA below 3.0 at this time. At the discretion </w:t>
      </w:r>
      <w:r>
        <w:rPr>
          <w:spacing w:val="-3"/>
        </w:rPr>
        <w:t>of </w:t>
      </w:r>
      <w:r>
        <w:rPr/>
        <w:t>the Graduate Governing Committee, students who do not meet the GPA requirement may </w:t>
      </w:r>
      <w:r>
        <w:rPr>
          <w:spacing w:val="-3"/>
        </w:rPr>
        <w:t>be </w:t>
      </w:r>
      <w:r>
        <w:rPr/>
        <w:t>permitted to take </w:t>
      </w:r>
      <w:r>
        <w:rPr>
          <w:spacing w:val="-3"/>
        </w:rPr>
        <w:t>an </w:t>
      </w:r>
      <w:r>
        <w:rPr/>
        <w:t>additional course if they are doing </w:t>
      </w:r>
      <w:r>
        <w:rPr>
          <w:spacing w:val="-3"/>
        </w:rPr>
        <w:t>well </w:t>
      </w:r>
      <w:r>
        <w:rPr/>
        <w:t>in the program and it </w:t>
      </w:r>
      <w:r>
        <w:rPr>
          <w:spacing w:val="-3"/>
        </w:rPr>
        <w:t>would </w:t>
      </w:r>
      <w:r>
        <w:rPr/>
        <w:t>mathematically allow them to achieve an overall GPA </w:t>
      </w:r>
      <w:r>
        <w:rPr>
          <w:spacing w:val="-3"/>
        </w:rPr>
        <w:t>of </w:t>
      </w:r>
      <w:r>
        <w:rPr/>
        <w:t>3.0 </w:t>
      </w:r>
      <w:r>
        <w:rPr>
          <w:spacing w:val="-3"/>
        </w:rPr>
        <w:t>or </w:t>
      </w:r>
      <w:r>
        <w:rPr/>
        <w:t>better (i.e., </w:t>
      </w:r>
      <w:r>
        <w:rPr>
          <w:spacing w:val="-4"/>
        </w:rPr>
        <w:t>for </w:t>
      </w:r>
      <w:r>
        <w:rPr/>
        <w:t>students whose GPA is nearly 3.0). Such decisions are made </w:t>
      </w:r>
      <w:r>
        <w:rPr>
          <w:spacing w:val="-3"/>
        </w:rPr>
        <w:t>on </w:t>
      </w:r>
      <w:r>
        <w:rPr/>
        <w:t>a case-by-case basis by the Graduate Governing</w:t>
      </w:r>
      <w:r>
        <w:rPr>
          <w:spacing w:val="-3"/>
        </w:rPr>
        <w:t> Committee.</w:t>
      </w:r>
    </w:p>
    <w:p>
      <w:pPr>
        <w:pStyle w:val="Heading5"/>
        <w:numPr>
          <w:ilvl w:val="0"/>
          <w:numId w:val="9"/>
        </w:numPr>
        <w:tabs>
          <w:tab w:pos="412" w:val="left" w:leader="none"/>
        </w:tabs>
        <w:spacing w:line="240" w:lineRule="auto" w:before="185" w:after="0"/>
        <w:ind w:left="411" w:right="0" w:hanging="211"/>
        <w:jc w:val="left"/>
      </w:pPr>
      <w:r>
        <w:rPr/>
        <w:t>Core course</w:t>
      </w:r>
      <w:r>
        <w:rPr>
          <w:spacing w:val="-7"/>
        </w:rPr>
        <w:t> </w:t>
      </w:r>
      <w:r>
        <w:rPr/>
        <w:t>requirement:</w:t>
      </w:r>
    </w:p>
    <w:p>
      <w:pPr>
        <w:pStyle w:val="BodyText"/>
        <w:spacing w:line="249" w:lineRule="auto" w:before="190"/>
        <w:ind w:left="199" w:right="627"/>
      </w:pPr>
      <w:r>
        <w:rPr/>
        <w:t>Students have the option to choose from the GPILS core course (GPLS 601; 8 credits) or the two-semester biochemistry course at UMBC (CHEM 437, CHEM 638; 8</w:t>
      </w:r>
    </w:p>
    <w:p>
      <w:pPr>
        <w:spacing w:after="0" w:line="249" w:lineRule="auto"/>
        <w:sectPr>
          <w:pgSz w:w="12240" w:h="15840"/>
          <w:pgMar w:header="746" w:footer="0" w:top="1320" w:bottom="280" w:left="880" w:right="300"/>
          <w:cols w:num="2" w:equalWidth="0">
            <w:col w:w="4988" w:space="498"/>
            <w:col w:w="5574"/>
          </w:cols>
        </w:sectPr>
      </w:pPr>
    </w:p>
    <w:p>
      <w:pPr>
        <w:pStyle w:val="BodyText"/>
        <w:spacing w:line="249" w:lineRule="auto" w:before="100"/>
        <w:ind w:right="6403"/>
      </w:pPr>
      <w:r>
        <w:rPr/>
        <w:t>credits). The decision regarding the core course(s) for a student is based upon their undergraduate record in biochemistry and other advanced science courses.</w:t>
      </w:r>
    </w:p>
    <w:p>
      <w:pPr>
        <w:pStyle w:val="Heading5"/>
        <w:numPr>
          <w:ilvl w:val="0"/>
          <w:numId w:val="9"/>
        </w:numPr>
        <w:tabs>
          <w:tab w:pos="412" w:val="left" w:leader="none"/>
        </w:tabs>
        <w:spacing w:line="240" w:lineRule="auto" w:before="170" w:after="16"/>
        <w:ind w:left="411" w:right="0" w:hanging="211"/>
        <w:jc w:val="left"/>
      </w:pPr>
      <w:r>
        <w:rPr/>
        <w:t>Additional</w:t>
      </w:r>
      <w:r>
        <w:rPr>
          <w:spacing w:val="-2"/>
        </w:rPr>
        <w:t> </w:t>
      </w:r>
      <w:r>
        <w:rPr/>
        <w:t>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9"/>
        <w:gridCol w:w="2775"/>
        <w:gridCol w:w="944"/>
      </w:tblGrid>
      <w:tr>
        <w:trPr>
          <w:trHeight w:val="471" w:hRule="atLeast"/>
        </w:trPr>
        <w:tc>
          <w:tcPr>
            <w:tcW w:w="1239" w:type="dxa"/>
          </w:tcPr>
          <w:p>
            <w:pPr>
              <w:pStyle w:val="TableParagraph"/>
              <w:spacing w:line="223" w:lineRule="exact" w:before="0"/>
              <w:ind w:left="93" w:right="92"/>
              <w:jc w:val="center"/>
              <w:rPr>
                <w:sz w:val="20"/>
              </w:rPr>
            </w:pPr>
            <w:r>
              <w:rPr>
                <w:sz w:val="20"/>
              </w:rPr>
              <w:t>GPLS 709</w:t>
            </w:r>
          </w:p>
        </w:tc>
        <w:tc>
          <w:tcPr>
            <w:tcW w:w="2775" w:type="dxa"/>
          </w:tcPr>
          <w:p>
            <w:pPr>
              <w:pStyle w:val="TableParagraph"/>
              <w:spacing w:line="223" w:lineRule="exact" w:before="0"/>
              <w:ind w:left="199"/>
              <w:rPr>
                <w:sz w:val="20"/>
              </w:rPr>
            </w:pPr>
            <w:r>
              <w:rPr>
                <w:sz w:val="20"/>
              </w:rPr>
              <w:t>ADVANCED</w:t>
            </w:r>
          </w:p>
          <w:p>
            <w:pPr>
              <w:pStyle w:val="TableParagraph"/>
              <w:spacing w:line="219" w:lineRule="exact" w:before="10"/>
              <w:ind w:left="199"/>
              <w:rPr>
                <w:sz w:val="20"/>
              </w:rPr>
            </w:pPr>
            <w:r>
              <w:rPr>
                <w:sz w:val="20"/>
              </w:rPr>
              <w:t>BIOCHEMISTRY</w:t>
            </w:r>
          </w:p>
        </w:tc>
        <w:tc>
          <w:tcPr>
            <w:tcW w:w="944" w:type="dxa"/>
          </w:tcPr>
          <w:p>
            <w:pPr>
              <w:pStyle w:val="TableParagraph"/>
              <w:spacing w:line="223" w:lineRule="exact" w:before="0"/>
              <w:ind w:right="200"/>
              <w:jc w:val="right"/>
              <w:rPr>
                <w:sz w:val="20"/>
              </w:rPr>
            </w:pPr>
            <w:r>
              <w:rPr>
                <w:w w:val="100"/>
                <w:sz w:val="20"/>
              </w:rPr>
              <w:t>3</w:t>
            </w:r>
          </w:p>
        </w:tc>
      </w:tr>
      <w:tr>
        <w:trPr>
          <w:trHeight w:val="480" w:hRule="atLeast"/>
        </w:trPr>
        <w:tc>
          <w:tcPr>
            <w:tcW w:w="1239" w:type="dxa"/>
          </w:tcPr>
          <w:p>
            <w:pPr>
              <w:pStyle w:val="TableParagraph"/>
              <w:ind w:left="93" w:right="92"/>
              <w:jc w:val="center"/>
              <w:rPr>
                <w:sz w:val="20"/>
              </w:rPr>
            </w:pPr>
            <w:r>
              <w:rPr>
                <w:sz w:val="20"/>
              </w:rPr>
              <w:t>GPLS 701</w:t>
            </w:r>
          </w:p>
        </w:tc>
        <w:tc>
          <w:tcPr>
            <w:tcW w:w="2775" w:type="dxa"/>
          </w:tcPr>
          <w:p>
            <w:pPr>
              <w:pStyle w:val="TableParagraph"/>
              <w:ind w:left="199"/>
              <w:rPr>
                <w:sz w:val="20"/>
              </w:rPr>
            </w:pPr>
            <w:r>
              <w:rPr>
                <w:sz w:val="20"/>
              </w:rPr>
              <w:t>ADVANCED MOLECULAR</w:t>
            </w:r>
          </w:p>
          <w:p>
            <w:pPr>
              <w:pStyle w:val="TableParagraph"/>
              <w:spacing w:line="219" w:lineRule="exact" w:before="10"/>
              <w:ind w:left="199"/>
              <w:rPr>
                <w:sz w:val="20"/>
              </w:rPr>
            </w:pPr>
            <w:r>
              <w:rPr>
                <w:sz w:val="20"/>
              </w:rPr>
              <w:t>BIOLOGY</w:t>
            </w:r>
          </w:p>
        </w:tc>
        <w:tc>
          <w:tcPr>
            <w:tcW w:w="944" w:type="dxa"/>
          </w:tcPr>
          <w:p>
            <w:pPr>
              <w:pStyle w:val="TableParagraph"/>
              <w:ind w:right="200"/>
              <w:jc w:val="right"/>
              <w:rPr>
                <w:sz w:val="20"/>
              </w:rPr>
            </w:pPr>
            <w:r>
              <w:rPr>
                <w:w w:val="100"/>
                <w:sz w:val="20"/>
              </w:rPr>
              <w:t>3</w:t>
            </w:r>
          </w:p>
        </w:tc>
      </w:tr>
      <w:tr>
        <w:trPr>
          <w:trHeight w:val="480" w:hRule="atLeast"/>
        </w:trPr>
        <w:tc>
          <w:tcPr>
            <w:tcW w:w="1239" w:type="dxa"/>
          </w:tcPr>
          <w:p>
            <w:pPr>
              <w:pStyle w:val="TableParagraph"/>
              <w:ind w:left="93" w:right="92"/>
              <w:jc w:val="center"/>
              <w:rPr>
                <w:sz w:val="20"/>
              </w:rPr>
            </w:pPr>
            <w:r>
              <w:rPr>
                <w:sz w:val="20"/>
              </w:rPr>
              <w:t>GPLS 713</w:t>
            </w:r>
          </w:p>
        </w:tc>
        <w:tc>
          <w:tcPr>
            <w:tcW w:w="2775" w:type="dxa"/>
          </w:tcPr>
          <w:p>
            <w:pPr>
              <w:pStyle w:val="TableParagraph"/>
              <w:ind w:left="199"/>
              <w:rPr>
                <w:sz w:val="20"/>
              </w:rPr>
            </w:pPr>
            <w:r>
              <w:rPr>
                <w:sz w:val="20"/>
              </w:rPr>
              <w:t>BIOCHEMISTRY</w:t>
            </w:r>
          </w:p>
          <w:p>
            <w:pPr>
              <w:pStyle w:val="TableParagraph"/>
              <w:spacing w:line="219" w:lineRule="exact" w:before="10"/>
              <w:ind w:left="199"/>
              <w:rPr>
                <w:sz w:val="20"/>
              </w:rPr>
            </w:pPr>
            <w:r>
              <w:rPr>
                <w:sz w:val="20"/>
              </w:rPr>
              <w:t>STUDENT SEMINAR</w:t>
            </w:r>
          </w:p>
        </w:tc>
        <w:tc>
          <w:tcPr>
            <w:tcW w:w="944" w:type="dxa"/>
          </w:tcPr>
          <w:p>
            <w:pPr>
              <w:pStyle w:val="TableParagraph"/>
              <w:ind w:right="200"/>
              <w:jc w:val="right"/>
              <w:rPr>
                <w:sz w:val="20"/>
              </w:rPr>
            </w:pPr>
            <w:r>
              <w:rPr>
                <w:w w:val="100"/>
                <w:sz w:val="20"/>
              </w:rPr>
              <w:t>2</w:t>
            </w:r>
          </w:p>
        </w:tc>
      </w:tr>
      <w:tr>
        <w:trPr>
          <w:trHeight w:val="240" w:hRule="atLeast"/>
        </w:trPr>
        <w:tc>
          <w:tcPr>
            <w:tcW w:w="1239" w:type="dxa"/>
          </w:tcPr>
          <w:p>
            <w:pPr>
              <w:pStyle w:val="TableParagraph"/>
              <w:spacing w:line="219" w:lineRule="exact"/>
              <w:ind w:left="93" w:right="92"/>
              <w:jc w:val="center"/>
              <w:rPr>
                <w:sz w:val="20"/>
              </w:rPr>
            </w:pPr>
            <w:r>
              <w:rPr>
                <w:sz w:val="20"/>
              </w:rPr>
              <w:t>GPLS 608</w:t>
            </w:r>
          </w:p>
        </w:tc>
        <w:tc>
          <w:tcPr>
            <w:tcW w:w="2775" w:type="dxa"/>
          </w:tcPr>
          <w:p>
            <w:pPr>
              <w:pStyle w:val="TableParagraph"/>
              <w:spacing w:line="219" w:lineRule="exact"/>
              <w:ind w:left="199"/>
              <w:rPr>
                <w:sz w:val="20"/>
              </w:rPr>
            </w:pPr>
            <w:r>
              <w:rPr>
                <w:sz w:val="20"/>
              </w:rPr>
              <w:t>SEMINAR</w:t>
            </w:r>
          </w:p>
        </w:tc>
        <w:tc>
          <w:tcPr>
            <w:tcW w:w="944" w:type="dxa"/>
          </w:tcPr>
          <w:p>
            <w:pPr>
              <w:pStyle w:val="TableParagraph"/>
              <w:spacing w:line="219" w:lineRule="exact"/>
              <w:ind w:right="195"/>
              <w:jc w:val="right"/>
              <w:rPr>
                <w:sz w:val="20"/>
              </w:rPr>
            </w:pPr>
            <w:r>
              <w:rPr>
                <w:sz w:val="20"/>
              </w:rPr>
              <w:t>1 OR 2</w:t>
            </w:r>
          </w:p>
        </w:tc>
      </w:tr>
      <w:tr>
        <w:trPr>
          <w:trHeight w:val="480" w:hRule="atLeast"/>
        </w:trPr>
        <w:tc>
          <w:tcPr>
            <w:tcW w:w="1239" w:type="dxa"/>
          </w:tcPr>
          <w:p>
            <w:pPr>
              <w:pStyle w:val="TableParagraph"/>
              <w:ind w:left="93" w:right="92"/>
              <w:jc w:val="center"/>
              <w:rPr>
                <w:sz w:val="20"/>
              </w:rPr>
            </w:pPr>
            <w:r>
              <w:rPr>
                <w:sz w:val="20"/>
              </w:rPr>
              <w:t>GPLS 609</w:t>
            </w:r>
          </w:p>
        </w:tc>
        <w:tc>
          <w:tcPr>
            <w:tcW w:w="2775" w:type="dxa"/>
          </w:tcPr>
          <w:p>
            <w:pPr>
              <w:pStyle w:val="TableParagraph"/>
              <w:ind w:left="199"/>
              <w:rPr>
                <w:sz w:val="20"/>
              </w:rPr>
            </w:pPr>
            <w:r>
              <w:rPr>
                <w:sz w:val="20"/>
              </w:rPr>
              <w:t>LABORATORY</w:t>
            </w:r>
          </w:p>
          <w:p>
            <w:pPr>
              <w:pStyle w:val="TableParagraph"/>
              <w:spacing w:line="219" w:lineRule="exact" w:before="10"/>
              <w:ind w:left="199"/>
              <w:rPr>
                <w:sz w:val="20"/>
              </w:rPr>
            </w:pPr>
            <w:r>
              <w:rPr>
                <w:sz w:val="20"/>
              </w:rPr>
              <w:t>ROTATIONS</w:t>
            </w:r>
          </w:p>
        </w:tc>
        <w:tc>
          <w:tcPr>
            <w:tcW w:w="944" w:type="dxa"/>
          </w:tcPr>
          <w:p>
            <w:pPr>
              <w:pStyle w:val="TableParagraph"/>
              <w:ind w:right="196"/>
              <w:jc w:val="right"/>
              <w:rPr>
                <w:sz w:val="20"/>
              </w:rPr>
            </w:pPr>
            <w:r>
              <w:rPr>
                <w:sz w:val="20"/>
              </w:rPr>
              <w:t>1 TO 3</w:t>
            </w:r>
          </w:p>
        </w:tc>
      </w:tr>
      <w:tr>
        <w:trPr>
          <w:trHeight w:val="231" w:hRule="atLeast"/>
        </w:trPr>
        <w:tc>
          <w:tcPr>
            <w:tcW w:w="1239" w:type="dxa"/>
          </w:tcPr>
          <w:p>
            <w:pPr>
              <w:pStyle w:val="TableParagraph"/>
              <w:spacing w:line="210" w:lineRule="exact"/>
              <w:ind w:left="33" w:right="92"/>
              <w:jc w:val="center"/>
              <w:rPr>
                <w:sz w:val="20"/>
              </w:rPr>
            </w:pPr>
            <w:r>
              <w:rPr>
                <w:sz w:val="20"/>
              </w:rPr>
              <w:t>CIPP 907</w:t>
            </w:r>
          </w:p>
        </w:tc>
        <w:tc>
          <w:tcPr>
            <w:tcW w:w="2775" w:type="dxa"/>
          </w:tcPr>
          <w:p>
            <w:pPr>
              <w:pStyle w:val="TableParagraph"/>
              <w:spacing w:line="210" w:lineRule="exact"/>
              <w:ind w:left="199"/>
              <w:rPr>
                <w:sz w:val="20"/>
              </w:rPr>
            </w:pPr>
            <w:r>
              <w:rPr>
                <w:sz w:val="20"/>
              </w:rPr>
              <w:t>RESEARCH ETHICS</w:t>
            </w:r>
          </w:p>
        </w:tc>
        <w:tc>
          <w:tcPr>
            <w:tcW w:w="944" w:type="dxa"/>
          </w:tcPr>
          <w:p>
            <w:pPr>
              <w:pStyle w:val="TableParagraph"/>
              <w:spacing w:line="210" w:lineRule="exact"/>
              <w:ind w:right="200"/>
              <w:jc w:val="right"/>
              <w:rPr>
                <w:sz w:val="20"/>
              </w:rPr>
            </w:pPr>
            <w:r>
              <w:rPr>
                <w:w w:val="100"/>
                <w:sz w:val="20"/>
              </w:rPr>
              <w:t>1</w:t>
            </w:r>
          </w:p>
        </w:tc>
      </w:tr>
    </w:tbl>
    <w:p>
      <w:pPr>
        <w:spacing w:line="249" w:lineRule="auto" w:before="72"/>
        <w:ind w:left="200" w:right="6130" w:firstLine="0"/>
        <w:jc w:val="left"/>
        <w:rPr>
          <w:i/>
          <w:sz w:val="20"/>
        </w:rPr>
      </w:pPr>
      <w:r>
        <w:rPr>
          <w:i/>
          <w:sz w:val="20"/>
        </w:rPr>
        <w:t>6 credits of general electives, including at least one course </w:t>
      </w:r>
      <w:r>
        <w:rPr>
          <w:i/>
          <w:sz w:val="20"/>
        </w:rPr>
        <w:t>at UMBC, are also required.</w:t>
      </w:r>
    </w:p>
    <w:p>
      <w:pPr>
        <w:spacing w:line="314" w:lineRule="auto" w:before="59"/>
        <w:ind w:left="200" w:right="8778" w:firstLine="0"/>
        <w:jc w:val="left"/>
        <w:rPr>
          <w:i/>
          <w:sz w:val="20"/>
        </w:rPr>
      </w:pPr>
      <w:r>
        <w:rPr>
          <w:i/>
          <w:sz w:val="20"/>
        </w:rPr>
        <w:t>GPLS 713: two semesters </w:t>
      </w:r>
      <w:r>
        <w:rPr>
          <w:i/>
          <w:sz w:val="20"/>
        </w:rPr>
        <w:t>GPLS 608: two semesters</w:t>
      </w:r>
    </w:p>
    <w:p>
      <w:pPr>
        <w:pStyle w:val="BodyText"/>
        <w:spacing w:line="249" w:lineRule="auto" w:before="117"/>
        <w:ind w:right="6391"/>
      </w:pPr>
      <w:r>
        <w:rPr/>
        <w:t>Details are given in the Course Descriptions part of this catalog.</w:t>
      </w:r>
    </w:p>
    <w:p>
      <w:pPr>
        <w:spacing w:after="0" w:line="249" w:lineRule="auto"/>
        <w:sectPr>
          <w:pgSz w:w="12240" w:h="15840"/>
          <w:pgMar w:header="746" w:footer="0" w:top="1320" w:bottom="280" w:left="880" w:right="300"/>
        </w:sectPr>
      </w:pPr>
    </w:p>
    <w:p>
      <w:pPr>
        <w:pStyle w:val="Heading3"/>
        <w:ind w:right="830"/>
      </w:pPr>
      <w:bookmarkStart w:name="Cellular and Molecular Biomedical Scienc" w:id="31"/>
      <w:bookmarkEnd w:id="31"/>
      <w:r>
        <w:rPr/>
      </w:r>
      <w:bookmarkStart w:name="_bookmark15" w:id="32"/>
      <w:bookmarkEnd w:id="32"/>
      <w:r>
        <w:rPr/>
      </w:r>
      <w:r>
        <w:rPr/>
        <w:t>Cellular and Molecular Biomedical Science</w:t>
      </w:r>
    </w:p>
    <w:p>
      <w:pPr>
        <w:spacing w:line="427" w:lineRule="auto" w:before="171"/>
        <w:ind w:left="200" w:right="1484" w:firstLine="0"/>
        <w:jc w:val="both"/>
        <w:rPr>
          <w:b/>
          <w:sz w:val="20"/>
        </w:rPr>
      </w:pPr>
      <w:r>
        <w:rPr>
          <w:b/>
          <w:sz w:val="22"/>
        </w:rPr>
        <w:t>Graduate Program in Life Sciences </w:t>
      </w:r>
      <w:hyperlink r:id="rId47">
        <w:r>
          <w:rPr>
            <w:color w:val="0000FF"/>
            <w:sz w:val="20"/>
            <w:u w:val="single" w:color="0000FF"/>
          </w:rPr>
          <w:t>http://lifesciences.umaryland.edu/CMBS/</w:t>
        </w:r>
      </w:hyperlink>
      <w:r>
        <w:rPr>
          <w:color w:val="0000FF"/>
          <w:sz w:val="20"/>
        </w:rPr>
        <w:t> </w:t>
      </w:r>
      <w:r>
        <w:rPr>
          <w:b/>
          <w:sz w:val="20"/>
        </w:rPr>
        <w:t>Degree Offered</w:t>
      </w:r>
    </w:p>
    <w:p>
      <w:pPr>
        <w:pStyle w:val="BodyText"/>
        <w:spacing w:before="7"/>
      </w:pPr>
      <w:r>
        <w:rPr/>
        <w:t>MS</w:t>
      </w:r>
    </w:p>
    <w:p>
      <w:pPr>
        <w:pStyle w:val="Heading6"/>
        <w:spacing w:before="192"/>
      </w:pPr>
      <w:r>
        <w:rPr/>
        <w:t>Program Description</w:t>
      </w:r>
    </w:p>
    <w:p>
      <w:pPr>
        <w:pStyle w:val="BodyText"/>
        <w:spacing w:line="249" w:lineRule="auto" w:before="188"/>
        <w:ind w:left="199" w:right="38"/>
      </w:pPr>
      <w:r>
        <w:rPr>
          <w:color w:val="303030"/>
        </w:rPr>
        <w:t>The Cellular and Molecular Biomedical Science (CMBS) MS program at the University of Maryland has a core curriculum incorporating subjects of importance to all students in the fields of cell and molecular biology. The subjects are then complemented by specific courses in each student’s area of research and interest. The CMBS MS program emphasizes medically relevant scientific research and education, utilizing state-of-the-art resources. The program is primarily designed as a 2-year curriculum for full-time students and may be completed within 5 years for part-time students. Students will become fluent in the study and implementation of biomedical research and will graduate as prepared and skilled researchers for their careers. CMBS graduates go on to have either a career in government or private industry, or to advance their education in PhD or MD degrees.</w:t>
      </w:r>
    </w:p>
    <w:p>
      <w:pPr>
        <w:pStyle w:val="BodyText"/>
        <w:spacing w:line="249" w:lineRule="auto" w:before="194"/>
        <w:ind w:right="89"/>
      </w:pPr>
      <w:r>
        <w:rPr>
          <w:color w:val="303030"/>
        </w:rPr>
        <w:t>Cellular and Molecular Biomedical Science combines areas </w:t>
      </w:r>
      <w:r>
        <w:rPr>
          <w:color w:val="303030"/>
          <w:spacing w:val="-3"/>
        </w:rPr>
        <w:t>of </w:t>
      </w:r>
      <w:r>
        <w:rPr>
          <w:color w:val="303030"/>
        </w:rPr>
        <w:t>biomedical study, including cancer </w:t>
      </w:r>
      <w:r>
        <w:rPr>
          <w:color w:val="303030"/>
          <w:spacing w:val="-3"/>
        </w:rPr>
        <w:t>biology, </w:t>
      </w:r>
      <w:r>
        <w:rPr>
          <w:color w:val="303030"/>
        </w:rPr>
        <w:t>human genetics, molecular and cell </w:t>
      </w:r>
      <w:r>
        <w:rPr>
          <w:color w:val="303030"/>
          <w:spacing w:val="-3"/>
        </w:rPr>
        <w:t>biology, </w:t>
      </w:r>
      <w:r>
        <w:rPr>
          <w:color w:val="303030"/>
        </w:rPr>
        <w:t>pathology, pharmacology, neuroscience, and physiology into a unique interdisciplinary graduate training program. Specifically designed to </w:t>
      </w:r>
      <w:r>
        <w:rPr>
          <w:color w:val="303030"/>
          <w:spacing w:val="-3"/>
        </w:rPr>
        <w:t>develop </w:t>
      </w:r>
      <w:r>
        <w:rPr>
          <w:color w:val="303030"/>
        </w:rPr>
        <w:t>scientists </w:t>
      </w:r>
      <w:r>
        <w:rPr>
          <w:color w:val="303030"/>
          <w:spacing w:val="-4"/>
        </w:rPr>
        <w:t>for </w:t>
      </w:r>
      <w:r>
        <w:rPr>
          <w:color w:val="303030"/>
        </w:rPr>
        <w:t>the post-genomic era, CMBS students will gain knowledge, research skills, and familiarity with biomedical tools and methodologies to solve important and timely questions in biomedical science.</w:t>
      </w:r>
    </w:p>
    <w:p>
      <w:pPr>
        <w:pStyle w:val="BodyText"/>
        <w:spacing w:line="249" w:lineRule="auto"/>
        <w:ind w:right="39"/>
      </w:pPr>
      <w:r>
        <w:rPr>
          <w:color w:val="303030"/>
        </w:rPr>
        <w:t>The flexibility of the program allows students the ability to customize it to their particular areas of interest. On-campus lab rotations as well as thesis research projects provide an integrated variety of studies in molecular medicine.</w:t>
      </w:r>
    </w:p>
    <w:p>
      <w:pPr>
        <w:pStyle w:val="Heading6"/>
        <w:spacing w:before="185"/>
      </w:pPr>
      <w:r>
        <w:rPr/>
        <w:t>Program Admission</w:t>
      </w:r>
    </w:p>
    <w:p>
      <w:pPr>
        <w:pStyle w:val="BodyText"/>
        <w:spacing w:line="249" w:lineRule="auto" w:before="188"/>
        <w:ind w:right="117"/>
      </w:pPr>
      <w:r>
        <w:rPr>
          <w:color w:val="303030"/>
        </w:rPr>
        <w:t>Applicants should have a bachelor’s degree and have strong undergraduate training in the biological sciences, chemistry, mathematics, and general physics, as well as research experience in the biomedical sciences. The Admissions Committee evaluates the entire application package. Applicants are encouraged to have strong letters of recommendation, and a cumulative grade-point average</w:t>
      </w:r>
    </w:p>
    <w:p>
      <w:pPr>
        <w:pStyle w:val="BodyText"/>
        <w:spacing w:before="96"/>
      </w:pPr>
      <w:r>
        <w:rPr/>
        <w:br w:type="column"/>
      </w:r>
      <w:r>
        <w:rPr>
          <w:color w:val="303030"/>
        </w:rPr>
        <w:t>of 3.0 or above.</w:t>
      </w:r>
    </w:p>
    <w:p>
      <w:pPr>
        <w:pStyle w:val="BodyText"/>
        <w:spacing w:line="249" w:lineRule="auto" w:before="188"/>
        <w:ind w:right="654"/>
      </w:pPr>
      <w:r>
        <w:rPr>
          <w:color w:val="303030"/>
        </w:rPr>
        <w:t>Additionally, all international students must meet the Graduate School’s minimum requirements for scores from the Test of English as a Foreign Language (TOEFL) or the International English Language Testing System (IELTS) exam. The Graduate Programs in Life Sciences (GPILS) requires international applicants to provide a transcript evaluation from a NACES member evaluation agency in addition to official, translated transcripts or mark sheets. The deadline for international applicants is April, 15.</w:t>
      </w:r>
    </w:p>
    <w:p>
      <w:pPr>
        <w:pStyle w:val="BodyText"/>
        <w:spacing w:line="249" w:lineRule="auto" w:before="6"/>
        <w:ind w:right="588"/>
      </w:pPr>
      <w:r>
        <w:rPr>
          <w:color w:val="303030"/>
        </w:rPr>
        <w:t>Admission to the program is highly competitive, and acceptances are made as qualified candidates are identified.</w:t>
      </w:r>
    </w:p>
    <w:p>
      <w:pPr>
        <w:pStyle w:val="Heading6"/>
        <w:spacing w:before="184"/>
      </w:pPr>
      <w:r>
        <w:rPr/>
        <w:t>Degree Requirements</w:t>
      </w:r>
    </w:p>
    <w:p>
      <w:pPr>
        <w:pStyle w:val="BodyText"/>
        <w:spacing w:line="249" w:lineRule="auto" w:before="188"/>
        <w:ind w:right="703"/>
      </w:pPr>
      <w:r>
        <w:rPr/>
        <w:t>In the first semester, students participate in an innovative core course, Mechanisms in Biomedical Sciences: From Genes to Disease (GPLS 601), or an online version of this course, Cellular and Molecular Basis of Translational Research (GPLS 600). These courses are supplemented with material in one of the following: Current Topics in Vascular/Stem Cell Biology (GPLS 690), Molecular Neuroscience /Biophysics (GPLS 691), or Current Topics in Genetics/Genomics (GPLS 692).</w:t>
      </w:r>
    </w:p>
    <w:p>
      <w:pPr>
        <w:pStyle w:val="BodyText"/>
        <w:spacing w:line="249" w:lineRule="auto" w:before="189"/>
        <w:ind w:right="748"/>
      </w:pPr>
      <w:r>
        <w:rPr/>
        <w:t>Students in the program also must complete a course in bioethics and in biostatistics. Subsequent coursework and laboratory rotations are tailored to meet each student’s research interests and career goals from the rich opportunities available. Students can pursue a thesis or nonthesis track.</w:t>
      </w:r>
    </w:p>
    <w:p>
      <w:pPr>
        <w:pStyle w:val="BodyText"/>
        <w:spacing w:line="249" w:lineRule="auto" w:before="182"/>
        <w:ind w:right="632"/>
      </w:pPr>
      <w:r>
        <w:rPr/>
        <w:t>Students pursuing an MS degree in the CMBS program must maintain a GPA of 3.0 or better in a total of 30 credit hours. Of the 30 credits, approximately 20 to 25 will be directly from coursework (see below). A minimum of 3, and a maximum of 6, credits are generated from laboratory research rotations (graded as pass/fail) lasting approximately eight to ten weeks each. For students pursuing the thesis MS, one of the rotation labs usually becomes the thesis lab. Selection of courses, rotations, and thesis labs should be in consultation with the program director.</w:t>
      </w:r>
    </w:p>
    <w:p>
      <w:pPr>
        <w:pStyle w:val="BodyText"/>
        <w:spacing w:line="249" w:lineRule="auto" w:before="190"/>
        <w:ind w:right="652"/>
      </w:pPr>
      <w:r>
        <w:rPr/>
        <w:t>For students seeking a thesis MS, a faculty mentor is selected in consultation with the program director. The mentor, who must be a member of the graduate faculty, is responsible for supervising the research.. The thesis defense consists of a public presentation of the thesis work followed by a closed oral examination by the thesis defense committee, which determines whether the student has presented an acceptable thesis.</w:t>
      </w:r>
    </w:p>
    <w:p>
      <w:pPr>
        <w:spacing w:after="0" w:line="249" w:lineRule="auto"/>
        <w:sectPr>
          <w:pgSz w:w="12240" w:h="15840"/>
          <w:pgMar w:header="746" w:footer="0" w:top="1320" w:bottom="280" w:left="880" w:right="300"/>
          <w:cols w:num="2" w:equalWidth="0">
            <w:col w:w="5008" w:space="479"/>
            <w:col w:w="5573"/>
          </w:cols>
        </w:sectPr>
      </w:pPr>
    </w:p>
    <w:p>
      <w:pPr>
        <w:pStyle w:val="BodyText"/>
        <w:spacing w:line="249" w:lineRule="auto" w:before="100"/>
        <w:ind w:right="6391"/>
      </w:pPr>
      <w:r>
        <w:rPr/>
        <w:t>To facilitate success in the program, GPILS offers an optional bridge course in the summer preceding matriculation for students who may be concerned about their academic preparation or transitioning to graduate school.</w:t>
      </w:r>
    </w:p>
    <w:p>
      <w:pPr>
        <w:pStyle w:val="Heading6"/>
        <w:spacing w:before="181"/>
      </w:pPr>
      <w:r>
        <w:rPr/>
        <w:t>Laboratory Rotations</w:t>
      </w:r>
    </w:p>
    <w:p>
      <w:pPr>
        <w:pStyle w:val="BodyText"/>
        <w:spacing w:line="249" w:lineRule="auto" w:before="192"/>
        <w:ind w:left="199" w:right="6120"/>
      </w:pPr>
      <w:r>
        <w:rPr/>
        <w:t>Graduate faculty in many GPLS programs are interested in mentoring CMBS-MS students for rotations and thesis research. To facilitate selection of rotation and/or thesis laboratories, and to ensure student exposure to the range of research opportunities, students attend weekly informal luncheon meetings during the first semester during which members of the graduate faculty give brief presentations describing the research activities of their labs.</w:t>
      </w:r>
    </w:p>
    <w:p>
      <w:pPr>
        <w:pStyle w:val="BodyText"/>
        <w:spacing w:line="249" w:lineRule="auto" w:before="184"/>
        <w:ind w:right="6318"/>
      </w:pPr>
      <w:r>
        <w:rPr/>
        <w:t>In addition, a pilot collaboration has been established between the Edgewood Chemical Biological Center and the GPILS master’s programs. Mentored research in this competitive, paid internship program accrues graduate credit and can become the subject of a master’s degree thesis with GPILS/UMB approval.</w:t>
      </w:r>
    </w:p>
    <w:p>
      <w:pPr>
        <w:pStyle w:val="Heading5"/>
        <w:spacing w:before="179" w:after="15"/>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9"/>
        <w:gridCol w:w="3030"/>
        <w:gridCol w:w="681"/>
      </w:tblGrid>
      <w:tr>
        <w:trPr>
          <w:trHeight w:val="951" w:hRule="atLeast"/>
        </w:trPr>
        <w:tc>
          <w:tcPr>
            <w:tcW w:w="1239" w:type="dxa"/>
          </w:tcPr>
          <w:p>
            <w:pPr>
              <w:pStyle w:val="TableParagraph"/>
              <w:spacing w:line="223" w:lineRule="exact" w:before="0"/>
              <w:ind w:left="93" w:right="92"/>
              <w:jc w:val="center"/>
              <w:rPr>
                <w:sz w:val="20"/>
              </w:rPr>
            </w:pPr>
            <w:r>
              <w:rPr>
                <w:sz w:val="20"/>
              </w:rPr>
              <w:t>GPLS 600</w:t>
            </w:r>
          </w:p>
        </w:tc>
        <w:tc>
          <w:tcPr>
            <w:tcW w:w="3030" w:type="dxa"/>
          </w:tcPr>
          <w:p>
            <w:pPr>
              <w:pStyle w:val="TableParagraph"/>
              <w:spacing w:line="249" w:lineRule="auto" w:before="0"/>
              <w:ind w:left="199" w:right="644"/>
              <w:rPr>
                <w:sz w:val="20"/>
              </w:rPr>
            </w:pPr>
            <w:r>
              <w:rPr>
                <w:sz w:val="20"/>
              </w:rPr>
              <w:t>CELLULAR AND MOLECULAR BASIS OF TRANSLATIONAL</w:t>
            </w:r>
          </w:p>
          <w:p>
            <w:pPr>
              <w:pStyle w:val="TableParagraph"/>
              <w:spacing w:line="219" w:lineRule="exact" w:before="0"/>
              <w:ind w:left="199"/>
              <w:rPr>
                <w:sz w:val="20"/>
              </w:rPr>
            </w:pPr>
            <w:r>
              <w:rPr>
                <w:sz w:val="20"/>
              </w:rPr>
              <w:t>RESEARCH</w:t>
            </w:r>
          </w:p>
        </w:tc>
        <w:tc>
          <w:tcPr>
            <w:tcW w:w="681" w:type="dxa"/>
          </w:tcPr>
          <w:p>
            <w:pPr>
              <w:pStyle w:val="TableParagraph"/>
              <w:spacing w:line="223" w:lineRule="exact" w:before="0"/>
              <w:ind w:right="197"/>
              <w:jc w:val="right"/>
              <w:rPr>
                <w:sz w:val="20"/>
              </w:rPr>
            </w:pPr>
            <w:r>
              <w:rPr>
                <w:w w:val="100"/>
                <w:sz w:val="20"/>
              </w:rPr>
              <w:t>5</w:t>
            </w:r>
          </w:p>
        </w:tc>
      </w:tr>
      <w:tr>
        <w:trPr>
          <w:trHeight w:val="240" w:hRule="atLeast"/>
        </w:trPr>
        <w:tc>
          <w:tcPr>
            <w:tcW w:w="1239" w:type="dxa"/>
          </w:tcPr>
          <w:p>
            <w:pPr>
              <w:pStyle w:val="TableParagraph"/>
              <w:spacing w:before="0"/>
              <w:rPr>
                <w:sz w:val="16"/>
              </w:rPr>
            </w:pPr>
          </w:p>
        </w:tc>
        <w:tc>
          <w:tcPr>
            <w:tcW w:w="3030" w:type="dxa"/>
          </w:tcPr>
          <w:p>
            <w:pPr>
              <w:pStyle w:val="TableParagraph"/>
              <w:spacing w:line="219" w:lineRule="exact"/>
              <w:ind w:left="199"/>
              <w:rPr>
                <w:sz w:val="20"/>
              </w:rPr>
            </w:pPr>
            <w:r>
              <w:rPr>
                <w:sz w:val="20"/>
              </w:rPr>
              <w:t>Or</w:t>
            </w:r>
          </w:p>
        </w:tc>
        <w:tc>
          <w:tcPr>
            <w:tcW w:w="681" w:type="dxa"/>
          </w:tcPr>
          <w:p>
            <w:pPr>
              <w:pStyle w:val="TableParagraph"/>
              <w:spacing w:before="0"/>
              <w:rPr>
                <w:sz w:val="16"/>
              </w:rPr>
            </w:pPr>
          </w:p>
        </w:tc>
      </w:tr>
      <w:tr>
        <w:trPr>
          <w:trHeight w:val="711" w:hRule="atLeast"/>
        </w:trPr>
        <w:tc>
          <w:tcPr>
            <w:tcW w:w="1239" w:type="dxa"/>
          </w:tcPr>
          <w:p>
            <w:pPr>
              <w:pStyle w:val="TableParagraph"/>
              <w:ind w:left="93" w:right="92"/>
              <w:jc w:val="center"/>
              <w:rPr>
                <w:sz w:val="20"/>
              </w:rPr>
            </w:pPr>
            <w:r>
              <w:rPr>
                <w:sz w:val="20"/>
              </w:rPr>
              <w:t>GPLS 601</w:t>
            </w:r>
          </w:p>
        </w:tc>
        <w:tc>
          <w:tcPr>
            <w:tcW w:w="3030" w:type="dxa"/>
          </w:tcPr>
          <w:p>
            <w:pPr>
              <w:pStyle w:val="TableParagraph"/>
              <w:spacing w:line="249" w:lineRule="auto"/>
              <w:ind w:left="199" w:right="505"/>
              <w:rPr>
                <w:sz w:val="20"/>
              </w:rPr>
            </w:pPr>
            <w:r>
              <w:rPr>
                <w:sz w:val="20"/>
              </w:rPr>
              <w:t>MECHANISMS IN BIOMEDICAL SCIENCES:</w:t>
            </w:r>
          </w:p>
          <w:p>
            <w:pPr>
              <w:pStyle w:val="TableParagraph"/>
              <w:spacing w:line="210" w:lineRule="exact" w:before="2"/>
              <w:ind w:left="199"/>
              <w:rPr>
                <w:sz w:val="20"/>
              </w:rPr>
            </w:pPr>
            <w:r>
              <w:rPr>
                <w:sz w:val="20"/>
              </w:rPr>
              <w:t>FROM GENES TO DISEASE</w:t>
            </w:r>
          </w:p>
        </w:tc>
        <w:tc>
          <w:tcPr>
            <w:tcW w:w="681" w:type="dxa"/>
          </w:tcPr>
          <w:p>
            <w:pPr>
              <w:pStyle w:val="TableParagraph"/>
              <w:ind w:right="197"/>
              <w:jc w:val="right"/>
              <w:rPr>
                <w:sz w:val="20"/>
              </w:rPr>
            </w:pPr>
            <w:r>
              <w:rPr>
                <w:w w:val="100"/>
                <w:sz w:val="20"/>
              </w:rPr>
              <w:t>8</w:t>
            </w:r>
          </w:p>
        </w:tc>
      </w:tr>
    </w:tbl>
    <w:p>
      <w:pPr>
        <w:pStyle w:val="Heading5"/>
        <w:spacing w:before="178" w:after="15"/>
      </w:pPr>
      <w:r>
        <w:rPr/>
        <w:t>one of the following:</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1"/>
        <w:gridCol w:w="2880"/>
        <w:gridCol w:w="818"/>
      </w:tblGrid>
      <w:tr>
        <w:trPr>
          <w:trHeight w:val="711" w:hRule="atLeast"/>
        </w:trPr>
        <w:tc>
          <w:tcPr>
            <w:tcW w:w="1251" w:type="dxa"/>
          </w:tcPr>
          <w:p>
            <w:pPr>
              <w:pStyle w:val="TableParagraph"/>
              <w:spacing w:line="223" w:lineRule="exact" w:before="0"/>
              <w:ind w:left="181" w:right="189"/>
              <w:jc w:val="center"/>
              <w:rPr>
                <w:sz w:val="20"/>
              </w:rPr>
            </w:pPr>
            <w:r>
              <w:rPr>
                <w:sz w:val="20"/>
              </w:rPr>
              <w:t>GPLS 690</w:t>
            </w:r>
          </w:p>
        </w:tc>
        <w:tc>
          <w:tcPr>
            <w:tcW w:w="2880" w:type="dxa"/>
          </w:tcPr>
          <w:p>
            <w:pPr>
              <w:pStyle w:val="TableParagraph"/>
              <w:spacing w:line="249" w:lineRule="auto" w:before="0"/>
              <w:ind w:left="211" w:right="504"/>
              <w:rPr>
                <w:sz w:val="20"/>
              </w:rPr>
            </w:pPr>
            <w:r>
              <w:rPr>
                <w:sz w:val="20"/>
              </w:rPr>
              <w:t>CURRENT TOPICS IN VASCULAR AND STEM</w:t>
            </w:r>
          </w:p>
          <w:p>
            <w:pPr>
              <w:pStyle w:val="TableParagraph"/>
              <w:spacing w:line="219" w:lineRule="exact" w:before="0"/>
              <w:ind w:left="211"/>
              <w:rPr>
                <w:sz w:val="20"/>
              </w:rPr>
            </w:pPr>
            <w:r>
              <w:rPr>
                <w:sz w:val="20"/>
              </w:rPr>
              <w:t>CELL BIOLOGY</w:t>
            </w:r>
          </w:p>
        </w:tc>
        <w:tc>
          <w:tcPr>
            <w:tcW w:w="818" w:type="dxa"/>
          </w:tcPr>
          <w:p>
            <w:pPr>
              <w:pStyle w:val="TableParagraph"/>
              <w:spacing w:line="223" w:lineRule="exact" w:before="0"/>
              <w:ind w:right="196"/>
              <w:jc w:val="right"/>
              <w:rPr>
                <w:sz w:val="20"/>
              </w:rPr>
            </w:pPr>
            <w:r>
              <w:rPr>
                <w:w w:val="100"/>
                <w:sz w:val="20"/>
              </w:rPr>
              <w:t>1</w:t>
            </w:r>
          </w:p>
        </w:tc>
      </w:tr>
      <w:tr>
        <w:trPr>
          <w:trHeight w:val="720" w:hRule="atLeast"/>
        </w:trPr>
        <w:tc>
          <w:tcPr>
            <w:tcW w:w="1251" w:type="dxa"/>
          </w:tcPr>
          <w:p>
            <w:pPr>
              <w:pStyle w:val="TableParagraph"/>
              <w:ind w:left="181" w:right="189"/>
              <w:jc w:val="center"/>
              <w:rPr>
                <w:sz w:val="20"/>
              </w:rPr>
            </w:pPr>
            <w:r>
              <w:rPr>
                <w:sz w:val="20"/>
              </w:rPr>
              <w:t>GPLS 691</w:t>
            </w:r>
          </w:p>
        </w:tc>
        <w:tc>
          <w:tcPr>
            <w:tcW w:w="2880" w:type="dxa"/>
          </w:tcPr>
          <w:p>
            <w:pPr>
              <w:pStyle w:val="TableParagraph"/>
              <w:spacing w:line="249" w:lineRule="auto"/>
              <w:ind w:left="211" w:right="643"/>
              <w:rPr>
                <w:sz w:val="20"/>
              </w:rPr>
            </w:pPr>
            <w:r>
              <w:rPr>
                <w:sz w:val="20"/>
              </w:rPr>
              <w:t>MOLECULAR NEUROSCIENCE AND</w:t>
            </w:r>
          </w:p>
          <w:p>
            <w:pPr>
              <w:pStyle w:val="TableParagraph"/>
              <w:spacing w:line="219" w:lineRule="exact" w:before="2"/>
              <w:ind w:left="211"/>
              <w:rPr>
                <w:sz w:val="20"/>
              </w:rPr>
            </w:pPr>
            <w:r>
              <w:rPr>
                <w:sz w:val="20"/>
              </w:rPr>
              <w:t>BIOPHYSICS</w:t>
            </w:r>
          </w:p>
        </w:tc>
        <w:tc>
          <w:tcPr>
            <w:tcW w:w="818" w:type="dxa"/>
          </w:tcPr>
          <w:p>
            <w:pPr>
              <w:pStyle w:val="TableParagraph"/>
              <w:ind w:right="196"/>
              <w:jc w:val="right"/>
              <w:rPr>
                <w:sz w:val="20"/>
              </w:rPr>
            </w:pPr>
            <w:r>
              <w:rPr>
                <w:w w:val="100"/>
                <w:sz w:val="20"/>
              </w:rPr>
              <w:t>1</w:t>
            </w:r>
          </w:p>
        </w:tc>
      </w:tr>
      <w:tr>
        <w:trPr>
          <w:trHeight w:val="711" w:hRule="atLeast"/>
        </w:trPr>
        <w:tc>
          <w:tcPr>
            <w:tcW w:w="1251" w:type="dxa"/>
          </w:tcPr>
          <w:p>
            <w:pPr>
              <w:pStyle w:val="TableParagraph"/>
              <w:ind w:left="181" w:right="189"/>
              <w:jc w:val="center"/>
              <w:rPr>
                <w:sz w:val="20"/>
              </w:rPr>
            </w:pPr>
            <w:r>
              <w:rPr>
                <w:sz w:val="20"/>
              </w:rPr>
              <w:t>GPLS 692</w:t>
            </w:r>
          </w:p>
        </w:tc>
        <w:tc>
          <w:tcPr>
            <w:tcW w:w="2880" w:type="dxa"/>
          </w:tcPr>
          <w:p>
            <w:pPr>
              <w:pStyle w:val="TableParagraph"/>
              <w:spacing w:line="249" w:lineRule="auto"/>
              <w:ind w:left="211" w:right="715"/>
              <w:rPr>
                <w:sz w:val="20"/>
              </w:rPr>
            </w:pPr>
            <w:r>
              <w:rPr>
                <w:sz w:val="20"/>
              </w:rPr>
              <w:t>CURRENT TOPICS IN GENETICS AND</w:t>
            </w:r>
          </w:p>
          <w:p>
            <w:pPr>
              <w:pStyle w:val="TableParagraph"/>
              <w:spacing w:line="210" w:lineRule="exact" w:before="2"/>
              <w:ind w:left="211"/>
              <w:rPr>
                <w:sz w:val="20"/>
              </w:rPr>
            </w:pPr>
            <w:r>
              <w:rPr>
                <w:sz w:val="20"/>
              </w:rPr>
              <w:t>GENOMICS</w:t>
            </w:r>
          </w:p>
        </w:tc>
        <w:tc>
          <w:tcPr>
            <w:tcW w:w="818" w:type="dxa"/>
          </w:tcPr>
          <w:p>
            <w:pPr>
              <w:pStyle w:val="TableParagraph"/>
              <w:ind w:right="196"/>
              <w:jc w:val="right"/>
              <w:rPr>
                <w:sz w:val="20"/>
              </w:rPr>
            </w:pPr>
            <w:r>
              <w:rPr>
                <w:w w:val="100"/>
                <w:sz w:val="20"/>
              </w:rPr>
              <w:t>1</w:t>
            </w:r>
          </w:p>
        </w:tc>
      </w:tr>
    </w:tbl>
    <w:p>
      <w:pPr>
        <w:pStyle w:val="Heading5"/>
        <w:spacing w:before="182" w:after="16"/>
      </w:pPr>
      <w:r>
        <w:rPr/>
        <w:t>and:</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2"/>
        <w:gridCol w:w="2775"/>
        <w:gridCol w:w="935"/>
      </w:tblGrid>
      <w:tr>
        <w:trPr>
          <w:trHeight w:val="231" w:hRule="atLeast"/>
        </w:trPr>
        <w:tc>
          <w:tcPr>
            <w:tcW w:w="1242" w:type="dxa"/>
          </w:tcPr>
          <w:p>
            <w:pPr>
              <w:pStyle w:val="TableParagraph"/>
              <w:spacing w:line="212" w:lineRule="exact" w:before="0"/>
              <w:ind w:left="145" w:right="159"/>
              <w:jc w:val="center"/>
              <w:rPr>
                <w:sz w:val="20"/>
              </w:rPr>
            </w:pPr>
            <w:r>
              <w:rPr>
                <w:sz w:val="20"/>
              </w:rPr>
              <w:t>CIPP 901</w:t>
            </w:r>
          </w:p>
        </w:tc>
        <w:tc>
          <w:tcPr>
            <w:tcW w:w="2775" w:type="dxa"/>
          </w:tcPr>
          <w:p>
            <w:pPr>
              <w:pStyle w:val="TableParagraph"/>
              <w:spacing w:line="212" w:lineRule="exact" w:before="0"/>
              <w:ind w:left="201"/>
              <w:rPr>
                <w:sz w:val="20"/>
              </w:rPr>
            </w:pPr>
            <w:r>
              <w:rPr>
                <w:sz w:val="20"/>
              </w:rPr>
              <w:t>RESEARCH ETHICS</w:t>
            </w:r>
          </w:p>
        </w:tc>
        <w:tc>
          <w:tcPr>
            <w:tcW w:w="935" w:type="dxa"/>
          </w:tcPr>
          <w:p>
            <w:pPr>
              <w:pStyle w:val="TableParagraph"/>
              <w:spacing w:line="212" w:lineRule="exact" w:before="0"/>
              <w:ind w:right="199"/>
              <w:jc w:val="right"/>
              <w:rPr>
                <w:sz w:val="20"/>
              </w:rPr>
            </w:pPr>
            <w:r>
              <w:rPr>
                <w:w w:val="100"/>
                <w:sz w:val="20"/>
              </w:rPr>
              <w:t>1</w:t>
            </w:r>
          </w:p>
        </w:tc>
      </w:tr>
      <w:tr>
        <w:trPr>
          <w:trHeight w:val="471" w:hRule="atLeast"/>
        </w:trPr>
        <w:tc>
          <w:tcPr>
            <w:tcW w:w="1242" w:type="dxa"/>
          </w:tcPr>
          <w:p>
            <w:pPr>
              <w:pStyle w:val="TableParagraph"/>
              <w:ind w:left="158" w:right="159"/>
              <w:jc w:val="center"/>
              <w:rPr>
                <w:sz w:val="20"/>
              </w:rPr>
            </w:pPr>
            <w:r>
              <w:rPr>
                <w:sz w:val="20"/>
              </w:rPr>
              <w:t>GPLS 630</w:t>
            </w:r>
          </w:p>
        </w:tc>
        <w:tc>
          <w:tcPr>
            <w:tcW w:w="2775" w:type="dxa"/>
          </w:tcPr>
          <w:p>
            <w:pPr>
              <w:pStyle w:val="TableParagraph"/>
              <w:ind w:left="201"/>
              <w:rPr>
                <w:sz w:val="20"/>
              </w:rPr>
            </w:pPr>
            <w:r>
              <w:rPr>
                <w:sz w:val="20"/>
              </w:rPr>
              <w:t>FUNDAMENTALS OF</w:t>
            </w:r>
          </w:p>
          <w:p>
            <w:pPr>
              <w:pStyle w:val="TableParagraph"/>
              <w:spacing w:line="210" w:lineRule="exact" w:before="10"/>
              <w:ind w:left="201"/>
              <w:rPr>
                <w:sz w:val="20"/>
              </w:rPr>
            </w:pPr>
            <w:r>
              <w:rPr>
                <w:sz w:val="20"/>
              </w:rPr>
              <w:t>BIOSTATISTICS</w:t>
            </w:r>
          </w:p>
        </w:tc>
        <w:tc>
          <w:tcPr>
            <w:tcW w:w="935" w:type="dxa"/>
          </w:tcPr>
          <w:p>
            <w:pPr>
              <w:pStyle w:val="TableParagraph"/>
              <w:ind w:right="199"/>
              <w:jc w:val="right"/>
              <w:rPr>
                <w:sz w:val="20"/>
              </w:rPr>
            </w:pPr>
            <w:r>
              <w:rPr>
                <w:w w:val="100"/>
                <w:sz w:val="20"/>
              </w:rPr>
              <w:t>3</w:t>
            </w:r>
          </w:p>
        </w:tc>
      </w:tr>
    </w:tbl>
    <w:p>
      <w:pPr>
        <w:pStyle w:val="BodyText"/>
        <w:spacing w:line="249" w:lineRule="auto" w:before="187"/>
        <w:ind w:right="6391"/>
      </w:pPr>
      <w:r>
        <w:rPr/>
        <w:t>Details are given in the Course Descriptions part of this catalog.</w:t>
      </w:r>
    </w:p>
    <w:p>
      <w:pPr>
        <w:spacing w:after="0" w:line="249" w:lineRule="auto"/>
        <w:sectPr>
          <w:pgSz w:w="12240" w:h="15840"/>
          <w:pgMar w:header="746" w:footer="0" w:top="1320" w:bottom="280" w:left="880" w:right="300"/>
        </w:sectPr>
      </w:pPr>
    </w:p>
    <w:p>
      <w:pPr>
        <w:pStyle w:val="Heading3"/>
      </w:pPr>
      <w:bookmarkStart w:name="Epidemiology and Human Genetics" w:id="33"/>
      <w:bookmarkEnd w:id="33"/>
      <w:r>
        <w:rPr/>
      </w:r>
      <w:bookmarkStart w:name="_bookmark16" w:id="34"/>
      <w:bookmarkEnd w:id="34"/>
      <w:r>
        <w:rPr/>
      </w:r>
      <w:r>
        <w:rPr/>
        <w:t>Epidemiology and Human Genetics</w:t>
      </w:r>
    </w:p>
    <w:p>
      <w:pPr>
        <w:spacing w:line="427" w:lineRule="auto" w:before="171"/>
        <w:ind w:left="200" w:right="902" w:firstLine="0"/>
        <w:jc w:val="left"/>
        <w:rPr>
          <w:b/>
          <w:sz w:val="20"/>
        </w:rPr>
      </w:pPr>
      <w:r>
        <w:rPr>
          <w:b/>
          <w:sz w:val="22"/>
        </w:rPr>
        <w:t>Graduate Program in Life Sciences </w:t>
      </w:r>
      <w:hyperlink r:id="rId48">
        <w:r>
          <w:rPr>
            <w:color w:val="0000FF"/>
            <w:sz w:val="20"/>
            <w:u w:val="single" w:color="0000FF"/>
          </w:rPr>
          <w:t>http://lifesciences.umaryland.edu/epidemiology/</w:t>
        </w:r>
      </w:hyperlink>
      <w:r>
        <w:rPr>
          <w:color w:val="0000FF"/>
          <w:sz w:val="20"/>
        </w:rPr>
        <w:t> </w:t>
      </w:r>
      <w:r>
        <w:rPr>
          <w:b/>
          <w:sz w:val="20"/>
        </w:rPr>
        <w:t>Degrees Offered</w:t>
      </w:r>
    </w:p>
    <w:p>
      <w:pPr>
        <w:pStyle w:val="BodyText"/>
        <w:spacing w:before="12"/>
      </w:pPr>
      <w:r>
        <w:rPr/>
        <w:t>PhD, PhD/MD, MS, MS/MD, Certificate</w:t>
      </w:r>
    </w:p>
    <w:p>
      <w:pPr>
        <w:pStyle w:val="Heading6"/>
        <w:spacing w:before="188"/>
      </w:pPr>
      <w:r>
        <w:rPr/>
        <w:t>Program Description</w:t>
      </w:r>
    </w:p>
    <w:p>
      <w:pPr>
        <w:pStyle w:val="BodyText"/>
        <w:spacing w:line="249" w:lineRule="auto" w:before="192"/>
        <w:ind w:left="199" w:right="38"/>
      </w:pPr>
      <w:r>
        <w:rPr/>
        <w:t>The graduate program in Epidemiology and Human Genetics </w:t>
      </w:r>
      <w:r>
        <w:rPr>
          <w:spacing w:val="-3"/>
        </w:rPr>
        <w:t>(EHG) </w:t>
      </w:r>
      <w:r>
        <w:rPr/>
        <w:t>within GPILS at the </w:t>
      </w:r>
      <w:r>
        <w:rPr>
          <w:spacing w:val="-3"/>
        </w:rPr>
        <w:t>School </w:t>
      </w:r>
      <w:r>
        <w:rPr/>
        <w:t>of Medicine offers a diverse array of integrated opportunities to </w:t>
      </w:r>
      <w:r>
        <w:rPr>
          <w:spacing w:val="-3"/>
        </w:rPr>
        <w:t>develop </w:t>
      </w:r>
      <w:r>
        <w:rPr/>
        <w:t>skillsfor discovering how population, molecular, and genetic variations relate to health and disease. These skills are essential </w:t>
      </w:r>
      <w:r>
        <w:rPr>
          <w:spacing w:val="-4"/>
        </w:rPr>
        <w:t>for </w:t>
      </w:r>
      <w:r>
        <w:rPr/>
        <w:t>translating new basic research findings into clinical practice and applying them to public</w:t>
      </w:r>
      <w:r>
        <w:rPr>
          <w:spacing w:val="-17"/>
        </w:rPr>
        <w:t> </w:t>
      </w:r>
      <w:r>
        <w:rPr/>
        <w:t>health.</w:t>
      </w:r>
    </w:p>
    <w:p>
      <w:pPr>
        <w:pStyle w:val="BodyText"/>
        <w:spacing w:line="249" w:lineRule="auto" w:before="5"/>
        <w:ind w:left="199" w:right="114"/>
      </w:pPr>
      <w:r>
        <w:rPr/>
        <w:t>New findings from epidemiology and human genetics research consistently make the news. Students in this program become leaders in improving the health of local, regional, and global populations. The program combines traditional areas of biomedical, genetic, clinical, and community studies with opportunities to learn and apply observational, biostatistical, molecular, and genomic tools in their investigations.</w:t>
      </w:r>
    </w:p>
    <w:p>
      <w:pPr>
        <w:pStyle w:val="BodyText"/>
        <w:spacing w:line="249" w:lineRule="auto" w:before="184"/>
        <w:ind w:left="199" w:right="120"/>
      </w:pPr>
      <w:r>
        <w:rPr/>
        <w:t>The PhD program consists of three tracks: epidemiology, molecular epidemiology, and human genetics, each with a tailored program of study. There are two MS degrees, the MS in Epidemiology and Clinical Research with two tracks (one in epidemiology and one in clinical research) and the MS in Human Genetics. Dual-degree programs enable students to earn an MS degree in combination with one of several PhD programs.</w:t>
      </w:r>
    </w:p>
    <w:p>
      <w:pPr>
        <w:pStyle w:val="BodyText"/>
        <w:spacing w:line="249" w:lineRule="auto" w:before="188"/>
        <w:ind w:right="39" w:hanging="1"/>
      </w:pPr>
      <w:r>
        <w:rPr/>
        <w:t>The </w:t>
      </w:r>
      <w:r>
        <w:rPr>
          <w:b/>
        </w:rPr>
        <w:t>PhD in Epidemiology and Human Genetics (Epidemiology Track) </w:t>
      </w:r>
      <w:r>
        <w:rPr/>
        <w:t>allows students to acquire advanced knowledge, skills, and experience in completing independent epidemiological research in a biomedical setting. This track has a strong quantitative focus, necessary for providing students with the tools needed to conduct world-class research on epidemiologic topics and to participate in multidisciplinary research in a broad range of specialties.</w:t>
      </w:r>
    </w:p>
    <w:p>
      <w:pPr>
        <w:pStyle w:val="BodyText"/>
        <w:spacing w:line="249" w:lineRule="auto" w:before="184"/>
        <w:ind w:right="39"/>
      </w:pPr>
      <w:r>
        <w:rPr/>
        <w:t>The </w:t>
      </w:r>
      <w:r>
        <w:rPr>
          <w:b/>
          <w:spacing w:val="-2"/>
        </w:rPr>
        <w:t>PhD </w:t>
      </w:r>
      <w:r>
        <w:rPr>
          <w:b/>
        </w:rPr>
        <w:t>in Epidemiology and </w:t>
      </w:r>
      <w:r>
        <w:rPr>
          <w:b/>
          <w:spacing w:val="-3"/>
        </w:rPr>
        <w:t>Human </w:t>
      </w:r>
      <w:r>
        <w:rPr>
          <w:b/>
        </w:rPr>
        <w:t>Genetics (Molecular Epidemiology Track)  </w:t>
      </w:r>
      <w:r>
        <w:rPr/>
        <w:t>is designed </w:t>
      </w:r>
      <w:r>
        <w:rPr>
          <w:spacing w:val="-5"/>
        </w:rPr>
        <w:t>for </w:t>
      </w:r>
      <w:r>
        <w:rPr/>
        <w:t>students who wish to undertake research that combines molecular, genetic, and epidemiologic techniques and to apply these technologies to the understanding </w:t>
      </w:r>
      <w:r>
        <w:rPr>
          <w:spacing w:val="-3"/>
        </w:rPr>
        <w:t>of </w:t>
      </w:r>
      <w:r>
        <w:rPr/>
        <w:t>risk factors </w:t>
      </w:r>
      <w:r>
        <w:rPr>
          <w:spacing w:val="-4"/>
        </w:rPr>
        <w:t>for </w:t>
      </w:r>
      <w:r>
        <w:rPr/>
        <w:t>disease transmission </w:t>
      </w:r>
      <w:r>
        <w:rPr>
          <w:spacing w:val="-5"/>
        </w:rPr>
        <w:t>or </w:t>
      </w:r>
      <w:r>
        <w:rPr/>
        <w:t>acquisition. Students in this track are provided with a solid knowledge base in epidemiology and biostatistics while gaining the</w:t>
      </w:r>
      <w:r>
        <w:rPr>
          <w:spacing w:val="-24"/>
        </w:rPr>
        <w:t> </w:t>
      </w:r>
      <w:r>
        <w:rPr/>
        <w:t>laboratory</w:t>
      </w:r>
    </w:p>
    <w:p>
      <w:pPr>
        <w:pStyle w:val="BodyText"/>
        <w:spacing w:line="249" w:lineRule="auto" w:before="96"/>
        <w:ind w:right="727"/>
      </w:pPr>
      <w:r>
        <w:rPr/>
        <w:br w:type="column"/>
      </w:r>
      <w:r>
        <w:rPr/>
        <w:t>and informatics skills needed to incorporate genomic data into their research.</w:t>
      </w:r>
    </w:p>
    <w:p>
      <w:pPr>
        <w:pStyle w:val="BodyText"/>
        <w:spacing w:line="249" w:lineRule="auto" w:before="179"/>
        <w:ind w:right="628"/>
      </w:pPr>
      <w:r>
        <w:rPr/>
        <w:t>The </w:t>
      </w:r>
      <w:r>
        <w:rPr>
          <w:b/>
          <w:spacing w:val="-2"/>
        </w:rPr>
        <w:t>PhD </w:t>
      </w:r>
      <w:r>
        <w:rPr>
          <w:b/>
        </w:rPr>
        <w:t>in Epidemiology and </w:t>
      </w:r>
      <w:r>
        <w:rPr>
          <w:b/>
          <w:spacing w:val="-3"/>
        </w:rPr>
        <w:t>Human </w:t>
      </w:r>
      <w:r>
        <w:rPr>
          <w:b/>
        </w:rPr>
        <w:t>Genetics (Human Genetics Track) </w:t>
      </w:r>
      <w:r>
        <w:rPr/>
        <w:t>provides broad training </w:t>
      </w:r>
      <w:r>
        <w:rPr>
          <w:spacing w:val="-5"/>
        </w:rPr>
        <w:t>for </w:t>
      </w:r>
      <w:r>
        <w:rPr/>
        <w:t>students wanting to understand human genetic variation and its relation to health and disease. Students receive an overview of human genetics (molecular, biochemical, clinical, cytogenetics, and genetic epidemiology/genomics) and then specialize in their areas </w:t>
      </w:r>
      <w:r>
        <w:rPr>
          <w:spacing w:val="-3"/>
        </w:rPr>
        <w:t>of</w:t>
      </w:r>
      <w:r>
        <w:rPr>
          <w:spacing w:val="-1"/>
        </w:rPr>
        <w:t> </w:t>
      </w:r>
      <w:r>
        <w:rPr/>
        <w:t>interest.</w:t>
      </w:r>
    </w:p>
    <w:p>
      <w:pPr>
        <w:pStyle w:val="BodyText"/>
        <w:spacing w:line="249" w:lineRule="auto" w:before="187"/>
        <w:ind w:right="691"/>
      </w:pPr>
      <w:r>
        <w:rPr/>
        <w:t>The </w:t>
      </w:r>
      <w:r>
        <w:rPr>
          <w:b/>
        </w:rPr>
        <w:t>MS in Epidemiology and Clinical Research (Epidemiology Track) </w:t>
      </w:r>
      <w:r>
        <w:rPr/>
        <w:t>is designed to offer an MS degree to students pursuing a PhD in Gerontology or in Pharmaceutical Health Services Research as part of our dual-degree programs. Also, students wishing to leave the Epidemiology and Human Genetics PhD program can opt to get the MS in lieu of their PhD.</w:t>
      </w:r>
    </w:p>
    <w:p>
      <w:pPr>
        <w:pStyle w:val="BodyText"/>
        <w:spacing w:line="249" w:lineRule="auto" w:before="183"/>
        <w:ind w:right="800"/>
      </w:pPr>
      <w:r>
        <w:rPr/>
        <w:t>The </w:t>
      </w:r>
      <w:r>
        <w:rPr>
          <w:b/>
        </w:rPr>
        <w:t>MS in Epidemiology and Clinical Research (Clinical Research Track) </w:t>
      </w:r>
      <w:r>
        <w:rPr/>
        <w:t>is designed specifically to meet the needs of the clinician or clinician-in-training by providing a combination of coursework and research experiences needed for a successful career in clinical investigation. Students may select from multiple concentration areas: epidemiologic research, patient- oriented research, outcomes/health services research, human genetics, and research ethics.</w:t>
      </w:r>
    </w:p>
    <w:p>
      <w:pPr>
        <w:pStyle w:val="BodyText"/>
        <w:spacing w:line="249" w:lineRule="auto" w:before="189"/>
        <w:ind w:right="683" w:hanging="1"/>
      </w:pPr>
      <w:r>
        <w:rPr/>
        <w:t>The </w:t>
      </w:r>
      <w:r>
        <w:rPr>
          <w:b/>
        </w:rPr>
        <w:t>Certificate in Clinical Research </w:t>
      </w:r>
      <w:r>
        <w:rPr/>
        <w:t>is designed specifically to meet the needs of clinicians and scientists who wish to work in clinical research and often need additional didactic training to gain analytic skills that are not covered in their health professional or graduate education. Many faculty and fellows are not able to take the entire MS in Clinical Research track but would like evidence that they have successfully completed training in clinical research. This 12-credit certificate in clinical research program provides training in the core competencies of clinical research, including study design, biostatistics, data management, scientific communication, and the ethical, legal, and regulatory issues in clinical research.</w:t>
      </w:r>
    </w:p>
    <w:p>
      <w:pPr>
        <w:pStyle w:val="Heading6"/>
        <w:spacing w:before="188"/>
      </w:pPr>
      <w:r>
        <w:rPr/>
        <w:t>Program Admission</w:t>
      </w:r>
    </w:p>
    <w:p>
      <w:pPr>
        <w:pStyle w:val="BodyText"/>
        <w:spacing w:line="249" w:lineRule="auto" w:before="192"/>
        <w:ind w:right="655"/>
      </w:pPr>
      <w:r>
        <w:rPr>
          <w:color w:val="303030"/>
        </w:rPr>
        <w:t>Degree-seeking students are admitted into the program during the fall semester only, and the Graduate School must receive PhD application materials by December 1 for Priority Consideration. The regular PhD. deadline is January 15 and MS applications by February 15 (March 1 for internal candidates) of the year in which the student intends to enroll. Graduate Record Examinations (GREs) are mandatory; Medical College Admission Test scores</w:t>
      </w:r>
    </w:p>
    <w:p>
      <w:pPr>
        <w:spacing w:after="0" w:line="249" w:lineRule="auto"/>
        <w:sectPr>
          <w:pgSz w:w="12240" w:h="15840"/>
          <w:pgMar w:header="746" w:footer="0" w:top="1320" w:bottom="280" w:left="880" w:right="300"/>
          <w:cols w:num="2" w:equalWidth="0">
            <w:col w:w="4988" w:space="498"/>
            <w:col w:w="5574"/>
          </w:cols>
        </w:sectPr>
      </w:pPr>
    </w:p>
    <w:p>
      <w:pPr>
        <w:pStyle w:val="BodyText"/>
        <w:spacing w:line="249" w:lineRule="auto" w:before="100"/>
        <w:ind w:right="38"/>
      </w:pPr>
      <w:r>
        <w:rPr>
          <w:color w:val="303030"/>
        </w:rPr>
        <w:t>may replace </w:t>
      </w:r>
      <w:r>
        <w:rPr>
          <w:color w:val="303030"/>
          <w:spacing w:val="-3"/>
        </w:rPr>
        <w:t>GRE </w:t>
      </w:r>
      <w:r>
        <w:rPr>
          <w:color w:val="303030"/>
        </w:rPr>
        <w:t>scores for physician applicants. </w:t>
      </w:r>
      <w:r>
        <w:rPr>
          <w:color w:val="303030"/>
          <w:spacing w:val="-3"/>
        </w:rPr>
        <w:t>In </w:t>
      </w:r>
      <w:r>
        <w:rPr>
          <w:color w:val="303030"/>
        </w:rPr>
        <w:t>addition to meeting the minimum requirements </w:t>
      </w:r>
      <w:r>
        <w:rPr>
          <w:color w:val="303030"/>
          <w:spacing w:val="-3"/>
        </w:rPr>
        <w:t>of </w:t>
      </w:r>
      <w:r>
        <w:rPr>
          <w:color w:val="303030"/>
        </w:rPr>
        <w:t>the Graduate </w:t>
      </w:r>
      <w:r>
        <w:rPr>
          <w:color w:val="303030"/>
          <w:spacing w:val="-2"/>
        </w:rPr>
        <w:t>School </w:t>
      </w:r>
      <w:r>
        <w:rPr>
          <w:color w:val="303030"/>
        </w:rPr>
        <w:t>and the Graduate Program in Life Sciences (GPILS), applicants should have completed coursework in biology relevant to understanding health and disease processes, and college algebra. The program evaluates each applicant individually with attention to areas </w:t>
      </w:r>
      <w:r>
        <w:rPr>
          <w:color w:val="303030"/>
          <w:spacing w:val="-3"/>
        </w:rPr>
        <w:t>of </w:t>
      </w:r>
      <w:r>
        <w:rPr>
          <w:color w:val="303030"/>
        </w:rPr>
        <w:t>strength that relate to the skills and background necessary to succeed in graduate study in epidemiology and human</w:t>
      </w:r>
      <w:r>
        <w:rPr>
          <w:color w:val="303030"/>
          <w:spacing w:val="-2"/>
        </w:rPr>
        <w:t> </w:t>
      </w:r>
      <w:r>
        <w:rPr>
          <w:color w:val="303030"/>
        </w:rPr>
        <w:t>genetics.</w:t>
      </w:r>
    </w:p>
    <w:p>
      <w:pPr>
        <w:pStyle w:val="Heading6"/>
        <w:spacing w:before="185"/>
      </w:pPr>
      <w:r>
        <w:rPr/>
        <w:t>Degree Requirements</w:t>
      </w:r>
    </w:p>
    <w:p>
      <w:pPr>
        <w:pStyle w:val="BodyText"/>
        <w:spacing w:line="249" w:lineRule="auto" w:before="192"/>
        <w:ind w:right="82"/>
      </w:pPr>
      <w:r>
        <w:rPr/>
        <w:t>Doctoral students in the human genetics track are required to take 32 course credits. The doctoral degree in the epidemiology and molecular epidemiology tracks requires up to 44 course credits, depending on the student’s research interests and previously completed coursework. Students may need to take additional coursework as background preparation or in preparation for an area of specialization. PhD candidates must successfully complete a minimum of 12 credits of doctoral dissertation research.</w:t>
      </w:r>
    </w:p>
    <w:p>
      <w:pPr>
        <w:pStyle w:val="BodyText"/>
        <w:spacing w:line="249" w:lineRule="auto" w:before="184"/>
        <w:ind w:right="198"/>
      </w:pPr>
      <w:r>
        <w:rPr/>
        <w:t>The master’s degree for the epidemiology and clinical research track requires a total of 30 credits. A thesis is optional for students in this track; however, students who opt out of the thesis must complete Research Practicum I and II.</w:t>
      </w:r>
    </w:p>
    <w:p>
      <w:pPr>
        <w:pStyle w:val="Heading5"/>
        <w:spacing w:before="179"/>
      </w:pPr>
      <w:r>
        <w:rPr/>
        <w:t>Required Courses: PhD Epidemiology Track</w:t>
      </w:r>
    </w:p>
    <w:p>
      <w:pPr>
        <w:pStyle w:val="BodyText"/>
        <w:spacing w:before="3"/>
        <w:ind w:left="0"/>
        <w:rPr>
          <w:sz w:val="9"/>
        </w:rPr>
      </w:pPr>
      <w:r>
        <w:rPr/>
        <w:br w:type="column"/>
      </w:r>
      <w:r>
        <w:rPr>
          <w:sz w:val="9"/>
        </w:rPr>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8"/>
        <w:gridCol w:w="2771"/>
        <w:gridCol w:w="985"/>
      </w:tblGrid>
      <w:tr>
        <w:trPr>
          <w:trHeight w:val="591" w:hRule="atLeast"/>
        </w:trPr>
        <w:tc>
          <w:tcPr>
            <w:tcW w:w="1198" w:type="dxa"/>
          </w:tcPr>
          <w:p>
            <w:pPr>
              <w:pStyle w:val="TableParagraph"/>
              <w:spacing w:before="0"/>
              <w:rPr>
                <w:sz w:val="20"/>
              </w:rPr>
            </w:pPr>
          </w:p>
        </w:tc>
        <w:tc>
          <w:tcPr>
            <w:tcW w:w="2771" w:type="dxa"/>
          </w:tcPr>
          <w:p>
            <w:pPr>
              <w:pStyle w:val="TableParagraph"/>
              <w:spacing w:line="249" w:lineRule="auto" w:before="0"/>
              <w:ind w:left="221" w:right="996"/>
              <w:rPr>
                <w:sz w:val="20"/>
              </w:rPr>
            </w:pPr>
            <w:r>
              <w:rPr>
                <w:sz w:val="20"/>
              </w:rPr>
              <w:t>EXPERIMENTAL EPIDMIOLOGY</w:t>
            </w:r>
          </w:p>
        </w:tc>
        <w:tc>
          <w:tcPr>
            <w:tcW w:w="985" w:type="dxa"/>
          </w:tcPr>
          <w:p>
            <w:pPr>
              <w:pStyle w:val="TableParagraph"/>
              <w:spacing w:before="0"/>
              <w:rPr>
                <w:sz w:val="20"/>
              </w:rPr>
            </w:pPr>
          </w:p>
        </w:tc>
      </w:tr>
      <w:tr>
        <w:trPr>
          <w:trHeight w:val="360" w:hRule="atLeast"/>
        </w:trPr>
        <w:tc>
          <w:tcPr>
            <w:tcW w:w="1198" w:type="dxa"/>
          </w:tcPr>
          <w:p>
            <w:pPr>
              <w:pStyle w:val="TableParagraph"/>
              <w:spacing w:line="219" w:lineRule="exact" w:before="121"/>
              <w:ind w:left="200"/>
              <w:rPr>
                <w:sz w:val="20"/>
              </w:rPr>
            </w:pPr>
            <w:r>
              <w:rPr>
                <w:sz w:val="20"/>
              </w:rPr>
              <w:t>CIPP 907</w:t>
            </w:r>
          </w:p>
        </w:tc>
        <w:tc>
          <w:tcPr>
            <w:tcW w:w="2771" w:type="dxa"/>
          </w:tcPr>
          <w:p>
            <w:pPr>
              <w:pStyle w:val="TableParagraph"/>
              <w:spacing w:line="219" w:lineRule="exact" w:before="121"/>
              <w:ind w:left="221"/>
              <w:rPr>
                <w:sz w:val="20"/>
              </w:rPr>
            </w:pPr>
            <w:r>
              <w:rPr>
                <w:sz w:val="20"/>
              </w:rPr>
              <w:t>RESEARCH ETHICS</w:t>
            </w:r>
          </w:p>
        </w:tc>
        <w:tc>
          <w:tcPr>
            <w:tcW w:w="985" w:type="dxa"/>
          </w:tcPr>
          <w:p>
            <w:pPr>
              <w:pStyle w:val="TableParagraph"/>
              <w:spacing w:line="219" w:lineRule="exact" w:before="121"/>
              <w:ind w:right="201"/>
              <w:jc w:val="right"/>
              <w:rPr>
                <w:sz w:val="20"/>
              </w:rPr>
            </w:pPr>
            <w:r>
              <w:rPr>
                <w:w w:val="100"/>
                <w:sz w:val="20"/>
              </w:rPr>
              <w:t>1</w:t>
            </w:r>
          </w:p>
        </w:tc>
      </w:tr>
      <w:tr>
        <w:trPr>
          <w:trHeight w:val="240" w:hRule="atLeast"/>
        </w:trPr>
        <w:tc>
          <w:tcPr>
            <w:tcW w:w="1198" w:type="dxa"/>
          </w:tcPr>
          <w:p>
            <w:pPr>
              <w:pStyle w:val="TableParagraph"/>
              <w:spacing w:before="0"/>
              <w:rPr>
                <w:sz w:val="16"/>
              </w:rPr>
            </w:pPr>
          </w:p>
        </w:tc>
        <w:tc>
          <w:tcPr>
            <w:tcW w:w="2771" w:type="dxa"/>
          </w:tcPr>
          <w:p>
            <w:pPr>
              <w:pStyle w:val="TableParagraph"/>
              <w:spacing w:line="219" w:lineRule="exact"/>
              <w:ind w:left="221"/>
              <w:rPr>
                <w:sz w:val="20"/>
              </w:rPr>
            </w:pPr>
            <w:r>
              <w:rPr>
                <w:sz w:val="20"/>
              </w:rPr>
              <w:t>Or</w:t>
            </w:r>
          </w:p>
        </w:tc>
        <w:tc>
          <w:tcPr>
            <w:tcW w:w="985" w:type="dxa"/>
          </w:tcPr>
          <w:p>
            <w:pPr>
              <w:pStyle w:val="TableParagraph"/>
              <w:spacing w:before="0"/>
              <w:rPr>
                <w:sz w:val="16"/>
              </w:rPr>
            </w:pPr>
          </w:p>
        </w:tc>
      </w:tr>
      <w:tr>
        <w:trPr>
          <w:trHeight w:val="471" w:hRule="atLeast"/>
        </w:trPr>
        <w:tc>
          <w:tcPr>
            <w:tcW w:w="1198" w:type="dxa"/>
          </w:tcPr>
          <w:p>
            <w:pPr>
              <w:pStyle w:val="TableParagraph"/>
              <w:ind w:left="200"/>
              <w:rPr>
                <w:sz w:val="20"/>
              </w:rPr>
            </w:pPr>
            <w:r>
              <w:rPr>
                <w:sz w:val="20"/>
              </w:rPr>
              <w:t>CIPP 909</w:t>
            </w:r>
          </w:p>
        </w:tc>
        <w:tc>
          <w:tcPr>
            <w:tcW w:w="2771" w:type="dxa"/>
          </w:tcPr>
          <w:p>
            <w:pPr>
              <w:pStyle w:val="TableParagraph"/>
              <w:ind w:left="221"/>
              <w:rPr>
                <w:sz w:val="20"/>
              </w:rPr>
            </w:pPr>
            <w:r>
              <w:rPr>
                <w:sz w:val="20"/>
              </w:rPr>
              <w:t>RESPONSIBLE CONDUCT</w:t>
            </w:r>
          </w:p>
          <w:p>
            <w:pPr>
              <w:pStyle w:val="TableParagraph"/>
              <w:spacing w:line="210" w:lineRule="exact" w:before="10"/>
              <w:ind w:left="221"/>
              <w:rPr>
                <w:sz w:val="20"/>
              </w:rPr>
            </w:pPr>
            <w:r>
              <w:rPr>
                <w:sz w:val="20"/>
              </w:rPr>
              <w:t>OF RESEARCH</w:t>
            </w:r>
          </w:p>
        </w:tc>
        <w:tc>
          <w:tcPr>
            <w:tcW w:w="985" w:type="dxa"/>
          </w:tcPr>
          <w:p>
            <w:pPr>
              <w:pStyle w:val="TableParagraph"/>
              <w:ind w:right="196"/>
              <w:jc w:val="right"/>
              <w:rPr>
                <w:sz w:val="20"/>
              </w:rPr>
            </w:pPr>
            <w:r>
              <w:rPr>
                <w:sz w:val="20"/>
              </w:rPr>
              <w:t>1 TO 2</w:t>
            </w:r>
          </w:p>
        </w:tc>
      </w:tr>
    </w:tbl>
    <w:p>
      <w:pPr>
        <w:spacing w:before="67"/>
        <w:ind w:left="200" w:right="0" w:firstLine="0"/>
        <w:jc w:val="left"/>
        <w:rPr>
          <w:i/>
          <w:sz w:val="20"/>
        </w:rPr>
      </w:pPr>
      <w:r>
        <w:rPr>
          <w:i/>
          <w:sz w:val="20"/>
        </w:rPr>
        <w:t>CIPP 907: or equivalent</w:t>
      </w:r>
    </w:p>
    <w:p>
      <w:pPr>
        <w:pStyle w:val="Heading5"/>
        <w:spacing w:before="183"/>
      </w:pPr>
      <w:r>
        <w:rPr/>
        <w:t>Select three of these statistical analyses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6"/>
        <w:gridCol w:w="2766"/>
        <w:gridCol w:w="931"/>
      </w:tblGrid>
      <w:tr>
        <w:trPr>
          <w:trHeight w:val="231" w:hRule="atLeast"/>
        </w:trPr>
        <w:tc>
          <w:tcPr>
            <w:tcW w:w="1256" w:type="dxa"/>
          </w:tcPr>
          <w:p>
            <w:pPr>
              <w:pStyle w:val="TableParagraph"/>
              <w:spacing w:line="212" w:lineRule="exact" w:before="0"/>
              <w:ind w:left="200"/>
              <w:rPr>
                <w:sz w:val="20"/>
              </w:rPr>
            </w:pPr>
            <w:r>
              <w:rPr>
                <w:sz w:val="20"/>
              </w:rPr>
              <w:t>PREV 721</w:t>
            </w:r>
          </w:p>
        </w:tc>
        <w:tc>
          <w:tcPr>
            <w:tcW w:w="2766" w:type="dxa"/>
          </w:tcPr>
          <w:p>
            <w:pPr>
              <w:pStyle w:val="TableParagraph"/>
              <w:spacing w:line="212" w:lineRule="exact" w:before="0"/>
              <w:ind w:left="191"/>
              <w:rPr>
                <w:sz w:val="20"/>
              </w:rPr>
            </w:pPr>
            <w:r>
              <w:rPr>
                <w:sz w:val="20"/>
              </w:rPr>
              <w:t>REGRESSION ANALYSIS</w:t>
            </w:r>
          </w:p>
        </w:tc>
        <w:tc>
          <w:tcPr>
            <w:tcW w:w="931" w:type="dxa"/>
          </w:tcPr>
          <w:p>
            <w:pPr>
              <w:pStyle w:val="TableParagraph"/>
              <w:spacing w:line="212" w:lineRule="exact" w:before="0"/>
              <w:ind w:right="205"/>
              <w:jc w:val="right"/>
              <w:rPr>
                <w:sz w:val="20"/>
              </w:rPr>
            </w:pPr>
            <w:r>
              <w:rPr>
                <w:w w:val="100"/>
                <w:sz w:val="20"/>
              </w:rPr>
              <w:t>2</w:t>
            </w:r>
          </w:p>
        </w:tc>
      </w:tr>
      <w:tr>
        <w:trPr>
          <w:trHeight w:val="240" w:hRule="atLeast"/>
        </w:trPr>
        <w:tc>
          <w:tcPr>
            <w:tcW w:w="1256" w:type="dxa"/>
          </w:tcPr>
          <w:p>
            <w:pPr>
              <w:pStyle w:val="TableParagraph"/>
              <w:spacing w:line="219" w:lineRule="exact"/>
              <w:ind w:left="200"/>
              <w:rPr>
                <w:sz w:val="20"/>
              </w:rPr>
            </w:pPr>
            <w:r>
              <w:rPr>
                <w:sz w:val="20"/>
              </w:rPr>
              <w:t>PREV 723</w:t>
            </w:r>
          </w:p>
        </w:tc>
        <w:tc>
          <w:tcPr>
            <w:tcW w:w="2766" w:type="dxa"/>
          </w:tcPr>
          <w:p>
            <w:pPr>
              <w:pStyle w:val="TableParagraph"/>
              <w:spacing w:line="219" w:lineRule="exact"/>
              <w:ind w:left="191"/>
              <w:rPr>
                <w:sz w:val="20"/>
              </w:rPr>
            </w:pPr>
            <w:r>
              <w:rPr>
                <w:sz w:val="20"/>
              </w:rPr>
              <w:t>SURVIVAL ANALYSIS</w:t>
            </w:r>
          </w:p>
        </w:tc>
        <w:tc>
          <w:tcPr>
            <w:tcW w:w="931" w:type="dxa"/>
          </w:tcPr>
          <w:p>
            <w:pPr>
              <w:pStyle w:val="TableParagraph"/>
              <w:spacing w:line="219" w:lineRule="exact"/>
              <w:ind w:right="205"/>
              <w:jc w:val="right"/>
              <w:rPr>
                <w:sz w:val="20"/>
              </w:rPr>
            </w:pPr>
            <w:r>
              <w:rPr>
                <w:w w:val="100"/>
                <w:sz w:val="20"/>
              </w:rPr>
              <w:t>2</w:t>
            </w:r>
          </w:p>
        </w:tc>
      </w:tr>
      <w:tr>
        <w:trPr>
          <w:trHeight w:val="480" w:hRule="atLeast"/>
        </w:trPr>
        <w:tc>
          <w:tcPr>
            <w:tcW w:w="1256" w:type="dxa"/>
          </w:tcPr>
          <w:p>
            <w:pPr>
              <w:pStyle w:val="TableParagraph"/>
              <w:ind w:left="200"/>
              <w:rPr>
                <w:sz w:val="20"/>
              </w:rPr>
            </w:pPr>
            <w:r>
              <w:rPr>
                <w:sz w:val="20"/>
              </w:rPr>
              <w:t>PREV 801</w:t>
            </w:r>
          </w:p>
        </w:tc>
        <w:tc>
          <w:tcPr>
            <w:tcW w:w="2766" w:type="dxa"/>
          </w:tcPr>
          <w:p>
            <w:pPr>
              <w:pStyle w:val="TableParagraph"/>
              <w:ind w:left="191"/>
              <w:rPr>
                <w:sz w:val="20"/>
              </w:rPr>
            </w:pPr>
            <w:r>
              <w:rPr>
                <w:sz w:val="20"/>
              </w:rPr>
              <w:t>LONGITUDINAL DATA</w:t>
            </w:r>
          </w:p>
          <w:p>
            <w:pPr>
              <w:pStyle w:val="TableParagraph"/>
              <w:spacing w:line="219" w:lineRule="exact" w:before="10"/>
              <w:ind w:left="191"/>
              <w:rPr>
                <w:sz w:val="20"/>
              </w:rPr>
            </w:pPr>
            <w:r>
              <w:rPr>
                <w:sz w:val="20"/>
              </w:rPr>
              <w:t>ANALYSIS</w:t>
            </w:r>
          </w:p>
        </w:tc>
        <w:tc>
          <w:tcPr>
            <w:tcW w:w="931" w:type="dxa"/>
          </w:tcPr>
          <w:p>
            <w:pPr>
              <w:pStyle w:val="TableParagraph"/>
              <w:ind w:right="205"/>
              <w:jc w:val="right"/>
              <w:rPr>
                <w:sz w:val="20"/>
              </w:rPr>
            </w:pPr>
            <w:r>
              <w:rPr>
                <w:w w:val="100"/>
                <w:sz w:val="20"/>
              </w:rPr>
              <w:t>3</w:t>
            </w:r>
          </w:p>
        </w:tc>
      </w:tr>
      <w:tr>
        <w:trPr>
          <w:trHeight w:val="480" w:hRule="atLeast"/>
        </w:trPr>
        <w:tc>
          <w:tcPr>
            <w:tcW w:w="1256" w:type="dxa"/>
          </w:tcPr>
          <w:p>
            <w:pPr>
              <w:pStyle w:val="TableParagraph"/>
              <w:ind w:left="200"/>
              <w:rPr>
                <w:sz w:val="20"/>
              </w:rPr>
            </w:pPr>
            <w:r>
              <w:rPr>
                <w:sz w:val="20"/>
              </w:rPr>
              <w:t>PREV 802</w:t>
            </w:r>
          </w:p>
        </w:tc>
        <w:tc>
          <w:tcPr>
            <w:tcW w:w="2766" w:type="dxa"/>
          </w:tcPr>
          <w:p>
            <w:pPr>
              <w:pStyle w:val="TableParagraph"/>
              <w:ind w:left="191"/>
              <w:rPr>
                <w:sz w:val="20"/>
              </w:rPr>
            </w:pPr>
            <w:r>
              <w:rPr>
                <w:sz w:val="20"/>
              </w:rPr>
              <w:t>STATISTICS FOR</w:t>
            </w:r>
          </w:p>
          <w:p>
            <w:pPr>
              <w:pStyle w:val="TableParagraph"/>
              <w:spacing w:line="219" w:lineRule="exact" w:before="10"/>
              <w:ind w:left="191"/>
              <w:rPr>
                <w:sz w:val="20"/>
              </w:rPr>
            </w:pPr>
            <w:r>
              <w:rPr>
                <w:sz w:val="20"/>
              </w:rPr>
              <w:t>MOLECULAR BIOLOGY</w:t>
            </w:r>
          </w:p>
        </w:tc>
        <w:tc>
          <w:tcPr>
            <w:tcW w:w="931" w:type="dxa"/>
          </w:tcPr>
          <w:p>
            <w:pPr>
              <w:pStyle w:val="TableParagraph"/>
              <w:ind w:right="205"/>
              <w:jc w:val="right"/>
              <w:rPr>
                <w:sz w:val="20"/>
              </w:rPr>
            </w:pPr>
            <w:r>
              <w:rPr>
                <w:w w:val="100"/>
                <w:sz w:val="20"/>
              </w:rPr>
              <w:t>2</w:t>
            </w:r>
          </w:p>
        </w:tc>
      </w:tr>
      <w:tr>
        <w:trPr>
          <w:trHeight w:val="711" w:hRule="atLeast"/>
        </w:trPr>
        <w:tc>
          <w:tcPr>
            <w:tcW w:w="1256" w:type="dxa"/>
          </w:tcPr>
          <w:p>
            <w:pPr>
              <w:pStyle w:val="TableParagraph"/>
              <w:ind w:left="200"/>
              <w:rPr>
                <w:sz w:val="20"/>
              </w:rPr>
            </w:pPr>
            <w:r>
              <w:rPr>
                <w:sz w:val="20"/>
              </w:rPr>
              <w:t>PREV 899</w:t>
            </w:r>
          </w:p>
        </w:tc>
        <w:tc>
          <w:tcPr>
            <w:tcW w:w="2766" w:type="dxa"/>
          </w:tcPr>
          <w:p>
            <w:pPr>
              <w:pStyle w:val="TableParagraph"/>
              <w:spacing w:line="249" w:lineRule="auto"/>
              <w:ind w:left="191" w:right="1121"/>
              <w:rPr>
                <w:sz w:val="20"/>
              </w:rPr>
            </w:pPr>
            <w:r>
              <w:rPr>
                <w:sz w:val="20"/>
              </w:rPr>
              <w:t>DOCTORAL DISSERTATION</w:t>
            </w:r>
          </w:p>
          <w:p>
            <w:pPr>
              <w:pStyle w:val="TableParagraph"/>
              <w:spacing w:line="210" w:lineRule="exact" w:before="2"/>
              <w:ind w:left="191"/>
              <w:rPr>
                <w:sz w:val="20"/>
              </w:rPr>
            </w:pPr>
            <w:r>
              <w:rPr>
                <w:sz w:val="20"/>
              </w:rPr>
              <w:t>RESEARCH</w:t>
            </w:r>
          </w:p>
        </w:tc>
        <w:tc>
          <w:tcPr>
            <w:tcW w:w="931" w:type="dxa"/>
          </w:tcPr>
          <w:p>
            <w:pPr>
              <w:pStyle w:val="TableParagraph"/>
              <w:ind w:left="305"/>
              <w:rPr>
                <w:sz w:val="20"/>
              </w:rPr>
            </w:pPr>
            <w:r>
              <w:rPr>
                <w:sz w:val="20"/>
              </w:rPr>
              <w:t>1</w:t>
            </w:r>
            <w:r>
              <w:rPr>
                <w:spacing w:val="5"/>
                <w:sz w:val="20"/>
              </w:rPr>
              <w:t> </w:t>
            </w:r>
            <w:r>
              <w:rPr>
                <w:sz w:val="20"/>
              </w:rPr>
              <w:t>TO</w:t>
            </w:r>
          </w:p>
          <w:p>
            <w:pPr>
              <w:pStyle w:val="TableParagraph"/>
              <w:spacing w:before="10"/>
              <w:ind w:left="521"/>
              <w:rPr>
                <w:sz w:val="20"/>
              </w:rPr>
            </w:pPr>
            <w:r>
              <w:rPr>
                <w:sz w:val="20"/>
              </w:rPr>
              <w:t>12</w:t>
            </w:r>
          </w:p>
        </w:tc>
      </w:tr>
    </w:tbl>
    <w:p>
      <w:pPr>
        <w:spacing w:line="314" w:lineRule="auto" w:before="82"/>
        <w:ind w:left="200" w:right="2809" w:firstLine="0"/>
        <w:jc w:val="left"/>
        <w:rPr>
          <w:i/>
          <w:sz w:val="20"/>
        </w:rPr>
      </w:pPr>
      <w:r>
        <w:rPr>
          <w:i/>
          <w:sz w:val="20"/>
        </w:rPr>
        <w:t>8 credits of general electives </w:t>
      </w:r>
      <w:r>
        <w:rPr>
          <w:i/>
          <w:sz w:val="20"/>
        </w:rPr>
        <w:t>PREV 899: 12 credits minimum</w:t>
      </w:r>
    </w:p>
    <w:p>
      <w:pPr>
        <w:pStyle w:val="Heading5"/>
        <w:spacing w:before="108"/>
      </w:pPr>
      <w:r>
        <w:rPr/>
        <w:pict>
          <v:shape style="position:absolute;margin-left:323.600006pt;margin-top:18.220324pt;width:247.85pt;height:335.2pt;mso-position-horizontal-relative:page;mso-position-vertical-relative:paragraph;z-index:10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7"/>
                    <w:gridCol w:w="2856"/>
                    <w:gridCol w:w="864"/>
                  </w:tblGrid>
                  <w:tr>
                    <w:trPr>
                      <w:trHeight w:val="471" w:hRule="atLeast"/>
                    </w:trPr>
                    <w:tc>
                      <w:tcPr>
                        <w:tcW w:w="1237" w:type="dxa"/>
                      </w:tcPr>
                      <w:p>
                        <w:pPr>
                          <w:pStyle w:val="TableParagraph"/>
                          <w:spacing w:line="223" w:lineRule="exact" w:before="0"/>
                          <w:ind w:left="180" w:right="153"/>
                          <w:jc w:val="center"/>
                          <w:rPr>
                            <w:sz w:val="20"/>
                          </w:rPr>
                        </w:pPr>
                        <w:r>
                          <w:rPr>
                            <w:sz w:val="20"/>
                          </w:rPr>
                          <w:t>PREV 600</w:t>
                        </w:r>
                      </w:p>
                    </w:tc>
                    <w:tc>
                      <w:tcPr>
                        <w:tcW w:w="2856" w:type="dxa"/>
                      </w:tcPr>
                      <w:p>
                        <w:pPr>
                          <w:pStyle w:val="TableParagraph"/>
                          <w:spacing w:line="223" w:lineRule="exact" w:before="0"/>
                          <w:ind w:left="172"/>
                          <w:rPr>
                            <w:sz w:val="20"/>
                          </w:rPr>
                        </w:pPr>
                        <w:r>
                          <w:rPr>
                            <w:sz w:val="20"/>
                          </w:rPr>
                          <w:t>PRINCIPLES OF</w:t>
                        </w:r>
                      </w:p>
                      <w:p>
                        <w:pPr>
                          <w:pStyle w:val="TableParagraph"/>
                          <w:spacing w:line="219" w:lineRule="exact" w:before="10"/>
                          <w:ind w:left="172"/>
                          <w:rPr>
                            <w:sz w:val="20"/>
                          </w:rPr>
                        </w:pPr>
                        <w:r>
                          <w:rPr>
                            <w:sz w:val="20"/>
                          </w:rPr>
                          <w:t>EPIDEMIOLOGY</w:t>
                        </w:r>
                      </w:p>
                    </w:tc>
                    <w:tc>
                      <w:tcPr>
                        <w:tcW w:w="864" w:type="dxa"/>
                      </w:tcPr>
                      <w:p>
                        <w:pPr>
                          <w:pStyle w:val="TableParagraph"/>
                          <w:spacing w:line="223" w:lineRule="exact" w:before="0"/>
                          <w:ind w:right="204"/>
                          <w:jc w:val="right"/>
                          <w:rPr>
                            <w:sz w:val="20"/>
                          </w:rPr>
                        </w:pPr>
                        <w:r>
                          <w:rPr>
                            <w:w w:val="100"/>
                            <w:sz w:val="20"/>
                          </w:rPr>
                          <w:t>3</w:t>
                        </w:r>
                      </w:p>
                    </w:tc>
                  </w:tr>
                  <w:tr>
                    <w:trPr>
                      <w:trHeight w:val="240" w:hRule="atLeast"/>
                    </w:trPr>
                    <w:tc>
                      <w:tcPr>
                        <w:tcW w:w="1237" w:type="dxa"/>
                      </w:tcPr>
                      <w:p>
                        <w:pPr>
                          <w:pStyle w:val="TableParagraph"/>
                          <w:spacing w:line="219" w:lineRule="exact"/>
                          <w:ind w:left="180" w:right="153"/>
                          <w:jc w:val="center"/>
                          <w:rPr>
                            <w:sz w:val="20"/>
                          </w:rPr>
                        </w:pPr>
                        <w:r>
                          <w:rPr>
                            <w:sz w:val="20"/>
                          </w:rPr>
                          <w:t>PREV 619</w:t>
                        </w:r>
                      </w:p>
                    </w:tc>
                    <w:tc>
                      <w:tcPr>
                        <w:tcW w:w="2856" w:type="dxa"/>
                      </w:tcPr>
                      <w:p>
                        <w:pPr>
                          <w:pStyle w:val="TableParagraph"/>
                          <w:spacing w:line="219" w:lineRule="exact"/>
                          <w:ind w:left="172"/>
                          <w:rPr>
                            <w:sz w:val="20"/>
                          </w:rPr>
                        </w:pPr>
                        <w:r>
                          <w:rPr>
                            <w:sz w:val="20"/>
                          </w:rPr>
                          <w:t>INTRODUCTION TO SAS</w:t>
                        </w:r>
                      </w:p>
                    </w:tc>
                    <w:tc>
                      <w:tcPr>
                        <w:tcW w:w="864" w:type="dxa"/>
                      </w:tcPr>
                      <w:p>
                        <w:pPr>
                          <w:pStyle w:val="TableParagraph"/>
                          <w:spacing w:line="219" w:lineRule="exact"/>
                          <w:ind w:right="204"/>
                          <w:jc w:val="right"/>
                          <w:rPr>
                            <w:sz w:val="20"/>
                          </w:rPr>
                        </w:pPr>
                        <w:r>
                          <w:rPr>
                            <w:w w:val="100"/>
                            <w:sz w:val="20"/>
                          </w:rPr>
                          <w:t>1</w:t>
                        </w:r>
                      </w:p>
                    </w:tc>
                  </w:tr>
                  <w:tr>
                    <w:trPr>
                      <w:trHeight w:val="480" w:hRule="atLeast"/>
                    </w:trPr>
                    <w:tc>
                      <w:tcPr>
                        <w:tcW w:w="1237" w:type="dxa"/>
                      </w:tcPr>
                      <w:p>
                        <w:pPr>
                          <w:pStyle w:val="TableParagraph"/>
                          <w:ind w:left="180" w:right="153"/>
                          <w:jc w:val="center"/>
                          <w:rPr>
                            <w:sz w:val="20"/>
                          </w:rPr>
                        </w:pPr>
                        <w:r>
                          <w:rPr>
                            <w:sz w:val="20"/>
                          </w:rPr>
                          <w:t>PREV 620</w:t>
                        </w:r>
                      </w:p>
                    </w:tc>
                    <w:tc>
                      <w:tcPr>
                        <w:tcW w:w="2856" w:type="dxa"/>
                      </w:tcPr>
                      <w:p>
                        <w:pPr>
                          <w:pStyle w:val="TableParagraph"/>
                          <w:ind w:left="172"/>
                          <w:rPr>
                            <w:sz w:val="20"/>
                          </w:rPr>
                        </w:pPr>
                        <w:r>
                          <w:rPr>
                            <w:sz w:val="20"/>
                          </w:rPr>
                          <w:t>PRINCIPLES</w:t>
                        </w:r>
                        <w:r>
                          <w:rPr>
                            <w:spacing w:val="-8"/>
                            <w:sz w:val="20"/>
                          </w:rPr>
                          <w:t> </w:t>
                        </w:r>
                        <w:r>
                          <w:rPr>
                            <w:sz w:val="20"/>
                          </w:rPr>
                          <w:t>OF</w:t>
                        </w:r>
                      </w:p>
                      <w:p>
                        <w:pPr>
                          <w:pStyle w:val="TableParagraph"/>
                          <w:spacing w:line="219" w:lineRule="exact" w:before="10"/>
                          <w:ind w:left="172"/>
                          <w:rPr>
                            <w:sz w:val="20"/>
                          </w:rPr>
                        </w:pPr>
                        <w:r>
                          <w:rPr>
                            <w:sz w:val="20"/>
                          </w:rPr>
                          <w:t>BIOSTATISTICS</w:t>
                        </w:r>
                      </w:p>
                    </w:tc>
                    <w:tc>
                      <w:tcPr>
                        <w:tcW w:w="864" w:type="dxa"/>
                      </w:tcPr>
                      <w:p>
                        <w:pPr>
                          <w:pStyle w:val="TableParagraph"/>
                          <w:ind w:right="204"/>
                          <w:jc w:val="right"/>
                          <w:rPr>
                            <w:sz w:val="20"/>
                          </w:rPr>
                        </w:pPr>
                        <w:r>
                          <w:rPr>
                            <w:w w:val="100"/>
                            <w:sz w:val="20"/>
                          </w:rPr>
                          <w:t>3</w:t>
                        </w:r>
                      </w:p>
                    </w:tc>
                  </w:tr>
                  <w:tr>
                    <w:trPr>
                      <w:trHeight w:val="720" w:hRule="atLeast"/>
                    </w:trPr>
                    <w:tc>
                      <w:tcPr>
                        <w:tcW w:w="1237" w:type="dxa"/>
                      </w:tcPr>
                      <w:p>
                        <w:pPr>
                          <w:pStyle w:val="TableParagraph"/>
                          <w:ind w:left="180" w:right="153"/>
                          <w:jc w:val="center"/>
                          <w:rPr>
                            <w:sz w:val="20"/>
                          </w:rPr>
                        </w:pPr>
                        <w:r>
                          <w:rPr>
                            <w:sz w:val="20"/>
                          </w:rPr>
                          <w:t>PREV 659</w:t>
                        </w:r>
                      </w:p>
                    </w:tc>
                    <w:tc>
                      <w:tcPr>
                        <w:tcW w:w="2856" w:type="dxa"/>
                      </w:tcPr>
                      <w:p>
                        <w:pPr>
                          <w:pStyle w:val="TableParagraph"/>
                          <w:spacing w:line="249" w:lineRule="auto"/>
                          <w:ind w:left="172" w:right="403"/>
                          <w:rPr>
                            <w:sz w:val="20"/>
                          </w:rPr>
                        </w:pPr>
                        <w:r>
                          <w:rPr>
                            <w:sz w:val="20"/>
                          </w:rPr>
                          <w:t>OBSERVATIONAL STUDIES IN</w:t>
                        </w:r>
                      </w:p>
                      <w:p>
                        <w:pPr>
                          <w:pStyle w:val="TableParagraph"/>
                          <w:spacing w:line="219" w:lineRule="exact" w:before="2"/>
                          <w:ind w:left="172"/>
                          <w:rPr>
                            <w:sz w:val="20"/>
                          </w:rPr>
                        </w:pPr>
                        <w:r>
                          <w:rPr>
                            <w:sz w:val="20"/>
                          </w:rPr>
                          <w:t>EPIDEMIOLOGY</w:t>
                        </w:r>
                      </w:p>
                    </w:tc>
                    <w:tc>
                      <w:tcPr>
                        <w:tcW w:w="864" w:type="dxa"/>
                      </w:tcPr>
                      <w:p>
                        <w:pPr>
                          <w:pStyle w:val="TableParagraph"/>
                          <w:ind w:right="204"/>
                          <w:jc w:val="right"/>
                          <w:rPr>
                            <w:sz w:val="20"/>
                          </w:rPr>
                        </w:pPr>
                        <w:r>
                          <w:rPr>
                            <w:w w:val="100"/>
                            <w:sz w:val="20"/>
                          </w:rPr>
                          <w:t>3</w:t>
                        </w:r>
                      </w:p>
                    </w:tc>
                  </w:tr>
                  <w:tr>
                    <w:trPr>
                      <w:trHeight w:val="240" w:hRule="atLeast"/>
                    </w:trPr>
                    <w:tc>
                      <w:tcPr>
                        <w:tcW w:w="1237" w:type="dxa"/>
                      </w:tcPr>
                      <w:p>
                        <w:pPr>
                          <w:pStyle w:val="TableParagraph"/>
                          <w:spacing w:line="219" w:lineRule="exact"/>
                          <w:ind w:left="180" w:right="153"/>
                          <w:jc w:val="center"/>
                          <w:rPr>
                            <w:sz w:val="20"/>
                          </w:rPr>
                        </w:pPr>
                        <w:r>
                          <w:rPr>
                            <w:sz w:val="20"/>
                          </w:rPr>
                          <w:t>PREV 711</w:t>
                        </w:r>
                      </w:p>
                    </w:tc>
                    <w:tc>
                      <w:tcPr>
                        <w:tcW w:w="2856" w:type="dxa"/>
                      </w:tcPr>
                      <w:p>
                        <w:pPr>
                          <w:pStyle w:val="TableParagraph"/>
                          <w:spacing w:line="219" w:lineRule="exact"/>
                          <w:ind w:left="172"/>
                          <w:rPr>
                            <w:sz w:val="20"/>
                          </w:rPr>
                        </w:pPr>
                        <w:r>
                          <w:rPr>
                            <w:sz w:val="20"/>
                          </w:rPr>
                          <w:t>GENETIC EPIDEMIOLOGY</w:t>
                        </w:r>
                      </w:p>
                    </w:tc>
                    <w:tc>
                      <w:tcPr>
                        <w:tcW w:w="864" w:type="dxa"/>
                      </w:tcPr>
                      <w:p>
                        <w:pPr>
                          <w:pStyle w:val="TableParagraph"/>
                          <w:spacing w:line="219" w:lineRule="exact"/>
                          <w:ind w:right="204"/>
                          <w:jc w:val="right"/>
                          <w:rPr>
                            <w:sz w:val="20"/>
                          </w:rPr>
                        </w:pPr>
                        <w:r>
                          <w:rPr>
                            <w:w w:val="100"/>
                            <w:sz w:val="20"/>
                          </w:rPr>
                          <w:t>3</w:t>
                        </w:r>
                      </w:p>
                    </w:tc>
                  </w:tr>
                  <w:tr>
                    <w:trPr>
                      <w:trHeight w:val="480" w:hRule="atLeast"/>
                    </w:trPr>
                    <w:tc>
                      <w:tcPr>
                        <w:tcW w:w="1237" w:type="dxa"/>
                      </w:tcPr>
                      <w:p>
                        <w:pPr>
                          <w:pStyle w:val="TableParagraph"/>
                          <w:ind w:left="157" w:right="154"/>
                          <w:jc w:val="center"/>
                          <w:rPr>
                            <w:sz w:val="20"/>
                          </w:rPr>
                        </w:pPr>
                        <w:r>
                          <w:rPr>
                            <w:sz w:val="20"/>
                          </w:rPr>
                          <w:t>GPLS 716</w:t>
                        </w:r>
                      </w:p>
                    </w:tc>
                    <w:tc>
                      <w:tcPr>
                        <w:tcW w:w="2856" w:type="dxa"/>
                      </w:tcPr>
                      <w:p>
                        <w:pPr>
                          <w:pStyle w:val="TableParagraph"/>
                          <w:ind w:left="172"/>
                          <w:rPr>
                            <w:sz w:val="20"/>
                          </w:rPr>
                        </w:pPr>
                        <w:r>
                          <w:rPr>
                            <w:sz w:val="20"/>
                          </w:rPr>
                          <w:t>GENOMICS AND</w:t>
                        </w:r>
                      </w:p>
                      <w:p>
                        <w:pPr>
                          <w:pStyle w:val="TableParagraph"/>
                          <w:spacing w:line="219" w:lineRule="exact" w:before="10"/>
                          <w:ind w:left="172"/>
                          <w:rPr>
                            <w:sz w:val="20"/>
                          </w:rPr>
                        </w:pPr>
                        <w:r>
                          <w:rPr>
                            <w:sz w:val="20"/>
                          </w:rPr>
                          <w:t>BIOINFORMATICS</w:t>
                        </w:r>
                      </w:p>
                    </w:tc>
                    <w:tc>
                      <w:tcPr>
                        <w:tcW w:w="864" w:type="dxa"/>
                      </w:tcPr>
                      <w:p>
                        <w:pPr>
                          <w:pStyle w:val="TableParagraph"/>
                          <w:ind w:right="204"/>
                          <w:jc w:val="right"/>
                          <w:rPr>
                            <w:sz w:val="20"/>
                          </w:rPr>
                        </w:pPr>
                        <w:r>
                          <w:rPr>
                            <w:w w:val="100"/>
                            <w:sz w:val="20"/>
                          </w:rPr>
                          <w:t>3</w:t>
                        </w:r>
                      </w:p>
                    </w:tc>
                  </w:tr>
                  <w:tr>
                    <w:trPr>
                      <w:trHeight w:val="480" w:hRule="atLeast"/>
                    </w:trPr>
                    <w:tc>
                      <w:tcPr>
                        <w:tcW w:w="1237" w:type="dxa"/>
                      </w:tcPr>
                      <w:p>
                        <w:pPr>
                          <w:pStyle w:val="TableParagraph"/>
                          <w:ind w:left="180" w:right="153"/>
                          <w:jc w:val="center"/>
                          <w:rPr>
                            <w:sz w:val="20"/>
                          </w:rPr>
                        </w:pPr>
                        <w:r>
                          <w:rPr>
                            <w:sz w:val="20"/>
                          </w:rPr>
                          <w:t>PREV 720</w:t>
                        </w:r>
                      </w:p>
                    </w:tc>
                    <w:tc>
                      <w:tcPr>
                        <w:tcW w:w="2856" w:type="dxa"/>
                      </w:tcPr>
                      <w:p>
                        <w:pPr>
                          <w:pStyle w:val="TableParagraph"/>
                          <w:ind w:left="172"/>
                          <w:rPr>
                            <w:sz w:val="20"/>
                          </w:rPr>
                        </w:pPr>
                        <w:r>
                          <w:rPr>
                            <w:sz w:val="20"/>
                          </w:rPr>
                          <w:t>STATISTICAL METHODS</w:t>
                        </w:r>
                      </w:p>
                      <w:p>
                        <w:pPr>
                          <w:pStyle w:val="TableParagraph"/>
                          <w:spacing w:line="219" w:lineRule="exact" w:before="10"/>
                          <w:ind w:left="172"/>
                          <w:rPr>
                            <w:sz w:val="20"/>
                          </w:rPr>
                        </w:pPr>
                        <w:r>
                          <w:rPr>
                            <w:sz w:val="20"/>
                          </w:rPr>
                          <w:t>IN EPIDEMIOLOGY</w:t>
                        </w:r>
                      </w:p>
                    </w:tc>
                    <w:tc>
                      <w:tcPr>
                        <w:tcW w:w="864" w:type="dxa"/>
                      </w:tcPr>
                      <w:p>
                        <w:pPr>
                          <w:pStyle w:val="TableParagraph"/>
                          <w:ind w:right="204"/>
                          <w:jc w:val="right"/>
                          <w:rPr>
                            <w:sz w:val="20"/>
                          </w:rPr>
                        </w:pPr>
                        <w:r>
                          <w:rPr>
                            <w:w w:val="100"/>
                            <w:sz w:val="20"/>
                          </w:rPr>
                          <w:t>3</w:t>
                        </w:r>
                      </w:p>
                    </w:tc>
                  </w:tr>
                  <w:tr>
                    <w:trPr>
                      <w:trHeight w:val="240" w:hRule="atLeast"/>
                    </w:trPr>
                    <w:tc>
                      <w:tcPr>
                        <w:tcW w:w="1237" w:type="dxa"/>
                      </w:tcPr>
                      <w:p>
                        <w:pPr>
                          <w:pStyle w:val="TableParagraph"/>
                          <w:spacing w:line="219" w:lineRule="exact"/>
                          <w:ind w:left="180" w:right="153"/>
                          <w:jc w:val="center"/>
                          <w:rPr>
                            <w:sz w:val="20"/>
                          </w:rPr>
                        </w:pPr>
                        <w:r>
                          <w:rPr>
                            <w:sz w:val="20"/>
                          </w:rPr>
                          <w:t>PREV 721</w:t>
                        </w:r>
                      </w:p>
                    </w:tc>
                    <w:tc>
                      <w:tcPr>
                        <w:tcW w:w="2856" w:type="dxa"/>
                      </w:tcPr>
                      <w:p>
                        <w:pPr>
                          <w:pStyle w:val="TableParagraph"/>
                          <w:spacing w:line="219" w:lineRule="exact"/>
                          <w:ind w:left="172"/>
                          <w:rPr>
                            <w:sz w:val="20"/>
                          </w:rPr>
                        </w:pPr>
                        <w:r>
                          <w:rPr>
                            <w:sz w:val="20"/>
                          </w:rPr>
                          <w:t>REGRESSION ANALYSIS</w:t>
                        </w:r>
                      </w:p>
                    </w:tc>
                    <w:tc>
                      <w:tcPr>
                        <w:tcW w:w="864" w:type="dxa"/>
                      </w:tcPr>
                      <w:p>
                        <w:pPr>
                          <w:pStyle w:val="TableParagraph"/>
                          <w:spacing w:line="219" w:lineRule="exact"/>
                          <w:ind w:right="204"/>
                          <w:jc w:val="right"/>
                          <w:rPr>
                            <w:sz w:val="20"/>
                          </w:rPr>
                        </w:pPr>
                        <w:r>
                          <w:rPr>
                            <w:w w:val="100"/>
                            <w:sz w:val="20"/>
                          </w:rPr>
                          <w:t>2</w:t>
                        </w:r>
                      </w:p>
                    </w:tc>
                  </w:tr>
                  <w:tr>
                    <w:trPr>
                      <w:trHeight w:val="240" w:hRule="atLeast"/>
                    </w:trPr>
                    <w:tc>
                      <w:tcPr>
                        <w:tcW w:w="1237" w:type="dxa"/>
                      </w:tcPr>
                      <w:p>
                        <w:pPr>
                          <w:pStyle w:val="TableParagraph"/>
                          <w:spacing w:line="219" w:lineRule="exact"/>
                          <w:ind w:left="180" w:right="153"/>
                          <w:jc w:val="center"/>
                          <w:rPr>
                            <w:sz w:val="20"/>
                          </w:rPr>
                        </w:pPr>
                        <w:r>
                          <w:rPr>
                            <w:sz w:val="20"/>
                          </w:rPr>
                          <w:t>PREV 723</w:t>
                        </w:r>
                      </w:p>
                    </w:tc>
                    <w:tc>
                      <w:tcPr>
                        <w:tcW w:w="2856" w:type="dxa"/>
                      </w:tcPr>
                      <w:p>
                        <w:pPr>
                          <w:pStyle w:val="TableParagraph"/>
                          <w:spacing w:line="219" w:lineRule="exact"/>
                          <w:ind w:left="172"/>
                          <w:rPr>
                            <w:sz w:val="20"/>
                          </w:rPr>
                        </w:pPr>
                        <w:r>
                          <w:rPr>
                            <w:sz w:val="20"/>
                          </w:rPr>
                          <w:t>SURVIVAL ANALYSIS</w:t>
                        </w:r>
                      </w:p>
                    </w:tc>
                    <w:tc>
                      <w:tcPr>
                        <w:tcW w:w="864" w:type="dxa"/>
                      </w:tcPr>
                      <w:p>
                        <w:pPr>
                          <w:pStyle w:val="TableParagraph"/>
                          <w:spacing w:line="219" w:lineRule="exact"/>
                          <w:ind w:right="204"/>
                          <w:jc w:val="right"/>
                          <w:rPr>
                            <w:sz w:val="20"/>
                          </w:rPr>
                        </w:pPr>
                        <w:r>
                          <w:rPr>
                            <w:w w:val="100"/>
                            <w:sz w:val="20"/>
                          </w:rPr>
                          <w:t>2</w:t>
                        </w:r>
                      </w:p>
                    </w:tc>
                  </w:tr>
                  <w:tr>
                    <w:trPr>
                      <w:trHeight w:val="720" w:hRule="atLeast"/>
                    </w:trPr>
                    <w:tc>
                      <w:tcPr>
                        <w:tcW w:w="1237" w:type="dxa"/>
                      </w:tcPr>
                      <w:p>
                        <w:pPr>
                          <w:pStyle w:val="TableParagraph"/>
                          <w:ind w:left="180" w:right="153"/>
                          <w:jc w:val="center"/>
                          <w:rPr>
                            <w:sz w:val="20"/>
                          </w:rPr>
                        </w:pPr>
                        <w:r>
                          <w:rPr>
                            <w:sz w:val="20"/>
                          </w:rPr>
                          <w:t>PREV 747</w:t>
                        </w:r>
                      </w:p>
                    </w:tc>
                    <w:tc>
                      <w:tcPr>
                        <w:tcW w:w="2856" w:type="dxa"/>
                      </w:tcPr>
                      <w:p>
                        <w:pPr>
                          <w:pStyle w:val="TableParagraph"/>
                          <w:spacing w:line="249" w:lineRule="auto"/>
                          <w:ind w:left="172" w:right="403"/>
                          <w:rPr>
                            <w:sz w:val="20"/>
                          </w:rPr>
                        </w:pPr>
                        <w:r>
                          <w:rPr>
                            <w:sz w:val="20"/>
                          </w:rPr>
                          <w:t>EPIDEMIOLOGY AND PREVENTIVE MEDICINE</w:t>
                        </w:r>
                      </w:p>
                      <w:p>
                        <w:pPr>
                          <w:pStyle w:val="TableParagraph"/>
                          <w:spacing w:line="219" w:lineRule="exact" w:before="2"/>
                          <w:ind w:left="172"/>
                          <w:rPr>
                            <w:sz w:val="20"/>
                          </w:rPr>
                        </w:pPr>
                        <w:r>
                          <w:rPr>
                            <w:sz w:val="20"/>
                          </w:rPr>
                          <w:t>RESEARCH PRACTICUM I</w:t>
                        </w:r>
                      </w:p>
                    </w:tc>
                    <w:tc>
                      <w:tcPr>
                        <w:tcW w:w="864" w:type="dxa"/>
                      </w:tcPr>
                      <w:p>
                        <w:pPr>
                          <w:pStyle w:val="TableParagraph"/>
                          <w:ind w:right="204"/>
                          <w:jc w:val="right"/>
                          <w:rPr>
                            <w:sz w:val="20"/>
                          </w:rPr>
                        </w:pPr>
                        <w:r>
                          <w:rPr>
                            <w:w w:val="100"/>
                            <w:sz w:val="20"/>
                          </w:rPr>
                          <w:t>3</w:t>
                        </w:r>
                      </w:p>
                    </w:tc>
                  </w:tr>
                  <w:tr>
                    <w:trPr>
                      <w:trHeight w:val="720" w:hRule="atLeast"/>
                    </w:trPr>
                    <w:tc>
                      <w:tcPr>
                        <w:tcW w:w="1237" w:type="dxa"/>
                      </w:tcPr>
                      <w:p>
                        <w:pPr>
                          <w:pStyle w:val="TableParagraph"/>
                          <w:ind w:left="180" w:right="153"/>
                          <w:jc w:val="center"/>
                          <w:rPr>
                            <w:sz w:val="20"/>
                          </w:rPr>
                        </w:pPr>
                        <w:r>
                          <w:rPr>
                            <w:sz w:val="20"/>
                          </w:rPr>
                          <w:t>PREV 748</w:t>
                        </w:r>
                      </w:p>
                    </w:tc>
                    <w:tc>
                      <w:tcPr>
                        <w:tcW w:w="2856" w:type="dxa"/>
                      </w:tcPr>
                      <w:p>
                        <w:pPr>
                          <w:pStyle w:val="TableParagraph"/>
                          <w:spacing w:line="249" w:lineRule="auto"/>
                          <w:ind w:left="172" w:right="403"/>
                          <w:rPr>
                            <w:sz w:val="20"/>
                          </w:rPr>
                        </w:pPr>
                        <w:r>
                          <w:rPr>
                            <w:sz w:val="20"/>
                          </w:rPr>
                          <w:t>EPIDEMIOLOGY AND PREVENTIVE MEDICINE</w:t>
                        </w:r>
                      </w:p>
                      <w:p>
                        <w:pPr>
                          <w:pStyle w:val="TableParagraph"/>
                          <w:spacing w:line="219" w:lineRule="exact" w:before="2"/>
                          <w:ind w:left="172"/>
                          <w:rPr>
                            <w:sz w:val="20"/>
                          </w:rPr>
                        </w:pPr>
                        <w:r>
                          <w:rPr>
                            <w:sz w:val="20"/>
                          </w:rPr>
                          <w:t>RESEARCH PRACTICUM II</w:t>
                        </w:r>
                      </w:p>
                    </w:tc>
                    <w:tc>
                      <w:tcPr>
                        <w:tcW w:w="864" w:type="dxa"/>
                      </w:tcPr>
                      <w:p>
                        <w:pPr>
                          <w:pStyle w:val="TableParagraph"/>
                          <w:ind w:right="204"/>
                          <w:jc w:val="right"/>
                          <w:rPr>
                            <w:sz w:val="20"/>
                          </w:rPr>
                        </w:pPr>
                        <w:r>
                          <w:rPr>
                            <w:w w:val="100"/>
                            <w:sz w:val="20"/>
                          </w:rPr>
                          <w:t>2</w:t>
                        </w:r>
                      </w:p>
                    </w:tc>
                  </w:tr>
                  <w:tr>
                    <w:trPr>
                      <w:trHeight w:val="480" w:hRule="atLeast"/>
                    </w:trPr>
                    <w:tc>
                      <w:tcPr>
                        <w:tcW w:w="1237" w:type="dxa"/>
                      </w:tcPr>
                      <w:p>
                        <w:pPr>
                          <w:pStyle w:val="TableParagraph"/>
                          <w:ind w:left="180" w:right="153"/>
                          <w:jc w:val="center"/>
                          <w:rPr>
                            <w:sz w:val="20"/>
                          </w:rPr>
                        </w:pPr>
                        <w:r>
                          <w:rPr>
                            <w:sz w:val="20"/>
                          </w:rPr>
                          <w:t>PREV 780</w:t>
                        </w:r>
                      </w:p>
                    </w:tc>
                    <w:tc>
                      <w:tcPr>
                        <w:tcW w:w="2856" w:type="dxa"/>
                      </w:tcPr>
                      <w:p>
                        <w:pPr>
                          <w:pStyle w:val="TableParagraph"/>
                          <w:ind w:left="172"/>
                          <w:rPr>
                            <w:sz w:val="20"/>
                          </w:rPr>
                        </w:pPr>
                        <w:r>
                          <w:rPr>
                            <w:sz w:val="20"/>
                          </w:rPr>
                          <w:t>MOLECULAR</w:t>
                        </w:r>
                      </w:p>
                      <w:p>
                        <w:pPr>
                          <w:pStyle w:val="TableParagraph"/>
                          <w:spacing w:line="219" w:lineRule="exact" w:before="10"/>
                          <w:ind w:left="172"/>
                          <w:rPr>
                            <w:sz w:val="20"/>
                          </w:rPr>
                        </w:pPr>
                        <w:r>
                          <w:rPr>
                            <w:sz w:val="20"/>
                          </w:rPr>
                          <w:t>EPIDEMIOLOGY</w:t>
                        </w:r>
                      </w:p>
                    </w:tc>
                    <w:tc>
                      <w:tcPr>
                        <w:tcW w:w="864" w:type="dxa"/>
                      </w:tcPr>
                      <w:p>
                        <w:pPr>
                          <w:pStyle w:val="TableParagraph"/>
                          <w:ind w:right="204"/>
                          <w:jc w:val="right"/>
                          <w:rPr>
                            <w:sz w:val="20"/>
                          </w:rPr>
                        </w:pPr>
                        <w:r>
                          <w:rPr>
                            <w:w w:val="100"/>
                            <w:sz w:val="20"/>
                          </w:rPr>
                          <w:t>3</w:t>
                        </w:r>
                      </w:p>
                    </w:tc>
                  </w:tr>
                  <w:tr>
                    <w:trPr>
                      <w:trHeight w:val="480" w:hRule="atLeast"/>
                    </w:trPr>
                    <w:tc>
                      <w:tcPr>
                        <w:tcW w:w="1237" w:type="dxa"/>
                      </w:tcPr>
                      <w:p>
                        <w:pPr>
                          <w:pStyle w:val="TableParagraph"/>
                          <w:ind w:left="180" w:right="153"/>
                          <w:jc w:val="center"/>
                          <w:rPr>
                            <w:sz w:val="20"/>
                          </w:rPr>
                        </w:pPr>
                        <w:r>
                          <w:rPr>
                            <w:sz w:val="20"/>
                          </w:rPr>
                          <w:t>PREV 802</w:t>
                        </w:r>
                      </w:p>
                    </w:tc>
                    <w:tc>
                      <w:tcPr>
                        <w:tcW w:w="2856" w:type="dxa"/>
                      </w:tcPr>
                      <w:p>
                        <w:pPr>
                          <w:pStyle w:val="TableParagraph"/>
                          <w:ind w:left="172"/>
                          <w:rPr>
                            <w:sz w:val="20"/>
                          </w:rPr>
                        </w:pPr>
                        <w:r>
                          <w:rPr>
                            <w:sz w:val="20"/>
                          </w:rPr>
                          <w:t>STATISTICS FOR</w:t>
                        </w:r>
                      </w:p>
                      <w:p>
                        <w:pPr>
                          <w:pStyle w:val="TableParagraph"/>
                          <w:spacing w:line="219" w:lineRule="exact" w:before="10"/>
                          <w:ind w:left="172"/>
                          <w:rPr>
                            <w:sz w:val="20"/>
                          </w:rPr>
                        </w:pPr>
                        <w:r>
                          <w:rPr>
                            <w:sz w:val="20"/>
                          </w:rPr>
                          <w:t>MOLECULAR BIOLOGY</w:t>
                        </w:r>
                      </w:p>
                    </w:tc>
                    <w:tc>
                      <w:tcPr>
                        <w:tcW w:w="864" w:type="dxa"/>
                      </w:tcPr>
                      <w:p>
                        <w:pPr>
                          <w:pStyle w:val="TableParagraph"/>
                          <w:ind w:right="204"/>
                          <w:jc w:val="right"/>
                          <w:rPr>
                            <w:sz w:val="20"/>
                          </w:rPr>
                        </w:pPr>
                        <w:r>
                          <w:rPr>
                            <w:w w:val="100"/>
                            <w:sz w:val="20"/>
                          </w:rPr>
                          <w:t>2</w:t>
                        </w:r>
                      </w:p>
                    </w:tc>
                  </w:tr>
                  <w:tr>
                    <w:trPr>
                      <w:trHeight w:val="711" w:hRule="atLeast"/>
                    </w:trPr>
                    <w:tc>
                      <w:tcPr>
                        <w:tcW w:w="1237" w:type="dxa"/>
                      </w:tcPr>
                      <w:p>
                        <w:pPr>
                          <w:pStyle w:val="TableParagraph"/>
                          <w:ind w:left="180" w:right="153"/>
                          <w:jc w:val="center"/>
                          <w:rPr>
                            <w:sz w:val="20"/>
                          </w:rPr>
                        </w:pPr>
                        <w:r>
                          <w:rPr>
                            <w:sz w:val="20"/>
                          </w:rPr>
                          <w:t>PREV 899</w:t>
                        </w:r>
                      </w:p>
                    </w:tc>
                    <w:tc>
                      <w:tcPr>
                        <w:tcW w:w="2856" w:type="dxa"/>
                      </w:tcPr>
                      <w:p>
                        <w:pPr>
                          <w:pStyle w:val="TableParagraph"/>
                          <w:spacing w:line="249" w:lineRule="auto"/>
                          <w:ind w:left="172" w:right="1230"/>
                          <w:rPr>
                            <w:sz w:val="20"/>
                          </w:rPr>
                        </w:pPr>
                        <w:r>
                          <w:rPr>
                            <w:sz w:val="20"/>
                          </w:rPr>
                          <w:t>DOCTORAL DISSERTATION</w:t>
                        </w:r>
                      </w:p>
                      <w:p>
                        <w:pPr>
                          <w:pStyle w:val="TableParagraph"/>
                          <w:spacing w:line="210" w:lineRule="exact" w:before="2"/>
                          <w:ind w:left="172"/>
                          <w:rPr>
                            <w:sz w:val="20"/>
                          </w:rPr>
                        </w:pPr>
                        <w:r>
                          <w:rPr>
                            <w:sz w:val="20"/>
                          </w:rPr>
                          <w:t>RESEARCH</w:t>
                        </w:r>
                      </w:p>
                    </w:tc>
                    <w:tc>
                      <w:tcPr>
                        <w:tcW w:w="864" w:type="dxa"/>
                      </w:tcPr>
                      <w:p>
                        <w:pPr>
                          <w:pStyle w:val="TableParagraph"/>
                          <w:ind w:left="239"/>
                          <w:rPr>
                            <w:sz w:val="20"/>
                          </w:rPr>
                        </w:pPr>
                        <w:r>
                          <w:rPr>
                            <w:sz w:val="20"/>
                          </w:rPr>
                          <w:t>1</w:t>
                        </w:r>
                        <w:r>
                          <w:rPr>
                            <w:spacing w:val="5"/>
                            <w:sz w:val="20"/>
                          </w:rPr>
                          <w:t> </w:t>
                        </w:r>
                        <w:r>
                          <w:rPr>
                            <w:sz w:val="20"/>
                          </w:rPr>
                          <w:t>TO</w:t>
                        </w:r>
                      </w:p>
                      <w:p>
                        <w:pPr>
                          <w:pStyle w:val="TableParagraph"/>
                          <w:spacing w:before="10"/>
                          <w:ind w:left="455"/>
                          <w:rPr>
                            <w:sz w:val="20"/>
                          </w:rPr>
                        </w:pPr>
                        <w:r>
                          <w:rPr>
                            <w:sz w:val="20"/>
                          </w:rPr>
                          <w:t>12</w:t>
                        </w:r>
                      </w:p>
                    </w:tc>
                  </w:tr>
                </w:tbl>
                <w:p>
                  <w:pPr>
                    <w:pStyle w:val="BodyText"/>
                    <w:spacing w:before="0"/>
                    <w:ind w:left="0"/>
                  </w:pPr>
                </w:p>
              </w:txbxContent>
            </v:textbox>
            <w10:wrap type="none"/>
          </v:shape>
        </w:pict>
      </w:r>
      <w:r>
        <w:rPr/>
        <w:t>Required Courses: PhD Molecular Epidemiology Track</w:t>
      </w:r>
    </w:p>
    <w:p>
      <w:pPr>
        <w:spacing w:after="0"/>
        <w:sectPr>
          <w:pgSz w:w="12240" w:h="15840"/>
          <w:pgMar w:header="746" w:footer="0" w:top="1320" w:bottom="280" w:left="880" w:right="300"/>
          <w:cols w:num="2" w:equalWidth="0">
            <w:col w:w="5001" w:space="485"/>
            <w:col w:w="5574"/>
          </w:cols>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2"/>
        <w:gridCol w:w="3015"/>
        <w:gridCol w:w="695"/>
      </w:tblGrid>
      <w:tr>
        <w:trPr>
          <w:trHeight w:val="471" w:hRule="atLeast"/>
        </w:trPr>
        <w:tc>
          <w:tcPr>
            <w:tcW w:w="1242" w:type="dxa"/>
          </w:tcPr>
          <w:p>
            <w:pPr>
              <w:pStyle w:val="TableParagraph"/>
              <w:spacing w:line="223" w:lineRule="exact" w:before="0"/>
              <w:ind w:right="175"/>
              <w:jc w:val="right"/>
              <w:rPr>
                <w:sz w:val="20"/>
              </w:rPr>
            </w:pPr>
            <w:r>
              <w:rPr>
                <w:sz w:val="20"/>
              </w:rPr>
              <w:t>PREV 600</w:t>
            </w:r>
          </w:p>
        </w:tc>
        <w:tc>
          <w:tcPr>
            <w:tcW w:w="3015" w:type="dxa"/>
          </w:tcPr>
          <w:p>
            <w:pPr>
              <w:pStyle w:val="TableParagraph"/>
              <w:spacing w:line="223" w:lineRule="exact" w:before="0"/>
              <w:ind w:left="177"/>
              <w:rPr>
                <w:sz w:val="20"/>
              </w:rPr>
            </w:pPr>
            <w:r>
              <w:rPr>
                <w:sz w:val="20"/>
              </w:rPr>
              <w:t>PRINCIPLES OF</w:t>
            </w:r>
          </w:p>
          <w:p>
            <w:pPr>
              <w:pStyle w:val="TableParagraph"/>
              <w:spacing w:line="219" w:lineRule="exact" w:before="10"/>
              <w:ind w:left="177"/>
              <w:rPr>
                <w:sz w:val="20"/>
              </w:rPr>
            </w:pPr>
            <w:r>
              <w:rPr>
                <w:sz w:val="20"/>
              </w:rPr>
              <w:t>EPIDEMIOLOGY</w:t>
            </w:r>
          </w:p>
        </w:tc>
        <w:tc>
          <w:tcPr>
            <w:tcW w:w="695" w:type="dxa"/>
          </w:tcPr>
          <w:p>
            <w:pPr>
              <w:pStyle w:val="TableParagraph"/>
              <w:spacing w:line="223" w:lineRule="exact" w:before="0"/>
              <w:ind w:right="199"/>
              <w:jc w:val="right"/>
              <w:rPr>
                <w:sz w:val="20"/>
              </w:rPr>
            </w:pPr>
            <w:r>
              <w:rPr>
                <w:w w:val="100"/>
                <w:sz w:val="20"/>
              </w:rPr>
              <w:t>3</w:t>
            </w:r>
          </w:p>
        </w:tc>
      </w:tr>
      <w:tr>
        <w:trPr>
          <w:trHeight w:val="240" w:hRule="atLeast"/>
        </w:trPr>
        <w:tc>
          <w:tcPr>
            <w:tcW w:w="1242" w:type="dxa"/>
          </w:tcPr>
          <w:p>
            <w:pPr>
              <w:pStyle w:val="TableParagraph"/>
              <w:spacing w:line="219" w:lineRule="exact"/>
              <w:ind w:right="175"/>
              <w:jc w:val="right"/>
              <w:rPr>
                <w:sz w:val="20"/>
              </w:rPr>
            </w:pPr>
            <w:r>
              <w:rPr>
                <w:sz w:val="20"/>
              </w:rPr>
              <w:t>PREV 619</w:t>
            </w:r>
          </w:p>
        </w:tc>
        <w:tc>
          <w:tcPr>
            <w:tcW w:w="3015" w:type="dxa"/>
          </w:tcPr>
          <w:p>
            <w:pPr>
              <w:pStyle w:val="TableParagraph"/>
              <w:spacing w:line="219" w:lineRule="exact"/>
              <w:ind w:left="177"/>
              <w:rPr>
                <w:sz w:val="20"/>
              </w:rPr>
            </w:pPr>
            <w:r>
              <w:rPr>
                <w:sz w:val="20"/>
              </w:rPr>
              <w:t>INTRODUCTION TO SAS</w:t>
            </w:r>
          </w:p>
        </w:tc>
        <w:tc>
          <w:tcPr>
            <w:tcW w:w="695" w:type="dxa"/>
          </w:tcPr>
          <w:p>
            <w:pPr>
              <w:pStyle w:val="TableParagraph"/>
              <w:spacing w:line="219" w:lineRule="exact"/>
              <w:ind w:right="199"/>
              <w:jc w:val="right"/>
              <w:rPr>
                <w:sz w:val="20"/>
              </w:rPr>
            </w:pPr>
            <w:r>
              <w:rPr>
                <w:w w:val="100"/>
                <w:sz w:val="20"/>
              </w:rPr>
              <w:t>1</w:t>
            </w:r>
          </w:p>
        </w:tc>
      </w:tr>
      <w:tr>
        <w:trPr>
          <w:trHeight w:val="480" w:hRule="atLeast"/>
        </w:trPr>
        <w:tc>
          <w:tcPr>
            <w:tcW w:w="1242" w:type="dxa"/>
          </w:tcPr>
          <w:p>
            <w:pPr>
              <w:pStyle w:val="TableParagraph"/>
              <w:ind w:right="175"/>
              <w:jc w:val="right"/>
              <w:rPr>
                <w:sz w:val="20"/>
              </w:rPr>
            </w:pPr>
            <w:r>
              <w:rPr>
                <w:sz w:val="20"/>
              </w:rPr>
              <w:t>PREV 620</w:t>
            </w:r>
          </w:p>
        </w:tc>
        <w:tc>
          <w:tcPr>
            <w:tcW w:w="3015" w:type="dxa"/>
          </w:tcPr>
          <w:p>
            <w:pPr>
              <w:pStyle w:val="TableParagraph"/>
              <w:ind w:left="177"/>
              <w:rPr>
                <w:sz w:val="20"/>
              </w:rPr>
            </w:pPr>
            <w:r>
              <w:rPr>
                <w:sz w:val="20"/>
              </w:rPr>
              <w:t>PRINCIPLES</w:t>
            </w:r>
            <w:r>
              <w:rPr>
                <w:spacing w:val="-8"/>
                <w:sz w:val="20"/>
              </w:rPr>
              <w:t> </w:t>
            </w:r>
            <w:r>
              <w:rPr>
                <w:sz w:val="20"/>
              </w:rPr>
              <w:t>OF</w:t>
            </w:r>
          </w:p>
          <w:p>
            <w:pPr>
              <w:pStyle w:val="TableParagraph"/>
              <w:spacing w:line="219" w:lineRule="exact" w:before="10"/>
              <w:ind w:left="177"/>
              <w:rPr>
                <w:sz w:val="20"/>
              </w:rPr>
            </w:pPr>
            <w:r>
              <w:rPr>
                <w:sz w:val="20"/>
              </w:rPr>
              <w:t>BIOSTATISTICS</w:t>
            </w:r>
          </w:p>
        </w:tc>
        <w:tc>
          <w:tcPr>
            <w:tcW w:w="695" w:type="dxa"/>
          </w:tcPr>
          <w:p>
            <w:pPr>
              <w:pStyle w:val="TableParagraph"/>
              <w:ind w:right="199"/>
              <w:jc w:val="right"/>
              <w:rPr>
                <w:sz w:val="20"/>
              </w:rPr>
            </w:pPr>
            <w:r>
              <w:rPr>
                <w:w w:val="100"/>
                <w:sz w:val="20"/>
              </w:rPr>
              <w:t>3</w:t>
            </w:r>
          </w:p>
        </w:tc>
      </w:tr>
      <w:tr>
        <w:trPr>
          <w:trHeight w:val="720" w:hRule="atLeast"/>
        </w:trPr>
        <w:tc>
          <w:tcPr>
            <w:tcW w:w="1242" w:type="dxa"/>
          </w:tcPr>
          <w:p>
            <w:pPr>
              <w:pStyle w:val="TableParagraph"/>
              <w:ind w:right="175"/>
              <w:jc w:val="right"/>
              <w:rPr>
                <w:sz w:val="20"/>
              </w:rPr>
            </w:pPr>
            <w:r>
              <w:rPr>
                <w:sz w:val="20"/>
              </w:rPr>
              <w:t>PREV 659</w:t>
            </w:r>
          </w:p>
        </w:tc>
        <w:tc>
          <w:tcPr>
            <w:tcW w:w="3015" w:type="dxa"/>
          </w:tcPr>
          <w:p>
            <w:pPr>
              <w:pStyle w:val="TableParagraph"/>
              <w:spacing w:line="249" w:lineRule="auto"/>
              <w:ind w:left="177" w:right="557"/>
              <w:rPr>
                <w:sz w:val="20"/>
              </w:rPr>
            </w:pPr>
            <w:r>
              <w:rPr>
                <w:sz w:val="20"/>
              </w:rPr>
              <w:t>OBSERVATIONAL STUDIES IN</w:t>
            </w:r>
          </w:p>
          <w:p>
            <w:pPr>
              <w:pStyle w:val="TableParagraph"/>
              <w:spacing w:line="219" w:lineRule="exact" w:before="2"/>
              <w:ind w:left="177"/>
              <w:rPr>
                <w:sz w:val="20"/>
              </w:rPr>
            </w:pPr>
            <w:r>
              <w:rPr>
                <w:sz w:val="20"/>
              </w:rPr>
              <w:t>EPIDEMIOLOGY</w:t>
            </w:r>
          </w:p>
        </w:tc>
        <w:tc>
          <w:tcPr>
            <w:tcW w:w="695" w:type="dxa"/>
          </w:tcPr>
          <w:p>
            <w:pPr>
              <w:pStyle w:val="TableParagraph"/>
              <w:ind w:right="199"/>
              <w:jc w:val="right"/>
              <w:rPr>
                <w:sz w:val="20"/>
              </w:rPr>
            </w:pPr>
            <w:r>
              <w:rPr>
                <w:w w:val="100"/>
                <w:sz w:val="20"/>
              </w:rPr>
              <w:t>3</w:t>
            </w:r>
          </w:p>
        </w:tc>
      </w:tr>
      <w:tr>
        <w:trPr>
          <w:trHeight w:val="480" w:hRule="atLeast"/>
        </w:trPr>
        <w:tc>
          <w:tcPr>
            <w:tcW w:w="1242" w:type="dxa"/>
          </w:tcPr>
          <w:p>
            <w:pPr>
              <w:pStyle w:val="TableParagraph"/>
              <w:ind w:right="175"/>
              <w:jc w:val="right"/>
              <w:rPr>
                <w:sz w:val="20"/>
              </w:rPr>
            </w:pPr>
            <w:r>
              <w:rPr>
                <w:sz w:val="20"/>
              </w:rPr>
              <w:t>PREV 716</w:t>
            </w:r>
          </w:p>
        </w:tc>
        <w:tc>
          <w:tcPr>
            <w:tcW w:w="3015" w:type="dxa"/>
          </w:tcPr>
          <w:p>
            <w:pPr>
              <w:pStyle w:val="TableParagraph"/>
              <w:ind w:left="177"/>
              <w:rPr>
                <w:sz w:val="20"/>
              </w:rPr>
            </w:pPr>
            <w:r>
              <w:rPr>
                <w:sz w:val="20"/>
              </w:rPr>
              <w:t>CHRONIC DISEASE</w:t>
            </w:r>
          </w:p>
          <w:p>
            <w:pPr>
              <w:pStyle w:val="TableParagraph"/>
              <w:spacing w:line="219" w:lineRule="exact" w:before="10"/>
              <w:ind w:left="177"/>
              <w:rPr>
                <w:sz w:val="20"/>
              </w:rPr>
            </w:pPr>
            <w:r>
              <w:rPr>
                <w:sz w:val="20"/>
              </w:rPr>
              <w:t>EPIDEMIOLOGY</w:t>
            </w:r>
          </w:p>
        </w:tc>
        <w:tc>
          <w:tcPr>
            <w:tcW w:w="695" w:type="dxa"/>
          </w:tcPr>
          <w:p>
            <w:pPr>
              <w:pStyle w:val="TableParagraph"/>
              <w:ind w:right="199"/>
              <w:jc w:val="right"/>
              <w:rPr>
                <w:sz w:val="20"/>
              </w:rPr>
            </w:pPr>
            <w:r>
              <w:rPr>
                <w:w w:val="100"/>
                <w:sz w:val="20"/>
              </w:rPr>
              <w:t>3</w:t>
            </w:r>
          </w:p>
        </w:tc>
      </w:tr>
      <w:tr>
        <w:trPr>
          <w:trHeight w:val="480" w:hRule="atLeast"/>
        </w:trPr>
        <w:tc>
          <w:tcPr>
            <w:tcW w:w="1242" w:type="dxa"/>
          </w:tcPr>
          <w:p>
            <w:pPr>
              <w:pStyle w:val="TableParagraph"/>
              <w:ind w:right="175"/>
              <w:jc w:val="right"/>
              <w:rPr>
                <w:sz w:val="20"/>
              </w:rPr>
            </w:pPr>
            <w:r>
              <w:rPr>
                <w:sz w:val="20"/>
              </w:rPr>
              <w:t>PREV 720</w:t>
            </w:r>
          </w:p>
        </w:tc>
        <w:tc>
          <w:tcPr>
            <w:tcW w:w="3015" w:type="dxa"/>
          </w:tcPr>
          <w:p>
            <w:pPr>
              <w:pStyle w:val="TableParagraph"/>
              <w:ind w:left="177"/>
              <w:rPr>
                <w:sz w:val="20"/>
              </w:rPr>
            </w:pPr>
            <w:r>
              <w:rPr>
                <w:sz w:val="20"/>
              </w:rPr>
              <w:t>STATISTICAL METHODS</w:t>
            </w:r>
          </w:p>
          <w:p>
            <w:pPr>
              <w:pStyle w:val="TableParagraph"/>
              <w:spacing w:line="219" w:lineRule="exact" w:before="10"/>
              <w:ind w:left="177"/>
              <w:rPr>
                <w:sz w:val="20"/>
              </w:rPr>
            </w:pPr>
            <w:r>
              <w:rPr>
                <w:sz w:val="20"/>
              </w:rPr>
              <w:t>IN EPIDEMIOLOGY</w:t>
            </w:r>
          </w:p>
        </w:tc>
        <w:tc>
          <w:tcPr>
            <w:tcW w:w="695" w:type="dxa"/>
          </w:tcPr>
          <w:p>
            <w:pPr>
              <w:pStyle w:val="TableParagraph"/>
              <w:ind w:right="199"/>
              <w:jc w:val="right"/>
              <w:rPr>
                <w:sz w:val="20"/>
              </w:rPr>
            </w:pPr>
            <w:r>
              <w:rPr>
                <w:w w:val="100"/>
                <w:sz w:val="20"/>
              </w:rPr>
              <w:t>3</w:t>
            </w:r>
          </w:p>
        </w:tc>
      </w:tr>
      <w:tr>
        <w:trPr>
          <w:trHeight w:val="720" w:hRule="atLeast"/>
        </w:trPr>
        <w:tc>
          <w:tcPr>
            <w:tcW w:w="1242" w:type="dxa"/>
          </w:tcPr>
          <w:p>
            <w:pPr>
              <w:pStyle w:val="TableParagraph"/>
              <w:ind w:right="175"/>
              <w:jc w:val="right"/>
              <w:rPr>
                <w:sz w:val="20"/>
              </w:rPr>
            </w:pPr>
            <w:r>
              <w:rPr>
                <w:sz w:val="20"/>
              </w:rPr>
              <w:t>PREV 747</w:t>
            </w:r>
          </w:p>
        </w:tc>
        <w:tc>
          <w:tcPr>
            <w:tcW w:w="3015" w:type="dxa"/>
          </w:tcPr>
          <w:p>
            <w:pPr>
              <w:pStyle w:val="TableParagraph"/>
              <w:spacing w:line="249" w:lineRule="auto"/>
              <w:ind w:left="177" w:right="557"/>
              <w:rPr>
                <w:sz w:val="20"/>
              </w:rPr>
            </w:pPr>
            <w:r>
              <w:rPr>
                <w:sz w:val="20"/>
              </w:rPr>
              <w:t>EPIDEMIOLOGY AND PREVENTIVE MEDICINE</w:t>
            </w:r>
          </w:p>
          <w:p>
            <w:pPr>
              <w:pStyle w:val="TableParagraph"/>
              <w:spacing w:line="219" w:lineRule="exact" w:before="2"/>
              <w:ind w:left="177"/>
              <w:rPr>
                <w:sz w:val="20"/>
              </w:rPr>
            </w:pPr>
            <w:r>
              <w:rPr>
                <w:sz w:val="20"/>
              </w:rPr>
              <w:t>RESEARCH PRACTICUM I</w:t>
            </w:r>
          </w:p>
        </w:tc>
        <w:tc>
          <w:tcPr>
            <w:tcW w:w="695" w:type="dxa"/>
          </w:tcPr>
          <w:p>
            <w:pPr>
              <w:pStyle w:val="TableParagraph"/>
              <w:ind w:right="199"/>
              <w:jc w:val="right"/>
              <w:rPr>
                <w:sz w:val="20"/>
              </w:rPr>
            </w:pPr>
            <w:r>
              <w:rPr>
                <w:w w:val="100"/>
                <w:sz w:val="20"/>
              </w:rPr>
              <w:t>3</w:t>
            </w:r>
          </w:p>
        </w:tc>
      </w:tr>
      <w:tr>
        <w:trPr>
          <w:trHeight w:val="720" w:hRule="atLeast"/>
        </w:trPr>
        <w:tc>
          <w:tcPr>
            <w:tcW w:w="1242" w:type="dxa"/>
          </w:tcPr>
          <w:p>
            <w:pPr>
              <w:pStyle w:val="TableParagraph"/>
              <w:ind w:right="175"/>
              <w:jc w:val="right"/>
              <w:rPr>
                <w:sz w:val="20"/>
              </w:rPr>
            </w:pPr>
            <w:r>
              <w:rPr>
                <w:sz w:val="20"/>
              </w:rPr>
              <w:t>PREV 748</w:t>
            </w:r>
          </w:p>
        </w:tc>
        <w:tc>
          <w:tcPr>
            <w:tcW w:w="3015" w:type="dxa"/>
          </w:tcPr>
          <w:p>
            <w:pPr>
              <w:pStyle w:val="TableParagraph"/>
              <w:spacing w:line="249" w:lineRule="auto"/>
              <w:ind w:left="177" w:right="557"/>
              <w:rPr>
                <w:sz w:val="20"/>
              </w:rPr>
            </w:pPr>
            <w:r>
              <w:rPr>
                <w:sz w:val="20"/>
              </w:rPr>
              <w:t>EPIDEMIOLOGY AND PREVENTIVE MEDICINE</w:t>
            </w:r>
          </w:p>
          <w:p>
            <w:pPr>
              <w:pStyle w:val="TableParagraph"/>
              <w:spacing w:line="219" w:lineRule="exact" w:before="2"/>
              <w:ind w:left="177"/>
              <w:rPr>
                <w:sz w:val="20"/>
              </w:rPr>
            </w:pPr>
            <w:r>
              <w:rPr>
                <w:sz w:val="20"/>
              </w:rPr>
              <w:t>RESEARCH PRACTICUM II</w:t>
            </w:r>
          </w:p>
        </w:tc>
        <w:tc>
          <w:tcPr>
            <w:tcW w:w="695" w:type="dxa"/>
          </w:tcPr>
          <w:p>
            <w:pPr>
              <w:pStyle w:val="TableParagraph"/>
              <w:ind w:right="199"/>
              <w:jc w:val="right"/>
              <w:rPr>
                <w:sz w:val="20"/>
              </w:rPr>
            </w:pPr>
            <w:r>
              <w:rPr>
                <w:w w:val="100"/>
                <w:sz w:val="20"/>
              </w:rPr>
              <w:t>2</w:t>
            </w:r>
          </w:p>
        </w:tc>
      </w:tr>
      <w:tr>
        <w:trPr>
          <w:trHeight w:val="720" w:hRule="atLeast"/>
        </w:trPr>
        <w:tc>
          <w:tcPr>
            <w:tcW w:w="1242" w:type="dxa"/>
          </w:tcPr>
          <w:p>
            <w:pPr>
              <w:pStyle w:val="TableParagraph"/>
              <w:ind w:right="175"/>
              <w:jc w:val="right"/>
              <w:rPr>
                <w:sz w:val="20"/>
              </w:rPr>
            </w:pPr>
            <w:r>
              <w:rPr>
                <w:sz w:val="20"/>
              </w:rPr>
              <w:t>PREV 749</w:t>
            </w:r>
          </w:p>
        </w:tc>
        <w:tc>
          <w:tcPr>
            <w:tcW w:w="3015" w:type="dxa"/>
          </w:tcPr>
          <w:p>
            <w:pPr>
              <w:pStyle w:val="TableParagraph"/>
              <w:spacing w:line="249" w:lineRule="auto"/>
              <w:ind w:left="177" w:right="779"/>
              <w:rPr>
                <w:sz w:val="20"/>
              </w:rPr>
            </w:pPr>
            <w:r>
              <w:rPr>
                <w:sz w:val="20"/>
              </w:rPr>
              <w:t>INFECTIOUS DISEASE EPIDEMIOLOGY - A</w:t>
            </w:r>
          </w:p>
          <w:p>
            <w:pPr>
              <w:pStyle w:val="TableParagraph"/>
              <w:spacing w:line="219" w:lineRule="exact" w:before="2"/>
              <w:ind w:left="177"/>
              <w:rPr>
                <w:sz w:val="20"/>
              </w:rPr>
            </w:pPr>
            <w:r>
              <w:rPr>
                <w:sz w:val="20"/>
              </w:rPr>
              <w:t>GLOBAL PERSPECTIVE</w:t>
            </w:r>
          </w:p>
        </w:tc>
        <w:tc>
          <w:tcPr>
            <w:tcW w:w="695" w:type="dxa"/>
          </w:tcPr>
          <w:p>
            <w:pPr>
              <w:pStyle w:val="TableParagraph"/>
              <w:ind w:right="199"/>
              <w:jc w:val="right"/>
              <w:rPr>
                <w:sz w:val="20"/>
              </w:rPr>
            </w:pPr>
            <w:r>
              <w:rPr>
                <w:w w:val="100"/>
                <w:sz w:val="20"/>
              </w:rPr>
              <w:t>3</w:t>
            </w:r>
          </w:p>
        </w:tc>
      </w:tr>
      <w:tr>
        <w:trPr>
          <w:trHeight w:val="480" w:hRule="atLeast"/>
        </w:trPr>
        <w:tc>
          <w:tcPr>
            <w:tcW w:w="1242" w:type="dxa"/>
          </w:tcPr>
          <w:p>
            <w:pPr>
              <w:pStyle w:val="TableParagraph"/>
              <w:ind w:right="175"/>
              <w:jc w:val="right"/>
              <w:rPr>
                <w:sz w:val="20"/>
              </w:rPr>
            </w:pPr>
            <w:r>
              <w:rPr>
                <w:sz w:val="20"/>
              </w:rPr>
              <w:t>PREV 758</w:t>
            </w:r>
          </w:p>
        </w:tc>
        <w:tc>
          <w:tcPr>
            <w:tcW w:w="3015" w:type="dxa"/>
          </w:tcPr>
          <w:p>
            <w:pPr>
              <w:pStyle w:val="TableParagraph"/>
              <w:ind w:left="177"/>
              <w:rPr>
                <w:sz w:val="20"/>
              </w:rPr>
            </w:pPr>
            <w:r>
              <w:rPr>
                <w:sz w:val="20"/>
              </w:rPr>
              <w:t>HEALTH SURVEY</w:t>
            </w:r>
          </w:p>
          <w:p>
            <w:pPr>
              <w:pStyle w:val="TableParagraph"/>
              <w:spacing w:line="219" w:lineRule="exact" w:before="10"/>
              <w:ind w:left="177"/>
              <w:rPr>
                <w:sz w:val="20"/>
              </w:rPr>
            </w:pPr>
            <w:r>
              <w:rPr>
                <w:sz w:val="20"/>
              </w:rPr>
              <w:t>RESEARCH METHODS</w:t>
            </w:r>
          </w:p>
        </w:tc>
        <w:tc>
          <w:tcPr>
            <w:tcW w:w="695" w:type="dxa"/>
          </w:tcPr>
          <w:p>
            <w:pPr>
              <w:pStyle w:val="TableParagraph"/>
              <w:ind w:right="199"/>
              <w:jc w:val="right"/>
              <w:rPr>
                <w:sz w:val="20"/>
              </w:rPr>
            </w:pPr>
            <w:r>
              <w:rPr>
                <w:w w:val="100"/>
                <w:sz w:val="20"/>
              </w:rPr>
              <w:t>3</w:t>
            </w:r>
          </w:p>
        </w:tc>
      </w:tr>
      <w:tr>
        <w:trPr>
          <w:trHeight w:val="231" w:hRule="atLeast"/>
        </w:trPr>
        <w:tc>
          <w:tcPr>
            <w:tcW w:w="1242" w:type="dxa"/>
          </w:tcPr>
          <w:p>
            <w:pPr>
              <w:pStyle w:val="TableParagraph"/>
              <w:spacing w:line="210" w:lineRule="exact"/>
              <w:ind w:right="175"/>
              <w:jc w:val="right"/>
              <w:rPr>
                <w:sz w:val="20"/>
              </w:rPr>
            </w:pPr>
            <w:r>
              <w:rPr>
                <w:sz w:val="20"/>
              </w:rPr>
              <w:t>PREV 803</w:t>
            </w:r>
          </w:p>
        </w:tc>
        <w:tc>
          <w:tcPr>
            <w:tcW w:w="3015" w:type="dxa"/>
          </w:tcPr>
          <w:p>
            <w:pPr>
              <w:pStyle w:val="TableParagraph"/>
              <w:spacing w:line="210" w:lineRule="exact"/>
              <w:ind w:left="177"/>
              <w:rPr>
                <w:sz w:val="20"/>
              </w:rPr>
            </w:pPr>
            <w:r>
              <w:rPr>
                <w:sz w:val="20"/>
              </w:rPr>
              <w:t>CLINICAL TRIALS AND</w:t>
            </w:r>
          </w:p>
        </w:tc>
        <w:tc>
          <w:tcPr>
            <w:tcW w:w="695" w:type="dxa"/>
          </w:tcPr>
          <w:p>
            <w:pPr>
              <w:pStyle w:val="TableParagraph"/>
              <w:spacing w:line="210" w:lineRule="exact"/>
              <w:ind w:right="199"/>
              <w:jc w:val="right"/>
              <w:rPr>
                <w:sz w:val="20"/>
              </w:rPr>
            </w:pPr>
            <w:r>
              <w:rPr>
                <w:w w:val="100"/>
                <w:sz w:val="20"/>
              </w:rPr>
              <w:t>3</w:t>
            </w:r>
          </w:p>
        </w:tc>
      </w:tr>
    </w:tbl>
    <w:p>
      <w:pPr>
        <w:spacing w:after="0" w:line="210" w:lineRule="exact"/>
        <w:jc w:val="right"/>
        <w:rPr>
          <w:sz w:val="20"/>
        </w:rPr>
        <w:sectPr>
          <w:type w:val="continuous"/>
          <w:pgSz w:w="12240" w:h="15840"/>
          <w:pgMar w:top="1500" w:bottom="280" w:left="880" w:right="300"/>
        </w:sectPr>
      </w:pPr>
    </w:p>
    <w:p>
      <w:pPr>
        <w:pStyle w:val="BodyText"/>
        <w:spacing w:before="3"/>
        <w:ind w:left="0"/>
        <w:rPr>
          <w:sz w:val="9"/>
        </w:rPr>
      </w:pPr>
    </w:p>
    <w:p>
      <w:pPr>
        <w:pStyle w:val="BodyText"/>
        <w:tabs>
          <w:tab w:pos="5592" w:val="left" w:leader="none"/>
        </w:tabs>
        <w:spacing w:before="0"/>
        <w:ind w:left="105"/>
      </w:pPr>
      <w:r>
        <w:rPr/>
        <w:pict>
          <v:shape style="width:247.8pt;height:47.2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6"/>
                    <w:gridCol w:w="2771"/>
                    <w:gridCol w:w="988"/>
                  </w:tblGrid>
                  <w:tr>
                    <w:trPr>
                      <w:trHeight w:val="231" w:hRule="atLeast"/>
                    </w:trPr>
                    <w:tc>
                      <w:tcPr>
                        <w:tcW w:w="1196" w:type="dxa"/>
                      </w:tcPr>
                      <w:p>
                        <w:pPr>
                          <w:pStyle w:val="TableParagraph"/>
                          <w:spacing w:line="212" w:lineRule="exact" w:before="0"/>
                          <w:ind w:right="216"/>
                          <w:jc w:val="right"/>
                          <w:rPr>
                            <w:sz w:val="20"/>
                          </w:rPr>
                        </w:pPr>
                        <w:r>
                          <w:rPr>
                            <w:sz w:val="20"/>
                          </w:rPr>
                          <w:t>CIPP 907</w:t>
                        </w:r>
                      </w:p>
                    </w:tc>
                    <w:tc>
                      <w:tcPr>
                        <w:tcW w:w="2771" w:type="dxa"/>
                      </w:tcPr>
                      <w:p>
                        <w:pPr>
                          <w:pStyle w:val="TableParagraph"/>
                          <w:spacing w:line="212" w:lineRule="exact" w:before="0"/>
                          <w:ind w:left="218"/>
                          <w:rPr>
                            <w:sz w:val="20"/>
                          </w:rPr>
                        </w:pPr>
                        <w:r>
                          <w:rPr>
                            <w:sz w:val="20"/>
                          </w:rPr>
                          <w:t>RESEARCH ETHICS</w:t>
                        </w:r>
                      </w:p>
                    </w:tc>
                    <w:tc>
                      <w:tcPr>
                        <w:tcW w:w="988" w:type="dxa"/>
                      </w:tcPr>
                      <w:p>
                        <w:pPr>
                          <w:pStyle w:val="TableParagraph"/>
                          <w:spacing w:line="212" w:lineRule="exact" w:before="0"/>
                          <w:ind w:right="202"/>
                          <w:jc w:val="right"/>
                          <w:rPr>
                            <w:sz w:val="20"/>
                          </w:rPr>
                        </w:pPr>
                        <w:r>
                          <w:rPr>
                            <w:w w:val="100"/>
                            <w:sz w:val="20"/>
                          </w:rPr>
                          <w:t>1</w:t>
                        </w:r>
                      </w:p>
                    </w:tc>
                  </w:tr>
                  <w:tr>
                    <w:trPr>
                      <w:trHeight w:val="240" w:hRule="atLeast"/>
                    </w:trPr>
                    <w:tc>
                      <w:tcPr>
                        <w:tcW w:w="1196" w:type="dxa"/>
                      </w:tcPr>
                      <w:p>
                        <w:pPr>
                          <w:pStyle w:val="TableParagraph"/>
                          <w:spacing w:before="0"/>
                          <w:rPr>
                            <w:sz w:val="16"/>
                          </w:rPr>
                        </w:pPr>
                      </w:p>
                    </w:tc>
                    <w:tc>
                      <w:tcPr>
                        <w:tcW w:w="2771" w:type="dxa"/>
                      </w:tcPr>
                      <w:p>
                        <w:pPr>
                          <w:pStyle w:val="TableParagraph"/>
                          <w:spacing w:line="219" w:lineRule="exact"/>
                          <w:ind w:left="218"/>
                          <w:rPr>
                            <w:sz w:val="20"/>
                          </w:rPr>
                        </w:pPr>
                        <w:r>
                          <w:rPr>
                            <w:sz w:val="20"/>
                          </w:rPr>
                          <w:t>Or</w:t>
                        </w:r>
                      </w:p>
                    </w:tc>
                    <w:tc>
                      <w:tcPr>
                        <w:tcW w:w="988" w:type="dxa"/>
                      </w:tcPr>
                      <w:p>
                        <w:pPr>
                          <w:pStyle w:val="TableParagraph"/>
                          <w:spacing w:before="0"/>
                          <w:rPr>
                            <w:sz w:val="16"/>
                          </w:rPr>
                        </w:pPr>
                      </w:p>
                    </w:tc>
                  </w:tr>
                  <w:tr>
                    <w:trPr>
                      <w:trHeight w:val="471" w:hRule="atLeast"/>
                    </w:trPr>
                    <w:tc>
                      <w:tcPr>
                        <w:tcW w:w="1196" w:type="dxa"/>
                      </w:tcPr>
                      <w:p>
                        <w:pPr>
                          <w:pStyle w:val="TableParagraph"/>
                          <w:ind w:right="216"/>
                          <w:jc w:val="right"/>
                          <w:rPr>
                            <w:sz w:val="20"/>
                          </w:rPr>
                        </w:pPr>
                        <w:r>
                          <w:rPr>
                            <w:sz w:val="20"/>
                          </w:rPr>
                          <w:t>CIPP 909</w:t>
                        </w:r>
                      </w:p>
                    </w:tc>
                    <w:tc>
                      <w:tcPr>
                        <w:tcW w:w="2771" w:type="dxa"/>
                      </w:tcPr>
                      <w:p>
                        <w:pPr>
                          <w:pStyle w:val="TableParagraph"/>
                          <w:ind w:left="218"/>
                          <w:rPr>
                            <w:sz w:val="20"/>
                          </w:rPr>
                        </w:pPr>
                        <w:r>
                          <w:rPr>
                            <w:sz w:val="20"/>
                          </w:rPr>
                          <w:t>RESPONSIBLE CONDUCT</w:t>
                        </w:r>
                      </w:p>
                      <w:p>
                        <w:pPr>
                          <w:pStyle w:val="TableParagraph"/>
                          <w:spacing w:line="210" w:lineRule="exact" w:before="10"/>
                          <w:ind w:left="218"/>
                          <w:rPr>
                            <w:sz w:val="20"/>
                          </w:rPr>
                        </w:pPr>
                        <w:r>
                          <w:rPr>
                            <w:sz w:val="20"/>
                          </w:rPr>
                          <w:t>OF RESEARCH</w:t>
                        </w:r>
                      </w:p>
                    </w:tc>
                    <w:tc>
                      <w:tcPr>
                        <w:tcW w:w="988" w:type="dxa"/>
                      </w:tcPr>
                      <w:p>
                        <w:pPr>
                          <w:pStyle w:val="TableParagraph"/>
                          <w:ind w:right="197"/>
                          <w:jc w:val="right"/>
                          <w:rPr>
                            <w:sz w:val="20"/>
                          </w:rPr>
                        </w:pPr>
                        <w:r>
                          <w:rPr>
                            <w:sz w:val="20"/>
                          </w:rPr>
                          <w:t>1 TO 2</w:t>
                        </w:r>
                      </w:p>
                    </w:tc>
                  </w:tr>
                </w:tbl>
                <w:p>
                  <w:pPr>
                    <w:pStyle w:val="BodyText"/>
                    <w:spacing w:before="0"/>
                    <w:ind w:left="0"/>
                  </w:pPr>
                </w:p>
              </w:txbxContent>
            </v:textbox>
          </v:shape>
        </w:pict>
      </w:r>
      <w:r>
        <w:rPr/>
      </w:r>
      <w:r>
        <w:rPr/>
        <w:tab/>
      </w:r>
      <w:r>
        <w:rPr/>
        <w:pict>
          <v:shape style="width:247.85pt;height:47.2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2533"/>
                    <w:gridCol w:w="1175"/>
                  </w:tblGrid>
                  <w:tr>
                    <w:trPr>
                      <w:trHeight w:val="231" w:hRule="atLeast"/>
                    </w:trPr>
                    <w:tc>
                      <w:tcPr>
                        <w:tcW w:w="1249" w:type="dxa"/>
                      </w:tcPr>
                      <w:p>
                        <w:pPr>
                          <w:pStyle w:val="TableParagraph"/>
                          <w:spacing w:line="212" w:lineRule="exact" w:before="0"/>
                          <w:ind w:left="200"/>
                          <w:rPr>
                            <w:sz w:val="20"/>
                          </w:rPr>
                        </w:pPr>
                        <w:r>
                          <w:rPr>
                            <w:sz w:val="20"/>
                          </w:rPr>
                          <w:t>CIPP 907</w:t>
                        </w:r>
                      </w:p>
                    </w:tc>
                    <w:tc>
                      <w:tcPr>
                        <w:tcW w:w="2533" w:type="dxa"/>
                      </w:tcPr>
                      <w:p>
                        <w:pPr>
                          <w:pStyle w:val="TableParagraph"/>
                          <w:spacing w:line="212" w:lineRule="exact" w:before="0"/>
                          <w:ind w:left="184"/>
                          <w:rPr>
                            <w:sz w:val="20"/>
                          </w:rPr>
                        </w:pPr>
                        <w:r>
                          <w:rPr>
                            <w:sz w:val="20"/>
                          </w:rPr>
                          <w:t>RESEARCH ETHICS</w:t>
                        </w:r>
                      </w:p>
                    </w:tc>
                    <w:tc>
                      <w:tcPr>
                        <w:tcW w:w="1175" w:type="dxa"/>
                      </w:tcPr>
                      <w:p>
                        <w:pPr>
                          <w:pStyle w:val="TableParagraph"/>
                          <w:spacing w:line="212" w:lineRule="exact" w:before="0"/>
                          <w:ind w:right="204"/>
                          <w:jc w:val="right"/>
                          <w:rPr>
                            <w:sz w:val="20"/>
                          </w:rPr>
                        </w:pPr>
                        <w:r>
                          <w:rPr>
                            <w:w w:val="100"/>
                            <w:sz w:val="20"/>
                          </w:rPr>
                          <w:t>1</w:t>
                        </w:r>
                      </w:p>
                    </w:tc>
                  </w:tr>
                  <w:tr>
                    <w:trPr>
                      <w:trHeight w:val="711" w:hRule="atLeast"/>
                    </w:trPr>
                    <w:tc>
                      <w:tcPr>
                        <w:tcW w:w="1249" w:type="dxa"/>
                      </w:tcPr>
                      <w:p>
                        <w:pPr>
                          <w:pStyle w:val="TableParagraph"/>
                          <w:ind w:left="200"/>
                          <w:rPr>
                            <w:sz w:val="20"/>
                          </w:rPr>
                        </w:pPr>
                        <w:r>
                          <w:rPr>
                            <w:sz w:val="20"/>
                          </w:rPr>
                          <w:t>PREV 899</w:t>
                        </w:r>
                      </w:p>
                    </w:tc>
                    <w:tc>
                      <w:tcPr>
                        <w:tcW w:w="2533" w:type="dxa"/>
                      </w:tcPr>
                      <w:p>
                        <w:pPr>
                          <w:pStyle w:val="TableParagraph"/>
                          <w:spacing w:line="249" w:lineRule="auto"/>
                          <w:ind w:left="184" w:right="895"/>
                          <w:rPr>
                            <w:sz w:val="20"/>
                          </w:rPr>
                        </w:pPr>
                        <w:r>
                          <w:rPr>
                            <w:sz w:val="20"/>
                          </w:rPr>
                          <w:t>DOCTORAL DISSERTATION</w:t>
                        </w:r>
                      </w:p>
                      <w:p>
                        <w:pPr>
                          <w:pStyle w:val="TableParagraph"/>
                          <w:spacing w:line="210" w:lineRule="exact" w:before="2"/>
                          <w:ind w:left="184"/>
                          <w:rPr>
                            <w:sz w:val="20"/>
                          </w:rPr>
                        </w:pPr>
                        <w:r>
                          <w:rPr>
                            <w:sz w:val="20"/>
                          </w:rPr>
                          <w:t>RESEARCH</w:t>
                        </w:r>
                      </w:p>
                    </w:tc>
                    <w:tc>
                      <w:tcPr>
                        <w:tcW w:w="1175" w:type="dxa"/>
                      </w:tcPr>
                      <w:p>
                        <w:pPr>
                          <w:pStyle w:val="TableParagraph"/>
                          <w:ind w:left="550"/>
                          <w:rPr>
                            <w:sz w:val="20"/>
                          </w:rPr>
                        </w:pPr>
                        <w:r>
                          <w:rPr>
                            <w:sz w:val="20"/>
                          </w:rPr>
                          <w:t>1</w:t>
                        </w:r>
                        <w:r>
                          <w:rPr>
                            <w:spacing w:val="5"/>
                            <w:sz w:val="20"/>
                          </w:rPr>
                          <w:t> </w:t>
                        </w:r>
                        <w:r>
                          <w:rPr>
                            <w:sz w:val="20"/>
                          </w:rPr>
                          <w:t>TO</w:t>
                        </w:r>
                      </w:p>
                      <w:p>
                        <w:pPr>
                          <w:pStyle w:val="TableParagraph"/>
                          <w:spacing w:before="10"/>
                          <w:ind w:left="766"/>
                          <w:rPr>
                            <w:sz w:val="20"/>
                          </w:rPr>
                        </w:pPr>
                        <w:r>
                          <w:rPr>
                            <w:sz w:val="20"/>
                          </w:rPr>
                          <w:t>12</w:t>
                        </w:r>
                      </w:p>
                    </w:tc>
                  </w:tr>
                </w:tbl>
                <w:p>
                  <w:pPr>
                    <w:pStyle w:val="BodyText"/>
                    <w:spacing w:before="0"/>
                    <w:ind w:left="0"/>
                  </w:pPr>
                </w:p>
              </w:txbxContent>
            </v:textbox>
          </v:shape>
        </w:pict>
      </w:r>
      <w:r>
        <w:rPr/>
      </w:r>
    </w:p>
    <w:p>
      <w:pPr>
        <w:spacing w:after="0"/>
        <w:sectPr>
          <w:pgSz w:w="12240" w:h="15840"/>
          <w:pgMar w:header="746" w:footer="0" w:top="1320" w:bottom="280" w:left="880" w:right="300"/>
        </w:sectPr>
      </w:pPr>
    </w:p>
    <w:p>
      <w:pPr>
        <w:spacing w:line="314" w:lineRule="auto" w:before="66"/>
        <w:ind w:left="200" w:right="2481" w:firstLine="0"/>
        <w:jc w:val="left"/>
        <w:rPr>
          <w:i/>
          <w:sz w:val="20"/>
        </w:rPr>
      </w:pPr>
      <w:r>
        <w:rPr>
          <w:i/>
          <w:sz w:val="20"/>
        </w:rPr>
        <w:t>11 credits of general electives </w:t>
      </w:r>
      <w:r>
        <w:rPr>
          <w:i/>
          <w:sz w:val="20"/>
        </w:rPr>
        <w:t>CIPP 907: or equivalent</w:t>
      </w:r>
    </w:p>
    <w:p>
      <w:pPr>
        <w:spacing w:line="227" w:lineRule="exact" w:before="0"/>
        <w:ind w:left="200" w:right="0" w:firstLine="0"/>
        <w:jc w:val="left"/>
        <w:rPr>
          <w:i/>
          <w:sz w:val="20"/>
        </w:rPr>
      </w:pPr>
      <w:r>
        <w:rPr>
          <w:i/>
          <w:sz w:val="20"/>
        </w:rPr>
        <w:t>PREV 899: 12 credits minimum</w:t>
      </w:r>
    </w:p>
    <w:p>
      <w:pPr>
        <w:pStyle w:val="Heading5"/>
        <w:spacing w:before="183"/>
      </w:pPr>
      <w:r>
        <w:rPr/>
        <w:t>Required Courses: PhD Human Genetics Track</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0"/>
        <w:gridCol w:w="2764"/>
        <w:gridCol w:w="921"/>
      </w:tblGrid>
      <w:tr>
        <w:trPr>
          <w:trHeight w:val="711" w:hRule="atLeast"/>
        </w:trPr>
        <w:tc>
          <w:tcPr>
            <w:tcW w:w="1270" w:type="dxa"/>
          </w:tcPr>
          <w:p>
            <w:pPr>
              <w:pStyle w:val="TableParagraph"/>
              <w:spacing w:line="223" w:lineRule="exact" w:before="0"/>
              <w:ind w:left="200"/>
              <w:rPr>
                <w:sz w:val="20"/>
              </w:rPr>
            </w:pPr>
            <w:r>
              <w:rPr>
                <w:sz w:val="20"/>
              </w:rPr>
              <w:t>GPLS 601</w:t>
            </w:r>
          </w:p>
        </w:tc>
        <w:tc>
          <w:tcPr>
            <w:tcW w:w="2764" w:type="dxa"/>
          </w:tcPr>
          <w:p>
            <w:pPr>
              <w:pStyle w:val="TableParagraph"/>
              <w:spacing w:line="249" w:lineRule="auto" w:before="0"/>
              <w:ind w:left="163" w:right="275"/>
              <w:rPr>
                <w:sz w:val="20"/>
              </w:rPr>
            </w:pPr>
            <w:r>
              <w:rPr>
                <w:sz w:val="20"/>
              </w:rPr>
              <w:t>MECHANISMS IN BIOMEDICAL SCIENCES:</w:t>
            </w:r>
          </w:p>
          <w:p>
            <w:pPr>
              <w:pStyle w:val="TableParagraph"/>
              <w:spacing w:line="219" w:lineRule="exact" w:before="0"/>
              <w:ind w:left="163"/>
              <w:rPr>
                <w:sz w:val="20"/>
              </w:rPr>
            </w:pPr>
            <w:r>
              <w:rPr>
                <w:sz w:val="20"/>
              </w:rPr>
              <w:t>FROM GENES TO DISEASE</w:t>
            </w:r>
          </w:p>
        </w:tc>
        <w:tc>
          <w:tcPr>
            <w:tcW w:w="921" w:type="dxa"/>
          </w:tcPr>
          <w:p>
            <w:pPr>
              <w:pStyle w:val="TableParagraph"/>
              <w:spacing w:line="223" w:lineRule="exact" w:before="0"/>
              <w:ind w:right="202"/>
              <w:jc w:val="right"/>
              <w:rPr>
                <w:sz w:val="20"/>
              </w:rPr>
            </w:pPr>
            <w:r>
              <w:rPr>
                <w:w w:val="100"/>
                <w:sz w:val="20"/>
              </w:rPr>
              <w:t>8</w:t>
            </w:r>
          </w:p>
        </w:tc>
      </w:tr>
      <w:tr>
        <w:trPr>
          <w:trHeight w:val="480" w:hRule="atLeast"/>
        </w:trPr>
        <w:tc>
          <w:tcPr>
            <w:tcW w:w="1270" w:type="dxa"/>
          </w:tcPr>
          <w:p>
            <w:pPr>
              <w:pStyle w:val="TableParagraph"/>
              <w:ind w:left="200"/>
              <w:rPr>
                <w:sz w:val="20"/>
              </w:rPr>
            </w:pPr>
            <w:r>
              <w:rPr>
                <w:sz w:val="20"/>
              </w:rPr>
              <w:t>GPLS 716</w:t>
            </w:r>
          </w:p>
        </w:tc>
        <w:tc>
          <w:tcPr>
            <w:tcW w:w="2764" w:type="dxa"/>
          </w:tcPr>
          <w:p>
            <w:pPr>
              <w:pStyle w:val="TableParagraph"/>
              <w:ind w:left="163"/>
              <w:rPr>
                <w:sz w:val="20"/>
              </w:rPr>
            </w:pPr>
            <w:r>
              <w:rPr>
                <w:sz w:val="20"/>
              </w:rPr>
              <w:t>GENOMICS AND</w:t>
            </w:r>
          </w:p>
          <w:p>
            <w:pPr>
              <w:pStyle w:val="TableParagraph"/>
              <w:spacing w:line="219" w:lineRule="exact" w:before="10"/>
              <w:ind w:left="163"/>
              <w:rPr>
                <w:sz w:val="20"/>
              </w:rPr>
            </w:pPr>
            <w:r>
              <w:rPr>
                <w:sz w:val="20"/>
              </w:rPr>
              <w:t>BIOINFORMATICS</w:t>
            </w:r>
          </w:p>
        </w:tc>
        <w:tc>
          <w:tcPr>
            <w:tcW w:w="921" w:type="dxa"/>
          </w:tcPr>
          <w:p>
            <w:pPr>
              <w:pStyle w:val="TableParagraph"/>
              <w:ind w:right="202"/>
              <w:jc w:val="right"/>
              <w:rPr>
                <w:sz w:val="20"/>
              </w:rPr>
            </w:pPr>
            <w:r>
              <w:rPr>
                <w:w w:val="100"/>
                <w:sz w:val="20"/>
              </w:rPr>
              <w:t>3</w:t>
            </w:r>
          </w:p>
        </w:tc>
      </w:tr>
      <w:tr>
        <w:trPr>
          <w:trHeight w:val="480" w:hRule="atLeast"/>
        </w:trPr>
        <w:tc>
          <w:tcPr>
            <w:tcW w:w="1270" w:type="dxa"/>
          </w:tcPr>
          <w:p>
            <w:pPr>
              <w:pStyle w:val="TableParagraph"/>
              <w:ind w:left="200"/>
              <w:rPr>
                <w:sz w:val="20"/>
              </w:rPr>
            </w:pPr>
            <w:r>
              <w:rPr>
                <w:sz w:val="20"/>
              </w:rPr>
              <w:t>HGEN 601</w:t>
            </w:r>
          </w:p>
        </w:tc>
        <w:tc>
          <w:tcPr>
            <w:tcW w:w="2764" w:type="dxa"/>
          </w:tcPr>
          <w:p>
            <w:pPr>
              <w:pStyle w:val="TableParagraph"/>
              <w:ind w:left="163"/>
              <w:rPr>
                <w:sz w:val="20"/>
              </w:rPr>
            </w:pPr>
            <w:r>
              <w:rPr>
                <w:sz w:val="20"/>
              </w:rPr>
              <w:t>BASIC HUMAN GENETICS</w:t>
            </w:r>
          </w:p>
          <w:p>
            <w:pPr>
              <w:pStyle w:val="TableParagraph"/>
              <w:spacing w:line="219" w:lineRule="exact" w:before="10"/>
              <w:ind w:left="163"/>
              <w:rPr>
                <w:sz w:val="20"/>
              </w:rPr>
            </w:pPr>
            <w:r>
              <w:rPr>
                <w:w w:val="100"/>
                <w:sz w:val="20"/>
              </w:rPr>
              <w:t>I</w:t>
            </w:r>
          </w:p>
        </w:tc>
        <w:tc>
          <w:tcPr>
            <w:tcW w:w="921" w:type="dxa"/>
          </w:tcPr>
          <w:p>
            <w:pPr>
              <w:pStyle w:val="TableParagraph"/>
              <w:ind w:right="202"/>
              <w:jc w:val="right"/>
              <w:rPr>
                <w:sz w:val="20"/>
              </w:rPr>
            </w:pPr>
            <w:r>
              <w:rPr>
                <w:w w:val="100"/>
                <w:sz w:val="20"/>
              </w:rPr>
              <w:t>4</w:t>
            </w:r>
          </w:p>
        </w:tc>
      </w:tr>
      <w:tr>
        <w:trPr>
          <w:trHeight w:val="480" w:hRule="atLeast"/>
        </w:trPr>
        <w:tc>
          <w:tcPr>
            <w:tcW w:w="1270" w:type="dxa"/>
          </w:tcPr>
          <w:p>
            <w:pPr>
              <w:pStyle w:val="TableParagraph"/>
              <w:ind w:left="200"/>
              <w:rPr>
                <w:sz w:val="20"/>
              </w:rPr>
            </w:pPr>
            <w:r>
              <w:rPr>
                <w:sz w:val="20"/>
              </w:rPr>
              <w:t>HGEN 602</w:t>
            </w:r>
          </w:p>
        </w:tc>
        <w:tc>
          <w:tcPr>
            <w:tcW w:w="2764" w:type="dxa"/>
          </w:tcPr>
          <w:p>
            <w:pPr>
              <w:pStyle w:val="TableParagraph"/>
              <w:ind w:left="163"/>
              <w:rPr>
                <w:sz w:val="20"/>
              </w:rPr>
            </w:pPr>
            <w:r>
              <w:rPr>
                <w:sz w:val="20"/>
              </w:rPr>
              <w:t>BASIC HUMAN GENETICS</w:t>
            </w:r>
          </w:p>
          <w:p>
            <w:pPr>
              <w:pStyle w:val="TableParagraph"/>
              <w:spacing w:line="219" w:lineRule="exact" w:before="10"/>
              <w:ind w:left="163"/>
              <w:rPr>
                <w:sz w:val="20"/>
              </w:rPr>
            </w:pPr>
            <w:r>
              <w:rPr>
                <w:sz w:val="20"/>
              </w:rPr>
              <w:t>II</w:t>
            </w:r>
          </w:p>
        </w:tc>
        <w:tc>
          <w:tcPr>
            <w:tcW w:w="921" w:type="dxa"/>
          </w:tcPr>
          <w:p>
            <w:pPr>
              <w:pStyle w:val="TableParagraph"/>
              <w:ind w:right="202"/>
              <w:jc w:val="right"/>
              <w:rPr>
                <w:sz w:val="20"/>
              </w:rPr>
            </w:pPr>
            <w:r>
              <w:rPr>
                <w:w w:val="100"/>
                <w:sz w:val="20"/>
              </w:rPr>
              <w:t>4</w:t>
            </w:r>
          </w:p>
        </w:tc>
      </w:tr>
      <w:tr>
        <w:trPr>
          <w:trHeight w:val="600" w:hRule="atLeast"/>
        </w:trPr>
        <w:tc>
          <w:tcPr>
            <w:tcW w:w="1270" w:type="dxa"/>
          </w:tcPr>
          <w:p>
            <w:pPr>
              <w:pStyle w:val="TableParagraph"/>
              <w:ind w:left="200"/>
              <w:rPr>
                <w:sz w:val="20"/>
              </w:rPr>
            </w:pPr>
            <w:r>
              <w:rPr>
                <w:sz w:val="20"/>
              </w:rPr>
              <w:t>HGEN 608</w:t>
            </w:r>
          </w:p>
        </w:tc>
        <w:tc>
          <w:tcPr>
            <w:tcW w:w="2764" w:type="dxa"/>
          </w:tcPr>
          <w:p>
            <w:pPr>
              <w:pStyle w:val="TableParagraph"/>
              <w:spacing w:line="249" w:lineRule="auto"/>
              <w:ind w:left="163" w:right="808"/>
              <w:rPr>
                <w:sz w:val="20"/>
              </w:rPr>
            </w:pPr>
            <w:r>
              <w:rPr>
                <w:sz w:val="20"/>
              </w:rPr>
              <w:t>HUMAN GENETICS SEMINAR</w:t>
            </w:r>
          </w:p>
        </w:tc>
        <w:tc>
          <w:tcPr>
            <w:tcW w:w="921" w:type="dxa"/>
          </w:tcPr>
          <w:p>
            <w:pPr>
              <w:pStyle w:val="TableParagraph"/>
              <w:ind w:right="202"/>
              <w:jc w:val="right"/>
              <w:rPr>
                <w:sz w:val="20"/>
              </w:rPr>
            </w:pPr>
            <w:r>
              <w:rPr>
                <w:w w:val="100"/>
                <w:sz w:val="20"/>
              </w:rPr>
              <w:t>1</w:t>
            </w:r>
          </w:p>
        </w:tc>
      </w:tr>
      <w:tr>
        <w:trPr>
          <w:trHeight w:val="360" w:hRule="atLeast"/>
        </w:trPr>
        <w:tc>
          <w:tcPr>
            <w:tcW w:w="1270" w:type="dxa"/>
          </w:tcPr>
          <w:p>
            <w:pPr>
              <w:pStyle w:val="TableParagraph"/>
              <w:spacing w:line="219" w:lineRule="exact" w:before="121"/>
              <w:ind w:left="200"/>
              <w:rPr>
                <w:sz w:val="20"/>
              </w:rPr>
            </w:pPr>
            <w:r>
              <w:rPr>
                <w:sz w:val="20"/>
              </w:rPr>
              <w:t>CIPP 907</w:t>
            </w:r>
          </w:p>
        </w:tc>
        <w:tc>
          <w:tcPr>
            <w:tcW w:w="2764" w:type="dxa"/>
          </w:tcPr>
          <w:p>
            <w:pPr>
              <w:pStyle w:val="TableParagraph"/>
              <w:spacing w:line="219" w:lineRule="exact" w:before="121"/>
              <w:ind w:left="163"/>
              <w:rPr>
                <w:sz w:val="20"/>
              </w:rPr>
            </w:pPr>
            <w:r>
              <w:rPr>
                <w:sz w:val="20"/>
              </w:rPr>
              <w:t>RESEARCH ETHICS</w:t>
            </w:r>
          </w:p>
        </w:tc>
        <w:tc>
          <w:tcPr>
            <w:tcW w:w="921" w:type="dxa"/>
          </w:tcPr>
          <w:p>
            <w:pPr>
              <w:pStyle w:val="TableParagraph"/>
              <w:spacing w:line="219" w:lineRule="exact" w:before="121"/>
              <w:ind w:right="202"/>
              <w:jc w:val="right"/>
              <w:rPr>
                <w:sz w:val="20"/>
              </w:rPr>
            </w:pPr>
            <w:r>
              <w:rPr>
                <w:w w:val="100"/>
                <w:sz w:val="20"/>
              </w:rPr>
              <w:t>1</w:t>
            </w:r>
          </w:p>
        </w:tc>
      </w:tr>
      <w:tr>
        <w:trPr>
          <w:trHeight w:val="240" w:hRule="atLeast"/>
        </w:trPr>
        <w:tc>
          <w:tcPr>
            <w:tcW w:w="1270" w:type="dxa"/>
          </w:tcPr>
          <w:p>
            <w:pPr>
              <w:pStyle w:val="TableParagraph"/>
              <w:spacing w:before="0"/>
              <w:rPr>
                <w:sz w:val="16"/>
              </w:rPr>
            </w:pPr>
          </w:p>
        </w:tc>
        <w:tc>
          <w:tcPr>
            <w:tcW w:w="2764" w:type="dxa"/>
          </w:tcPr>
          <w:p>
            <w:pPr>
              <w:pStyle w:val="TableParagraph"/>
              <w:spacing w:line="219" w:lineRule="exact"/>
              <w:ind w:left="163"/>
              <w:rPr>
                <w:sz w:val="20"/>
              </w:rPr>
            </w:pPr>
            <w:r>
              <w:rPr>
                <w:sz w:val="20"/>
              </w:rPr>
              <w:t>Or</w:t>
            </w:r>
          </w:p>
        </w:tc>
        <w:tc>
          <w:tcPr>
            <w:tcW w:w="921" w:type="dxa"/>
          </w:tcPr>
          <w:p>
            <w:pPr>
              <w:pStyle w:val="TableParagraph"/>
              <w:spacing w:before="0"/>
              <w:rPr>
                <w:sz w:val="16"/>
              </w:rPr>
            </w:pPr>
          </w:p>
        </w:tc>
      </w:tr>
      <w:tr>
        <w:trPr>
          <w:trHeight w:val="480" w:hRule="atLeast"/>
        </w:trPr>
        <w:tc>
          <w:tcPr>
            <w:tcW w:w="1270" w:type="dxa"/>
          </w:tcPr>
          <w:p>
            <w:pPr>
              <w:pStyle w:val="TableParagraph"/>
              <w:ind w:left="200"/>
              <w:rPr>
                <w:sz w:val="20"/>
              </w:rPr>
            </w:pPr>
            <w:r>
              <w:rPr>
                <w:sz w:val="20"/>
              </w:rPr>
              <w:t>CIPP 909</w:t>
            </w:r>
          </w:p>
        </w:tc>
        <w:tc>
          <w:tcPr>
            <w:tcW w:w="2764" w:type="dxa"/>
          </w:tcPr>
          <w:p>
            <w:pPr>
              <w:pStyle w:val="TableParagraph"/>
              <w:ind w:left="163"/>
              <w:rPr>
                <w:sz w:val="20"/>
              </w:rPr>
            </w:pPr>
            <w:r>
              <w:rPr>
                <w:sz w:val="20"/>
              </w:rPr>
              <w:t>RESPONSIBLE CONDUCT</w:t>
            </w:r>
          </w:p>
          <w:p>
            <w:pPr>
              <w:pStyle w:val="TableParagraph"/>
              <w:spacing w:line="219" w:lineRule="exact" w:before="10"/>
              <w:ind w:left="163"/>
              <w:rPr>
                <w:sz w:val="20"/>
              </w:rPr>
            </w:pPr>
            <w:r>
              <w:rPr>
                <w:sz w:val="20"/>
              </w:rPr>
              <w:t>OF RESEARCH</w:t>
            </w:r>
          </w:p>
        </w:tc>
        <w:tc>
          <w:tcPr>
            <w:tcW w:w="921" w:type="dxa"/>
          </w:tcPr>
          <w:p>
            <w:pPr>
              <w:pStyle w:val="TableParagraph"/>
              <w:ind w:right="197"/>
              <w:jc w:val="right"/>
              <w:rPr>
                <w:sz w:val="20"/>
              </w:rPr>
            </w:pPr>
            <w:r>
              <w:rPr>
                <w:sz w:val="20"/>
              </w:rPr>
              <w:t>1 TO 2</w:t>
            </w:r>
          </w:p>
        </w:tc>
      </w:tr>
      <w:tr>
        <w:trPr>
          <w:trHeight w:val="240" w:hRule="atLeast"/>
        </w:trPr>
        <w:tc>
          <w:tcPr>
            <w:tcW w:w="1270" w:type="dxa"/>
          </w:tcPr>
          <w:p>
            <w:pPr>
              <w:pStyle w:val="TableParagraph"/>
              <w:spacing w:before="0"/>
              <w:rPr>
                <w:sz w:val="16"/>
              </w:rPr>
            </w:pPr>
          </w:p>
        </w:tc>
        <w:tc>
          <w:tcPr>
            <w:tcW w:w="2764" w:type="dxa"/>
          </w:tcPr>
          <w:p>
            <w:pPr>
              <w:pStyle w:val="TableParagraph"/>
              <w:spacing w:line="219" w:lineRule="exact"/>
              <w:ind w:left="163"/>
              <w:rPr>
                <w:sz w:val="20"/>
              </w:rPr>
            </w:pPr>
            <w:r>
              <w:rPr>
                <w:sz w:val="20"/>
              </w:rPr>
              <w:t>And</w:t>
            </w:r>
          </w:p>
        </w:tc>
        <w:tc>
          <w:tcPr>
            <w:tcW w:w="921" w:type="dxa"/>
          </w:tcPr>
          <w:p>
            <w:pPr>
              <w:pStyle w:val="TableParagraph"/>
              <w:spacing w:before="0"/>
              <w:rPr>
                <w:sz w:val="16"/>
              </w:rPr>
            </w:pPr>
          </w:p>
        </w:tc>
      </w:tr>
      <w:tr>
        <w:trPr>
          <w:trHeight w:val="240" w:hRule="atLeast"/>
        </w:trPr>
        <w:tc>
          <w:tcPr>
            <w:tcW w:w="1270" w:type="dxa"/>
          </w:tcPr>
          <w:p>
            <w:pPr>
              <w:pStyle w:val="TableParagraph"/>
              <w:spacing w:line="219" w:lineRule="exact"/>
              <w:ind w:left="200"/>
              <w:rPr>
                <w:sz w:val="20"/>
              </w:rPr>
            </w:pPr>
            <w:r>
              <w:rPr>
                <w:sz w:val="20"/>
              </w:rPr>
              <w:t>PREV 619</w:t>
            </w:r>
          </w:p>
        </w:tc>
        <w:tc>
          <w:tcPr>
            <w:tcW w:w="2764" w:type="dxa"/>
          </w:tcPr>
          <w:p>
            <w:pPr>
              <w:pStyle w:val="TableParagraph"/>
              <w:spacing w:line="219" w:lineRule="exact"/>
              <w:ind w:left="163"/>
              <w:rPr>
                <w:sz w:val="20"/>
              </w:rPr>
            </w:pPr>
            <w:r>
              <w:rPr>
                <w:sz w:val="20"/>
              </w:rPr>
              <w:t>INTRODUCTION TO SAS</w:t>
            </w:r>
          </w:p>
        </w:tc>
        <w:tc>
          <w:tcPr>
            <w:tcW w:w="921" w:type="dxa"/>
          </w:tcPr>
          <w:p>
            <w:pPr>
              <w:pStyle w:val="TableParagraph"/>
              <w:spacing w:line="219" w:lineRule="exact"/>
              <w:ind w:right="202"/>
              <w:jc w:val="right"/>
              <w:rPr>
                <w:sz w:val="20"/>
              </w:rPr>
            </w:pPr>
            <w:r>
              <w:rPr>
                <w:w w:val="100"/>
                <w:sz w:val="20"/>
              </w:rPr>
              <w:t>1</w:t>
            </w:r>
          </w:p>
        </w:tc>
      </w:tr>
      <w:tr>
        <w:trPr>
          <w:trHeight w:val="480" w:hRule="atLeast"/>
        </w:trPr>
        <w:tc>
          <w:tcPr>
            <w:tcW w:w="1270" w:type="dxa"/>
          </w:tcPr>
          <w:p>
            <w:pPr>
              <w:pStyle w:val="TableParagraph"/>
              <w:ind w:left="200"/>
              <w:rPr>
                <w:sz w:val="20"/>
              </w:rPr>
            </w:pPr>
            <w:r>
              <w:rPr>
                <w:sz w:val="20"/>
              </w:rPr>
              <w:t>PREV 620</w:t>
            </w:r>
          </w:p>
        </w:tc>
        <w:tc>
          <w:tcPr>
            <w:tcW w:w="2764" w:type="dxa"/>
          </w:tcPr>
          <w:p>
            <w:pPr>
              <w:pStyle w:val="TableParagraph"/>
              <w:ind w:left="163"/>
              <w:rPr>
                <w:sz w:val="20"/>
              </w:rPr>
            </w:pPr>
            <w:r>
              <w:rPr>
                <w:sz w:val="20"/>
              </w:rPr>
              <w:t>PRINCIPLES</w:t>
            </w:r>
            <w:r>
              <w:rPr>
                <w:spacing w:val="-8"/>
                <w:sz w:val="20"/>
              </w:rPr>
              <w:t> </w:t>
            </w:r>
            <w:r>
              <w:rPr>
                <w:sz w:val="20"/>
              </w:rPr>
              <w:t>OF</w:t>
            </w:r>
          </w:p>
          <w:p>
            <w:pPr>
              <w:pStyle w:val="TableParagraph"/>
              <w:spacing w:line="219" w:lineRule="exact" w:before="10"/>
              <w:ind w:left="163"/>
              <w:rPr>
                <w:sz w:val="20"/>
              </w:rPr>
            </w:pPr>
            <w:r>
              <w:rPr>
                <w:sz w:val="20"/>
              </w:rPr>
              <w:t>BIOSTATISTICS</w:t>
            </w:r>
          </w:p>
        </w:tc>
        <w:tc>
          <w:tcPr>
            <w:tcW w:w="921" w:type="dxa"/>
          </w:tcPr>
          <w:p>
            <w:pPr>
              <w:pStyle w:val="TableParagraph"/>
              <w:ind w:right="202"/>
              <w:jc w:val="right"/>
              <w:rPr>
                <w:sz w:val="20"/>
              </w:rPr>
            </w:pPr>
            <w:r>
              <w:rPr>
                <w:w w:val="100"/>
                <w:sz w:val="20"/>
              </w:rPr>
              <w:t>3</w:t>
            </w:r>
          </w:p>
        </w:tc>
      </w:tr>
      <w:tr>
        <w:trPr>
          <w:trHeight w:val="240" w:hRule="atLeast"/>
        </w:trPr>
        <w:tc>
          <w:tcPr>
            <w:tcW w:w="1270" w:type="dxa"/>
          </w:tcPr>
          <w:p>
            <w:pPr>
              <w:pStyle w:val="TableParagraph"/>
              <w:spacing w:before="0"/>
              <w:rPr>
                <w:sz w:val="16"/>
              </w:rPr>
            </w:pPr>
          </w:p>
        </w:tc>
        <w:tc>
          <w:tcPr>
            <w:tcW w:w="2764" w:type="dxa"/>
          </w:tcPr>
          <w:p>
            <w:pPr>
              <w:pStyle w:val="TableParagraph"/>
              <w:spacing w:line="219" w:lineRule="exact"/>
              <w:ind w:left="163"/>
              <w:rPr>
                <w:sz w:val="20"/>
              </w:rPr>
            </w:pPr>
            <w:r>
              <w:rPr>
                <w:sz w:val="20"/>
              </w:rPr>
              <w:t>Or</w:t>
            </w:r>
          </w:p>
        </w:tc>
        <w:tc>
          <w:tcPr>
            <w:tcW w:w="921" w:type="dxa"/>
          </w:tcPr>
          <w:p>
            <w:pPr>
              <w:pStyle w:val="TableParagraph"/>
              <w:spacing w:before="0"/>
              <w:rPr>
                <w:sz w:val="16"/>
              </w:rPr>
            </w:pPr>
          </w:p>
        </w:tc>
      </w:tr>
      <w:tr>
        <w:trPr>
          <w:trHeight w:val="471" w:hRule="atLeast"/>
        </w:trPr>
        <w:tc>
          <w:tcPr>
            <w:tcW w:w="1270" w:type="dxa"/>
          </w:tcPr>
          <w:p>
            <w:pPr>
              <w:pStyle w:val="TableParagraph"/>
              <w:ind w:left="200"/>
              <w:rPr>
                <w:sz w:val="20"/>
              </w:rPr>
            </w:pPr>
            <w:r>
              <w:rPr>
                <w:sz w:val="20"/>
              </w:rPr>
              <w:t>PREV 621</w:t>
            </w:r>
          </w:p>
        </w:tc>
        <w:tc>
          <w:tcPr>
            <w:tcW w:w="2764" w:type="dxa"/>
          </w:tcPr>
          <w:p>
            <w:pPr>
              <w:pStyle w:val="TableParagraph"/>
              <w:ind w:left="163"/>
              <w:rPr>
                <w:sz w:val="20"/>
              </w:rPr>
            </w:pPr>
            <w:r>
              <w:rPr>
                <w:sz w:val="20"/>
              </w:rPr>
              <w:t>BIOSTATISTICAL</w:t>
            </w:r>
          </w:p>
          <w:p>
            <w:pPr>
              <w:pStyle w:val="TableParagraph"/>
              <w:spacing w:line="210" w:lineRule="exact" w:before="10"/>
              <w:ind w:left="163"/>
              <w:rPr>
                <w:sz w:val="20"/>
              </w:rPr>
            </w:pPr>
            <w:r>
              <w:rPr>
                <w:sz w:val="20"/>
              </w:rPr>
              <w:t>METHODS</w:t>
            </w:r>
          </w:p>
        </w:tc>
        <w:tc>
          <w:tcPr>
            <w:tcW w:w="921" w:type="dxa"/>
          </w:tcPr>
          <w:p>
            <w:pPr>
              <w:pStyle w:val="TableParagraph"/>
              <w:ind w:right="202"/>
              <w:jc w:val="right"/>
              <w:rPr>
                <w:sz w:val="20"/>
              </w:rPr>
            </w:pPr>
            <w:r>
              <w:rPr>
                <w:w w:val="100"/>
                <w:sz w:val="20"/>
              </w:rPr>
              <w:t>3</w:t>
            </w:r>
          </w:p>
        </w:tc>
      </w:tr>
    </w:tbl>
    <w:p>
      <w:pPr>
        <w:spacing w:before="83"/>
        <w:ind w:left="200" w:right="0" w:firstLine="0"/>
        <w:jc w:val="left"/>
        <w:rPr>
          <w:i/>
          <w:sz w:val="20"/>
        </w:rPr>
      </w:pPr>
      <w:r>
        <w:rPr>
          <w:i/>
          <w:sz w:val="20"/>
        </w:rPr>
        <w:t>HGEN 608: four semesters</w:t>
      </w:r>
    </w:p>
    <w:p>
      <w:pPr>
        <w:pStyle w:val="Heading5"/>
        <w:spacing w:before="183"/>
      </w:pPr>
      <w:r>
        <w:rPr/>
        <w:pict>
          <v:shape style="position:absolute;margin-left:49.279999pt;margin-top:21.970299pt;width:247.8pt;height:203.2pt;mso-position-horizontal-relative:page;mso-position-vertical-relative:paragraph;z-index:11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0"/>
                    <w:gridCol w:w="2748"/>
                    <w:gridCol w:w="937"/>
                  </w:tblGrid>
                  <w:tr>
                    <w:trPr>
                      <w:trHeight w:val="231" w:hRule="atLeast"/>
                    </w:trPr>
                    <w:tc>
                      <w:tcPr>
                        <w:tcW w:w="1270" w:type="dxa"/>
                      </w:tcPr>
                      <w:p>
                        <w:pPr>
                          <w:pStyle w:val="TableParagraph"/>
                          <w:spacing w:line="212" w:lineRule="exact" w:before="0"/>
                          <w:ind w:left="200"/>
                          <w:rPr>
                            <w:sz w:val="20"/>
                          </w:rPr>
                        </w:pPr>
                        <w:r>
                          <w:rPr>
                            <w:sz w:val="20"/>
                          </w:rPr>
                          <w:t>HGEN 701</w:t>
                        </w:r>
                      </w:p>
                    </w:tc>
                    <w:tc>
                      <w:tcPr>
                        <w:tcW w:w="2748" w:type="dxa"/>
                      </w:tcPr>
                      <w:p>
                        <w:pPr>
                          <w:pStyle w:val="TableParagraph"/>
                          <w:spacing w:line="212" w:lineRule="exact" w:before="0"/>
                          <w:ind w:left="163"/>
                          <w:rPr>
                            <w:sz w:val="20"/>
                          </w:rPr>
                        </w:pPr>
                        <w:r>
                          <w:rPr>
                            <w:sz w:val="20"/>
                          </w:rPr>
                          <w:t>HUMAN CYTOGENETICS</w:t>
                        </w:r>
                      </w:p>
                    </w:tc>
                    <w:tc>
                      <w:tcPr>
                        <w:tcW w:w="937" w:type="dxa"/>
                      </w:tcPr>
                      <w:p>
                        <w:pPr>
                          <w:pStyle w:val="TableParagraph"/>
                          <w:spacing w:line="212" w:lineRule="exact" w:before="0"/>
                          <w:ind w:right="202"/>
                          <w:jc w:val="right"/>
                          <w:rPr>
                            <w:sz w:val="20"/>
                          </w:rPr>
                        </w:pPr>
                        <w:r>
                          <w:rPr>
                            <w:w w:val="100"/>
                            <w:sz w:val="20"/>
                          </w:rPr>
                          <w:t>2</w:t>
                        </w:r>
                      </w:p>
                    </w:tc>
                  </w:tr>
                  <w:tr>
                    <w:trPr>
                      <w:trHeight w:val="240" w:hRule="atLeast"/>
                    </w:trPr>
                    <w:tc>
                      <w:tcPr>
                        <w:tcW w:w="1270" w:type="dxa"/>
                      </w:tcPr>
                      <w:p>
                        <w:pPr>
                          <w:pStyle w:val="TableParagraph"/>
                          <w:spacing w:line="219" w:lineRule="exact"/>
                          <w:ind w:left="200"/>
                          <w:rPr>
                            <w:sz w:val="20"/>
                          </w:rPr>
                        </w:pPr>
                        <w:r>
                          <w:rPr>
                            <w:sz w:val="20"/>
                          </w:rPr>
                          <w:t>PREV 711</w:t>
                        </w:r>
                      </w:p>
                    </w:tc>
                    <w:tc>
                      <w:tcPr>
                        <w:tcW w:w="2748" w:type="dxa"/>
                      </w:tcPr>
                      <w:p>
                        <w:pPr>
                          <w:pStyle w:val="TableParagraph"/>
                          <w:spacing w:line="219" w:lineRule="exact"/>
                          <w:ind w:left="163"/>
                          <w:rPr>
                            <w:sz w:val="20"/>
                          </w:rPr>
                        </w:pPr>
                        <w:r>
                          <w:rPr>
                            <w:sz w:val="20"/>
                          </w:rPr>
                          <w:t>GENETIC EPIDEMIOLOGY</w:t>
                        </w:r>
                      </w:p>
                    </w:tc>
                    <w:tc>
                      <w:tcPr>
                        <w:tcW w:w="937" w:type="dxa"/>
                      </w:tcPr>
                      <w:p>
                        <w:pPr>
                          <w:pStyle w:val="TableParagraph"/>
                          <w:spacing w:line="219" w:lineRule="exact"/>
                          <w:ind w:right="202"/>
                          <w:jc w:val="right"/>
                          <w:rPr>
                            <w:sz w:val="20"/>
                          </w:rPr>
                        </w:pPr>
                        <w:r>
                          <w:rPr>
                            <w:w w:val="100"/>
                            <w:sz w:val="20"/>
                          </w:rPr>
                          <w:t>3</w:t>
                        </w:r>
                      </w:p>
                    </w:tc>
                  </w:tr>
                  <w:tr>
                    <w:trPr>
                      <w:trHeight w:val="480" w:hRule="atLeast"/>
                    </w:trPr>
                    <w:tc>
                      <w:tcPr>
                        <w:tcW w:w="1270" w:type="dxa"/>
                      </w:tcPr>
                      <w:p>
                        <w:pPr>
                          <w:pStyle w:val="TableParagraph"/>
                          <w:ind w:left="200"/>
                          <w:rPr>
                            <w:sz w:val="20"/>
                          </w:rPr>
                        </w:pPr>
                        <w:r>
                          <w:rPr>
                            <w:sz w:val="20"/>
                          </w:rPr>
                          <w:t>GPLS 717</w:t>
                        </w:r>
                      </w:p>
                    </w:tc>
                    <w:tc>
                      <w:tcPr>
                        <w:tcW w:w="2748" w:type="dxa"/>
                      </w:tcPr>
                      <w:p>
                        <w:pPr>
                          <w:pStyle w:val="TableParagraph"/>
                          <w:ind w:left="163"/>
                          <w:rPr>
                            <w:sz w:val="20"/>
                          </w:rPr>
                        </w:pPr>
                        <w:r>
                          <w:rPr>
                            <w:sz w:val="20"/>
                          </w:rPr>
                          <w:t>GENOMICS OF MODEL</w:t>
                        </w:r>
                      </w:p>
                      <w:p>
                        <w:pPr>
                          <w:pStyle w:val="TableParagraph"/>
                          <w:spacing w:line="219" w:lineRule="exact" w:before="10"/>
                          <w:ind w:left="163"/>
                          <w:rPr>
                            <w:sz w:val="20"/>
                          </w:rPr>
                        </w:pPr>
                        <w:r>
                          <w:rPr>
                            <w:sz w:val="20"/>
                          </w:rPr>
                          <w:t>SPECIES AND HUMANS</w:t>
                        </w:r>
                      </w:p>
                    </w:tc>
                    <w:tc>
                      <w:tcPr>
                        <w:tcW w:w="937" w:type="dxa"/>
                      </w:tcPr>
                      <w:p>
                        <w:pPr>
                          <w:pStyle w:val="TableParagraph"/>
                          <w:ind w:right="202"/>
                          <w:jc w:val="right"/>
                          <w:rPr>
                            <w:sz w:val="20"/>
                          </w:rPr>
                        </w:pPr>
                        <w:r>
                          <w:rPr>
                            <w:w w:val="100"/>
                            <w:sz w:val="20"/>
                          </w:rPr>
                          <w:t>3</w:t>
                        </w:r>
                      </w:p>
                    </w:tc>
                  </w:tr>
                  <w:tr>
                    <w:trPr>
                      <w:trHeight w:val="480" w:hRule="atLeast"/>
                    </w:trPr>
                    <w:tc>
                      <w:tcPr>
                        <w:tcW w:w="1270" w:type="dxa"/>
                      </w:tcPr>
                      <w:p>
                        <w:pPr>
                          <w:pStyle w:val="TableParagraph"/>
                          <w:ind w:left="200"/>
                          <w:rPr>
                            <w:sz w:val="20"/>
                          </w:rPr>
                        </w:pPr>
                        <w:r>
                          <w:rPr>
                            <w:sz w:val="20"/>
                          </w:rPr>
                          <w:t>GPLS 718</w:t>
                        </w:r>
                      </w:p>
                    </w:tc>
                    <w:tc>
                      <w:tcPr>
                        <w:tcW w:w="2748" w:type="dxa"/>
                      </w:tcPr>
                      <w:p>
                        <w:pPr>
                          <w:pStyle w:val="TableParagraph"/>
                          <w:ind w:left="163"/>
                          <w:rPr>
                            <w:sz w:val="20"/>
                          </w:rPr>
                        </w:pPr>
                        <w:r>
                          <w:rPr>
                            <w:sz w:val="20"/>
                          </w:rPr>
                          <w:t>PROGRAMMING FOR</w:t>
                        </w:r>
                      </w:p>
                      <w:p>
                        <w:pPr>
                          <w:pStyle w:val="TableParagraph"/>
                          <w:spacing w:line="219" w:lineRule="exact" w:before="10"/>
                          <w:ind w:left="163"/>
                          <w:rPr>
                            <w:sz w:val="20"/>
                          </w:rPr>
                        </w:pPr>
                        <w:r>
                          <w:rPr>
                            <w:sz w:val="20"/>
                          </w:rPr>
                          <w:t>BIOINFORMATICS</w:t>
                        </w:r>
                      </w:p>
                    </w:tc>
                    <w:tc>
                      <w:tcPr>
                        <w:tcW w:w="937" w:type="dxa"/>
                      </w:tcPr>
                      <w:p>
                        <w:pPr>
                          <w:pStyle w:val="TableParagraph"/>
                          <w:ind w:right="202"/>
                          <w:jc w:val="right"/>
                          <w:rPr>
                            <w:sz w:val="20"/>
                          </w:rPr>
                        </w:pPr>
                        <w:r>
                          <w:rPr>
                            <w:w w:val="100"/>
                            <w:sz w:val="20"/>
                          </w:rPr>
                          <w:t>2</w:t>
                        </w:r>
                      </w:p>
                    </w:tc>
                  </w:tr>
                  <w:tr>
                    <w:trPr>
                      <w:trHeight w:val="480" w:hRule="atLeast"/>
                    </w:trPr>
                    <w:tc>
                      <w:tcPr>
                        <w:tcW w:w="1270" w:type="dxa"/>
                      </w:tcPr>
                      <w:p>
                        <w:pPr>
                          <w:pStyle w:val="TableParagraph"/>
                          <w:ind w:left="200"/>
                          <w:rPr>
                            <w:sz w:val="20"/>
                          </w:rPr>
                        </w:pPr>
                        <w:r>
                          <w:rPr>
                            <w:sz w:val="20"/>
                          </w:rPr>
                          <w:t>GPLS 750</w:t>
                        </w:r>
                      </w:p>
                    </w:tc>
                    <w:tc>
                      <w:tcPr>
                        <w:tcW w:w="2748" w:type="dxa"/>
                      </w:tcPr>
                      <w:p>
                        <w:pPr>
                          <w:pStyle w:val="TableParagraph"/>
                          <w:ind w:left="163"/>
                          <w:rPr>
                            <w:sz w:val="20"/>
                          </w:rPr>
                        </w:pPr>
                        <w:r>
                          <w:rPr>
                            <w:sz w:val="20"/>
                          </w:rPr>
                          <w:t>TOPICS IN MOLECULAR</w:t>
                        </w:r>
                      </w:p>
                      <w:p>
                        <w:pPr>
                          <w:pStyle w:val="TableParagraph"/>
                          <w:spacing w:line="219" w:lineRule="exact" w:before="10"/>
                          <w:ind w:left="163"/>
                          <w:rPr>
                            <w:sz w:val="20"/>
                          </w:rPr>
                        </w:pPr>
                        <w:r>
                          <w:rPr>
                            <w:sz w:val="20"/>
                          </w:rPr>
                          <w:t>MEDICINE</w:t>
                        </w:r>
                      </w:p>
                    </w:tc>
                    <w:tc>
                      <w:tcPr>
                        <w:tcW w:w="937" w:type="dxa"/>
                      </w:tcPr>
                      <w:p>
                        <w:pPr>
                          <w:pStyle w:val="TableParagraph"/>
                          <w:ind w:right="202"/>
                          <w:jc w:val="right"/>
                          <w:rPr>
                            <w:sz w:val="20"/>
                          </w:rPr>
                        </w:pPr>
                        <w:r>
                          <w:rPr>
                            <w:w w:val="100"/>
                            <w:sz w:val="20"/>
                          </w:rPr>
                          <w:t>2</w:t>
                        </w:r>
                      </w:p>
                    </w:tc>
                  </w:tr>
                  <w:tr>
                    <w:trPr>
                      <w:trHeight w:val="240" w:hRule="atLeast"/>
                    </w:trPr>
                    <w:tc>
                      <w:tcPr>
                        <w:tcW w:w="1270" w:type="dxa"/>
                      </w:tcPr>
                      <w:p>
                        <w:pPr>
                          <w:pStyle w:val="TableParagraph"/>
                          <w:spacing w:line="219" w:lineRule="exact"/>
                          <w:ind w:left="200"/>
                          <w:rPr>
                            <w:sz w:val="20"/>
                          </w:rPr>
                        </w:pPr>
                        <w:r>
                          <w:rPr>
                            <w:sz w:val="20"/>
                          </w:rPr>
                          <w:t>HGEN 720</w:t>
                        </w:r>
                      </w:p>
                    </w:tc>
                    <w:tc>
                      <w:tcPr>
                        <w:tcW w:w="2748" w:type="dxa"/>
                      </w:tcPr>
                      <w:p>
                        <w:pPr>
                          <w:pStyle w:val="TableParagraph"/>
                          <w:spacing w:line="219" w:lineRule="exact"/>
                          <w:ind w:left="163"/>
                          <w:rPr>
                            <w:sz w:val="20"/>
                          </w:rPr>
                        </w:pPr>
                        <w:r>
                          <w:rPr>
                            <w:sz w:val="20"/>
                          </w:rPr>
                          <w:t>METABOLIC GENETICS</w:t>
                        </w:r>
                      </w:p>
                    </w:tc>
                    <w:tc>
                      <w:tcPr>
                        <w:tcW w:w="937" w:type="dxa"/>
                      </w:tcPr>
                      <w:p>
                        <w:pPr>
                          <w:pStyle w:val="TableParagraph"/>
                          <w:spacing w:line="219" w:lineRule="exact"/>
                          <w:ind w:right="202"/>
                          <w:jc w:val="right"/>
                          <w:rPr>
                            <w:sz w:val="20"/>
                          </w:rPr>
                        </w:pPr>
                        <w:r>
                          <w:rPr>
                            <w:w w:val="100"/>
                            <w:sz w:val="20"/>
                          </w:rPr>
                          <w:t>2</w:t>
                        </w:r>
                      </w:p>
                    </w:tc>
                  </w:tr>
                  <w:tr>
                    <w:trPr>
                      <w:trHeight w:val="240" w:hRule="atLeast"/>
                    </w:trPr>
                    <w:tc>
                      <w:tcPr>
                        <w:tcW w:w="1270" w:type="dxa"/>
                      </w:tcPr>
                      <w:p>
                        <w:pPr>
                          <w:pStyle w:val="TableParagraph"/>
                          <w:spacing w:line="219" w:lineRule="exact"/>
                          <w:ind w:left="200"/>
                          <w:rPr>
                            <w:sz w:val="20"/>
                          </w:rPr>
                        </w:pPr>
                        <w:r>
                          <w:rPr>
                            <w:sz w:val="20"/>
                          </w:rPr>
                          <w:t>HGEN 728</w:t>
                        </w:r>
                      </w:p>
                    </w:tc>
                    <w:tc>
                      <w:tcPr>
                        <w:tcW w:w="2748" w:type="dxa"/>
                      </w:tcPr>
                      <w:p>
                        <w:pPr>
                          <w:pStyle w:val="TableParagraph"/>
                          <w:spacing w:line="219" w:lineRule="exact"/>
                          <w:ind w:left="163"/>
                          <w:rPr>
                            <w:sz w:val="20"/>
                          </w:rPr>
                        </w:pPr>
                        <w:r>
                          <w:rPr>
                            <w:sz w:val="20"/>
                          </w:rPr>
                          <w:t>CLINICAL GENETICS I</w:t>
                        </w:r>
                      </w:p>
                    </w:tc>
                    <w:tc>
                      <w:tcPr>
                        <w:tcW w:w="937" w:type="dxa"/>
                      </w:tcPr>
                      <w:p>
                        <w:pPr>
                          <w:pStyle w:val="TableParagraph"/>
                          <w:spacing w:line="219" w:lineRule="exact"/>
                          <w:ind w:right="197"/>
                          <w:jc w:val="right"/>
                          <w:rPr>
                            <w:sz w:val="20"/>
                          </w:rPr>
                        </w:pPr>
                        <w:r>
                          <w:rPr>
                            <w:sz w:val="20"/>
                          </w:rPr>
                          <w:t>2 TO 4</w:t>
                        </w:r>
                      </w:p>
                    </w:tc>
                  </w:tr>
                  <w:tr>
                    <w:trPr>
                      <w:trHeight w:val="240" w:hRule="atLeast"/>
                    </w:trPr>
                    <w:tc>
                      <w:tcPr>
                        <w:tcW w:w="1270" w:type="dxa"/>
                      </w:tcPr>
                      <w:p>
                        <w:pPr>
                          <w:pStyle w:val="TableParagraph"/>
                          <w:spacing w:line="219" w:lineRule="exact"/>
                          <w:ind w:left="200"/>
                          <w:rPr>
                            <w:sz w:val="20"/>
                          </w:rPr>
                        </w:pPr>
                        <w:r>
                          <w:rPr>
                            <w:sz w:val="20"/>
                          </w:rPr>
                          <w:t>HGEN 731</w:t>
                        </w:r>
                      </w:p>
                    </w:tc>
                    <w:tc>
                      <w:tcPr>
                        <w:tcW w:w="2748" w:type="dxa"/>
                      </w:tcPr>
                      <w:p>
                        <w:pPr>
                          <w:pStyle w:val="TableParagraph"/>
                          <w:spacing w:line="219" w:lineRule="exact"/>
                          <w:ind w:left="163"/>
                          <w:rPr>
                            <w:sz w:val="20"/>
                          </w:rPr>
                        </w:pPr>
                        <w:r>
                          <w:rPr>
                            <w:sz w:val="20"/>
                          </w:rPr>
                          <w:t>CLINICAL GENETICS II</w:t>
                        </w:r>
                      </w:p>
                    </w:tc>
                    <w:tc>
                      <w:tcPr>
                        <w:tcW w:w="937" w:type="dxa"/>
                      </w:tcPr>
                      <w:p>
                        <w:pPr>
                          <w:pStyle w:val="TableParagraph"/>
                          <w:spacing w:line="219" w:lineRule="exact"/>
                          <w:ind w:right="202"/>
                          <w:jc w:val="right"/>
                          <w:rPr>
                            <w:sz w:val="20"/>
                          </w:rPr>
                        </w:pPr>
                        <w:r>
                          <w:rPr>
                            <w:w w:val="100"/>
                            <w:sz w:val="20"/>
                          </w:rPr>
                          <w:t>2</w:t>
                        </w:r>
                      </w:p>
                    </w:tc>
                  </w:tr>
                  <w:tr>
                    <w:trPr>
                      <w:trHeight w:val="480" w:hRule="atLeast"/>
                    </w:trPr>
                    <w:tc>
                      <w:tcPr>
                        <w:tcW w:w="1270" w:type="dxa"/>
                      </w:tcPr>
                      <w:p>
                        <w:pPr>
                          <w:pStyle w:val="TableParagraph"/>
                          <w:ind w:left="200"/>
                          <w:rPr>
                            <w:sz w:val="20"/>
                          </w:rPr>
                        </w:pPr>
                        <w:r>
                          <w:rPr>
                            <w:sz w:val="20"/>
                          </w:rPr>
                          <w:t>HGEN 760</w:t>
                        </w:r>
                      </w:p>
                    </w:tc>
                    <w:tc>
                      <w:tcPr>
                        <w:tcW w:w="2748" w:type="dxa"/>
                      </w:tcPr>
                      <w:p>
                        <w:pPr>
                          <w:pStyle w:val="TableParagraph"/>
                          <w:ind w:left="163"/>
                          <w:rPr>
                            <w:sz w:val="20"/>
                          </w:rPr>
                        </w:pPr>
                        <w:r>
                          <w:rPr>
                            <w:sz w:val="20"/>
                          </w:rPr>
                          <w:t>CLINICAL CANCER</w:t>
                        </w:r>
                      </w:p>
                      <w:p>
                        <w:pPr>
                          <w:pStyle w:val="TableParagraph"/>
                          <w:spacing w:line="219" w:lineRule="exact" w:before="10"/>
                          <w:ind w:left="163"/>
                          <w:rPr>
                            <w:sz w:val="20"/>
                          </w:rPr>
                        </w:pPr>
                        <w:r>
                          <w:rPr>
                            <w:sz w:val="20"/>
                          </w:rPr>
                          <w:t>GENETICS</w:t>
                        </w:r>
                      </w:p>
                    </w:tc>
                    <w:tc>
                      <w:tcPr>
                        <w:tcW w:w="937" w:type="dxa"/>
                      </w:tcPr>
                      <w:p>
                        <w:pPr>
                          <w:pStyle w:val="TableParagraph"/>
                          <w:ind w:right="202"/>
                          <w:jc w:val="right"/>
                          <w:rPr>
                            <w:sz w:val="20"/>
                          </w:rPr>
                        </w:pPr>
                        <w:r>
                          <w:rPr>
                            <w:w w:val="100"/>
                            <w:sz w:val="20"/>
                          </w:rPr>
                          <w:t>2</w:t>
                        </w:r>
                      </w:p>
                    </w:tc>
                  </w:tr>
                  <w:tr>
                    <w:trPr>
                      <w:trHeight w:val="480" w:hRule="atLeast"/>
                    </w:trPr>
                    <w:tc>
                      <w:tcPr>
                        <w:tcW w:w="1270" w:type="dxa"/>
                      </w:tcPr>
                      <w:p>
                        <w:pPr>
                          <w:pStyle w:val="TableParagraph"/>
                          <w:ind w:left="200"/>
                          <w:rPr>
                            <w:sz w:val="20"/>
                          </w:rPr>
                        </w:pPr>
                        <w:r>
                          <w:rPr>
                            <w:sz w:val="20"/>
                          </w:rPr>
                          <w:t>PREV 600</w:t>
                        </w:r>
                      </w:p>
                    </w:tc>
                    <w:tc>
                      <w:tcPr>
                        <w:tcW w:w="2748" w:type="dxa"/>
                      </w:tcPr>
                      <w:p>
                        <w:pPr>
                          <w:pStyle w:val="TableParagraph"/>
                          <w:ind w:left="163"/>
                          <w:rPr>
                            <w:sz w:val="20"/>
                          </w:rPr>
                        </w:pPr>
                        <w:r>
                          <w:rPr>
                            <w:sz w:val="20"/>
                          </w:rPr>
                          <w:t>PRINCIPLES OF</w:t>
                        </w:r>
                      </w:p>
                      <w:p>
                        <w:pPr>
                          <w:pStyle w:val="TableParagraph"/>
                          <w:spacing w:line="219" w:lineRule="exact" w:before="10"/>
                          <w:ind w:left="163"/>
                          <w:rPr>
                            <w:sz w:val="20"/>
                          </w:rPr>
                        </w:pPr>
                        <w:r>
                          <w:rPr>
                            <w:sz w:val="20"/>
                          </w:rPr>
                          <w:t>EPIDEMIOLOGY</w:t>
                        </w:r>
                      </w:p>
                    </w:tc>
                    <w:tc>
                      <w:tcPr>
                        <w:tcW w:w="937" w:type="dxa"/>
                      </w:tcPr>
                      <w:p>
                        <w:pPr>
                          <w:pStyle w:val="TableParagraph"/>
                          <w:ind w:right="202"/>
                          <w:jc w:val="right"/>
                          <w:rPr>
                            <w:sz w:val="20"/>
                          </w:rPr>
                        </w:pPr>
                        <w:r>
                          <w:rPr>
                            <w:w w:val="100"/>
                            <w:sz w:val="20"/>
                          </w:rPr>
                          <w:t>3</w:t>
                        </w:r>
                      </w:p>
                    </w:tc>
                  </w:tr>
                  <w:tr>
                    <w:trPr>
                      <w:trHeight w:val="471" w:hRule="atLeast"/>
                    </w:trPr>
                    <w:tc>
                      <w:tcPr>
                        <w:tcW w:w="1270" w:type="dxa"/>
                      </w:tcPr>
                      <w:p>
                        <w:pPr>
                          <w:pStyle w:val="TableParagraph"/>
                          <w:ind w:left="200"/>
                          <w:rPr>
                            <w:sz w:val="20"/>
                          </w:rPr>
                        </w:pPr>
                        <w:r>
                          <w:rPr>
                            <w:sz w:val="20"/>
                          </w:rPr>
                          <w:t>PREV 780</w:t>
                        </w:r>
                      </w:p>
                    </w:tc>
                    <w:tc>
                      <w:tcPr>
                        <w:tcW w:w="2748" w:type="dxa"/>
                      </w:tcPr>
                      <w:p>
                        <w:pPr>
                          <w:pStyle w:val="TableParagraph"/>
                          <w:ind w:left="163"/>
                          <w:rPr>
                            <w:sz w:val="20"/>
                          </w:rPr>
                        </w:pPr>
                        <w:r>
                          <w:rPr>
                            <w:sz w:val="20"/>
                          </w:rPr>
                          <w:t>MOLECULAR</w:t>
                        </w:r>
                      </w:p>
                      <w:p>
                        <w:pPr>
                          <w:pStyle w:val="TableParagraph"/>
                          <w:spacing w:line="210" w:lineRule="exact" w:before="10"/>
                          <w:ind w:left="163"/>
                          <w:rPr>
                            <w:sz w:val="20"/>
                          </w:rPr>
                        </w:pPr>
                        <w:r>
                          <w:rPr>
                            <w:sz w:val="20"/>
                          </w:rPr>
                          <w:t>EPIDEMIOLOGY</w:t>
                        </w:r>
                      </w:p>
                    </w:tc>
                    <w:tc>
                      <w:tcPr>
                        <w:tcW w:w="937" w:type="dxa"/>
                      </w:tcPr>
                      <w:p>
                        <w:pPr>
                          <w:pStyle w:val="TableParagraph"/>
                          <w:ind w:right="202"/>
                          <w:jc w:val="right"/>
                          <w:rPr>
                            <w:sz w:val="20"/>
                          </w:rPr>
                        </w:pPr>
                        <w:r>
                          <w:rPr>
                            <w:w w:val="100"/>
                            <w:sz w:val="20"/>
                          </w:rPr>
                          <w:t>3</w:t>
                        </w:r>
                      </w:p>
                    </w:tc>
                  </w:tr>
                </w:tbl>
                <w:p>
                  <w:pPr>
                    <w:pStyle w:val="BodyText"/>
                    <w:spacing w:before="0"/>
                    <w:ind w:left="0"/>
                  </w:pPr>
                </w:p>
              </w:txbxContent>
            </v:textbox>
            <w10:wrap type="none"/>
          </v:shape>
        </w:pict>
      </w:r>
      <w:r>
        <w:rPr/>
        <w:t>Select two or more of the following:</w:t>
      </w:r>
    </w:p>
    <w:p>
      <w:pPr>
        <w:spacing w:before="66"/>
        <w:ind w:left="199" w:right="0" w:firstLine="0"/>
        <w:jc w:val="left"/>
        <w:rPr>
          <w:i/>
          <w:sz w:val="20"/>
        </w:rPr>
      </w:pPr>
      <w:r>
        <w:rPr/>
        <w:br w:type="column"/>
      </w:r>
      <w:r>
        <w:rPr>
          <w:i/>
          <w:sz w:val="20"/>
        </w:rPr>
        <w:t>CIPP 907: or equivalent</w:t>
      </w:r>
    </w:p>
    <w:p>
      <w:pPr>
        <w:spacing w:before="73"/>
        <w:ind w:left="199" w:right="0" w:firstLine="0"/>
        <w:jc w:val="left"/>
        <w:rPr>
          <w:i/>
          <w:sz w:val="20"/>
        </w:rPr>
      </w:pPr>
      <w:r>
        <w:rPr>
          <w:i/>
          <w:sz w:val="20"/>
        </w:rPr>
        <w:t>PREV 899: 12 credits minimum</w:t>
      </w:r>
    </w:p>
    <w:p>
      <w:pPr>
        <w:pStyle w:val="Heading5"/>
        <w:spacing w:before="178"/>
        <w:ind w:left="199" w:right="807"/>
      </w:pPr>
      <w:r>
        <w:rPr/>
        <w:t>Required Courses: MS in Epidemiology and Clinical Research (Epidemiology Track)</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2"/>
        <w:gridCol w:w="2782"/>
        <w:gridCol w:w="932"/>
      </w:tblGrid>
      <w:tr>
        <w:trPr>
          <w:trHeight w:val="471" w:hRule="atLeast"/>
        </w:trPr>
        <w:tc>
          <w:tcPr>
            <w:tcW w:w="1242" w:type="dxa"/>
          </w:tcPr>
          <w:p>
            <w:pPr>
              <w:pStyle w:val="TableParagraph"/>
              <w:spacing w:line="223" w:lineRule="exact" w:before="0"/>
              <w:ind w:left="180" w:right="158"/>
              <w:jc w:val="center"/>
              <w:rPr>
                <w:sz w:val="20"/>
              </w:rPr>
            </w:pPr>
            <w:r>
              <w:rPr>
                <w:sz w:val="20"/>
              </w:rPr>
              <w:t>PREV 600</w:t>
            </w:r>
          </w:p>
        </w:tc>
        <w:tc>
          <w:tcPr>
            <w:tcW w:w="2782" w:type="dxa"/>
          </w:tcPr>
          <w:p>
            <w:pPr>
              <w:pStyle w:val="TableParagraph"/>
              <w:spacing w:line="223" w:lineRule="exact" w:before="0"/>
              <w:ind w:left="177"/>
              <w:rPr>
                <w:sz w:val="20"/>
              </w:rPr>
            </w:pPr>
            <w:r>
              <w:rPr>
                <w:sz w:val="20"/>
              </w:rPr>
              <w:t>PRINCIPLES OF</w:t>
            </w:r>
          </w:p>
          <w:p>
            <w:pPr>
              <w:pStyle w:val="TableParagraph"/>
              <w:spacing w:line="219" w:lineRule="exact" w:before="10"/>
              <w:ind w:left="177"/>
              <w:rPr>
                <w:sz w:val="20"/>
              </w:rPr>
            </w:pPr>
            <w:r>
              <w:rPr>
                <w:sz w:val="20"/>
              </w:rPr>
              <w:t>EPIDEMIOLOGY</w:t>
            </w:r>
          </w:p>
        </w:tc>
        <w:tc>
          <w:tcPr>
            <w:tcW w:w="932" w:type="dxa"/>
          </w:tcPr>
          <w:p>
            <w:pPr>
              <w:pStyle w:val="TableParagraph"/>
              <w:spacing w:line="223" w:lineRule="exact" w:before="0"/>
              <w:ind w:right="203"/>
              <w:jc w:val="right"/>
              <w:rPr>
                <w:sz w:val="20"/>
              </w:rPr>
            </w:pPr>
            <w:r>
              <w:rPr>
                <w:w w:val="100"/>
                <w:sz w:val="20"/>
              </w:rPr>
              <w:t>3</w:t>
            </w:r>
          </w:p>
        </w:tc>
      </w:tr>
      <w:tr>
        <w:trPr>
          <w:trHeight w:val="240" w:hRule="atLeast"/>
        </w:trPr>
        <w:tc>
          <w:tcPr>
            <w:tcW w:w="1242" w:type="dxa"/>
          </w:tcPr>
          <w:p>
            <w:pPr>
              <w:pStyle w:val="TableParagraph"/>
              <w:spacing w:line="219" w:lineRule="exact"/>
              <w:ind w:left="180" w:right="158"/>
              <w:jc w:val="center"/>
              <w:rPr>
                <w:sz w:val="20"/>
              </w:rPr>
            </w:pPr>
            <w:r>
              <w:rPr>
                <w:sz w:val="20"/>
              </w:rPr>
              <w:t>PREV 619</w:t>
            </w:r>
          </w:p>
        </w:tc>
        <w:tc>
          <w:tcPr>
            <w:tcW w:w="2782" w:type="dxa"/>
          </w:tcPr>
          <w:p>
            <w:pPr>
              <w:pStyle w:val="TableParagraph"/>
              <w:spacing w:line="219" w:lineRule="exact"/>
              <w:ind w:left="177"/>
              <w:rPr>
                <w:sz w:val="20"/>
              </w:rPr>
            </w:pPr>
            <w:r>
              <w:rPr>
                <w:sz w:val="20"/>
              </w:rPr>
              <w:t>INTRODUCTION TO SAS</w:t>
            </w:r>
          </w:p>
        </w:tc>
        <w:tc>
          <w:tcPr>
            <w:tcW w:w="932" w:type="dxa"/>
          </w:tcPr>
          <w:p>
            <w:pPr>
              <w:pStyle w:val="TableParagraph"/>
              <w:spacing w:line="219" w:lineRule="exact"/>
              <w:ind w:right="203"/>
              <w:jc w:val="right"/>
              <w:rPr>
                <w:sz w:val="20"/>
              </w:rPr>
            </w:pPr>
            <w:r>
              <w:rPr>
                <w:w w:val="100"/>
                <w:sz w:val="20"/>
              </w:rPr>
              <w:t>1</w:t>
            </w:r>
          </w:p>
        </w:tc>
      </w:tr>
      <w:tr>
        <w:trPr>
          <w:trHeight w:val="480" w:hRule="atLeast"/>
        </w:trPr>
        <w:tc>
          <w:tcPr>
            <w:tcW w:w="1242" w:type="dxa"/>
          </w:tcPr>
          <w:p>
            <w:pPr>
              <w:pStyle w:val="TableParagraph"/>
              <w:ind w:left="180" w:right="158"/>
              <w:jc w:val="center"/>
              <w:rPr>
                <w:sz w:val="20"/>
              </w:rPr>
            </w:pPr>
            <w:r>
              <w:rPr>
                <w:sz w:val="20"/>
              </w:rPr>
              <w:t>PREV 620</w:t>
            </w:r>
          </w:p>
        </w:tc>
        <w:tc>
          <w:tcPr>
            <w:tcW w:w="2782" w:type="dxa"/>
          </w:tcPr>
          <w:p>
            <w:pPr>
              <w:pStyle w:val="TableParagraph"/>
              <w:ind w:left="177"/>
              <w:rPr>
                <w:sz w:val="20"/>
              </w:rPr>
            </w:pPr>
            <w:r>
              <w:rPr>
                <w:sz w:val="20"/>
              </w:rPr>
              <w:t>PRINCIPLES</w:t>
            </w:r>
            <w:r>
              <w:rPr>
                <w:spacing w:val="-8"/>
                <w:sz w:val="20"/>
              </w:rPr>
              <w:t> </w:t>
            </w:r>
            <w:r>
              <w:rPr>
                <w:sz w:val="20"/>
              </w:rPr>
              <w:t>OF</w:t>
            </w:r>
          </w:p>
          <w:p>
            <w:pPr>
              <w:pStyle w:val="TableParagraph"/>
              <w:spacing w:line="219" w:lineRule="exact" w:before="10"/>
              <w:ind w:left="177"/>
              <w:rPr>
                <w:sz w:val="20"/>
              </w:rPr>
            </w:pPr>
            <w:r>
              <w:rPr>
                <w:sz w:val="20"/>
              </w:rPr>
              <w:t>BIOSTATISTICS</w:t>
            </w:r>
          </w:p>
        </w:tc>
        <w:tc>
          <w:tcPr>
            <w:tcW w:w="932" w:type="dxa"/>
          </w:tcPr>
          <w:p>
            <w:pPr>
              <w:pStyle w:val="TableParagraph"/>
              <w:ind w:right="203"/>
              <w:jc w:val="right"/>
              <w:rPr>
                <w:sz w:val="20"/>
              </w:rPr>
            </w:pPr>
            <w:r>
              <w:rPr>
                <w:w w:val="100"/>
                <w:sz w:val="20"/>
              </w:rPr>
              <w:t>3</w:t>
            </w:r>
          </w:p>
        </w:tc>
      </w:tr>
      <w:tr>
        <w:trPr>
          <w:trHeight w:val="960" w:hRule="atLeast"/>
        </w:trPr>
        <w:tc>
          <w:tcPr>
            <w:tcW w:w="1242" w:type="dxa"/>
          </w:tcPr>
          <w:p>
            <w:pPr>
              <w:pStyle w:val="TableParagraph"/>
              <w:ind w:left="180" w:right="158"/>
              <w:jc w:val="center"/>
              <w:rPr>
                <w:sz w:val="20"/>
              </w:rPr>
            </w:pPr>
            <w:r>
              <w:rPr>
                <w:sz w:val="20"/>
              </w:rPr>
              <w:t>PREV 648</w:t>
            </w:r>
          </w:p>
        </w:tc>
        <w:tc>
          <w:tcPr>
            <w:tcW w:w="2782" w:type="dxa"/>
          </w:tcPr>
          <w:p>
            <w:pPr>
              <w:pStyle w:val="TableParagraph"/>
              <w:spacing w:line="249" w:lineRule="auto"/>
              <w:ind w:left="177" w:right="462"/>
              <w:rPr>
                <w:sz w:val="20"/>
              </w:rPr>
            </w:pPr>
            <w:r>
              <w:rPr>
                <w:sz w:val="20"/>
              </w:rPr>
              <w:t>INTRODUCTION TO HEALTH SYSTEM AND HEALTH POLICY</w:t>
            </w:r>
          </w:p>
          <w:p>
            <w:pPr>
              <w:pStyle w:val="TableParagraph"/>
              <w:spacing w:line="219" w:lineRule="exact" w:before="2"/>
              <w:ind w:left="177"/>
              <w:rPr>
                <w:sz w:val="20"/>
              </w:rPr>
            </w:pPr>
            <w:r>
              <w:rPr>
                <w:sz w:val="20"/>
              </w:rPr>
              <w:t>MANAGEMENT</w:t>
            </w:r>
          </w:p>
        </w:tc>
        <w:tc>
          <w:tcPr>
            <w:tcW w:w="932" w:type="dxa"/>
          </w:tcPr>
          <w:p>
            <w:pPr>
              <w:pStyle w:val="TableParagraph"/>
              <w:ind w:right="203"/>
              <w:jc w:val="right"/>
              <w:rPr>
                <w:sz w:val="20"/>
              </w:rPr>
            </w:pPr>
            <w:r>
              <w:rPr>
                <w:w w:val="100"/>
                <w:sz w:val="20"/>
              </w:rPr>
              <w:t>3</w:t>
            </w:r>
          </w:p>
        </w:tc>
      </w:tr>
      <w:tr>
        <w:trPr>
          <w:trHeight w:val="720" w:hRule="atLeast"/>
        </w:trPr>
        <w:tc>
          <w:tcPr>
            <w:tcW w:w="1242" w:type="dxa"/>
          </w:tcPr>
          <w:p>
            <w:pPr>
              <w:pStyle w:val="TableParagraph"/>
              <w:ind w:left="180" w:right="158"/>
              <w:jc w:val="center"/>
              <w:rPr>
                <w:sz w:val="20"/>
              </w:rPr>
            </w:pPr>
            <w:r>
              <w:rPr>
                <w:sz w:val="20"/>
              </w:rPr>
              <w:t>PREV 659</w:t>
            </w:r>
          </w:p>
        </w:tc>
        <w:tc>
          <w:tcPr>
            <w:tcW w:w="2782" w:type="dxa"/>
          </w:tcPr>
          <w:p>
            <w:pPr>
              <w:pStyle w:val="TableParagraph"/>
              <w:spacing w:line="249" w:lineRule="auto"/>
              <w:ind w:left="177" w:right="462"/>
              <w:rPr>
                <w:sz w:val="20"/>
              </w:rPr>
            </w:pPr>
            <w:r>
              <w:rPr>
                <w:sz w:val="20"/>
              </w:rPr>
              <w:t>OBSERVATIONAL STUDIES IN</w:t>
            </w:r>
          </w:p>
          <w:p>
            <w:pPr>
              <w:pStyle w:val="TableParagraph"/>
              <w:spacing w:line="219" w:lineRule="exact" w:before="2"/>
              <w:ind w:left="177"/>
              <w:rPr>
                <w:sz w:val="20"/>
              </w:rPr>
            </w:pPr>
            <w:r>
              <w:rPr>
                <w:sz w:val="20"/>
              </w:rPr>
              <w:t>EPIDEMIOLOGY</w:t>
            </w:r>
          </w:p>
        </w:tc>
        <w:tc>
          <w:tcPr>
            <w:tcW w:w="932" w:type="dxa"/>
          </w:tcPr>
          <w:p>
            <w:pPr>
              <w:pStyle w:val="TableParagraph"/>
              <w:ind w:right="203"/>
              <w:jc w:val="right"/>
              <w:rPr>
                <w:sz w:val="20"/>
              </w:rPr>
            </w:pPr>
            <w:r>
              <w:rPr>
                <w:w w:val="100"/>
                <w:sz w:val="20"/>
              </w:rPr>
              <w:t>3</w:t>
            </w:r>
          </w:p>
        </w:tc>
      </w:tr>
      <w:tr>
        <w:trPr>
          <w:trHeight w:val="480" w:hRule="atLeast"/>
        </w:trPr>
        <w:tc>
          <w:tcPr>
            <w:tcW w:w="1242" w:type="dxa"/>
          </w:tcPr>
          <w:p>
            <w:pPr>
              <w:pStyle w:val="TableParagraph"/>
              <w:ind w:left="180" w:right="158"/>
              <w:jc w:val="center"/>
              <w:rPr>
                <w:sz w:val="20"/>
              </w:rPr>
            </w:pPr>
            <w:r>
              <w:rPr>
                <w:sz w:val="20"/>
              </w:rPr>
              <w:t>PREV 720</w:t>
            </w:r>
          </w:p>
        </w:tc>
        <w:tc>
          <w:tcPr>
            <w:tcW w:w="2782" w:type="dxa"/>
          </w:tcPr>
          <w:p>
            <w:pPr>
              <w:pStyle w:val="TableParagraph"/>
              <w:ind w:left="177"/>
              <w:rPr>
                <w:sz w:val="20"/>
              </w:rPr>
            </w:pPr>
            <w:r>
              <w:rPr>
                <w:sz w:val="20"/>
              </w:rPr>
              <w:t>STATISTICAL METHODS</w:t>
            </w:r>
          </w:p>
          <w:p>
            <w:pPr>
              <w:pStyle w:val="TableParagraph"/>
              <w:spacing w:line="219" w:lineRule="exact" w:before="10"/>
              <w:ind w:left="177"/>
              <w:rPr>
                <w:sz w:val="20"/>
              </w:rPr>
            </w:pPr>
            <w:r>
              <w:rPr>
                <w:sz w:val="20"/>
              </w:rPr>
              <w:t>IN EPIDEMIOLOGY</w:t>
            </w:r>
          </w:p>
        </w:tc>
        <w:tc>
          <w:tcPr>
            <w:tcW w:w="932" w:type="dxa"/>
          </w:tcPr>
          <w:p>
            <w:pPr>
              <w:pStyle w:val="TableParagraph"/>
              <w:ind w:right="203"/>
              <w:jc w:val="right"/>
              <w:rPr>
                <w:sz w:val="20"/>
              </w:rPr>
            </w:pPr>
            <w:r>
              <w:rPr>
                <w:w w:val="100"/>
                <w:sz w:val="20"/>
              </w:rPr>
              <w:t>3</w:t>
            </w:r>
          </w:p>
        </w:tc>
      </w:tr>
      <w:tr>
        <w:trPr>
          <w:trHeight w:val="720" w:hRule="atLeast"/>
        </w:trPr>
        <w:tc>
          <w:tcPr>
            <w:tcW w:w="1242" w:type="dxa"/>
          </w:tcPr>
          <w:p>
            <w:pPr>
              <w:pStyle w:val="TableParagraph"/>
              <w:ind w:left="180" w:right="158"/>
              <w:jc w:val="center"/>
              <w:rPr>
                <w:sz w:val="20"/>
              </w:rPr>
            </w:pPr>
            <w:r>
              <w:rPr>
                <w:sz w:val="20"/>
              </w:rPr>
              <w:t>PREV 747</w:t>
            </w:r>
          </w:p>
        </w:tc>
        <w:tc>
          <w:tcPr>
            <w:tcW w:w="2782" w:type="dxa"/>
          </w:tcPr>
          <w:p>
            <w:pPr>
              <w:pStyle w:val="TableParagraph"/>
              <w:spacing w:line="249" w:lineRule="auto"/>
              <w:ind w:left="177" w:right="324"/>
              <w:rPr>
                <w:sz w:val="20"/>
              </w:rPr>
            </w:pPr>
            <w:r>
              <w:rPr>
                <w:sz w:val="20"/>
              </w:rPr>
              <w:t>EPIDEMIOLOGY AND PREVENTIVE MEDICINE</w:t>
            </w:r>
          </w:p>
          <w:p>
            <w:pPr>
              <w:pStyle w:val="TableParagraph"/>
              <w:spacing w:line="219" w:lineRule="exact" w:before="2"/>
              <w:ind w:left="177"/>
              <w:rPr>
                <w:sz w:val="20"/>
              </w:rPr>
            </w:pPr>
            <w:r>
              <w:rPr>
                <w:sz w:val="20"/>
              </w:rPr>
              <w:t>RESEARCH PRACTICUM I</w:t>
            </w:r>
          </w:p>
        </w:tc>
        <w:tc>
          <w:tcPr>
            <w:tcW w:w="932" w:type="dxa"/>
          </w:tcPr>
          <w:p>
            <w:pPr>
              <w:pStyle w:val="TableParagraph"/>
              <w:ind w:right="203"/>
              <w:jc w:val="right"/>
              <w:rPr>
                <w:sz w:val="20"/>
              </w:rPr>
            </w:pPr>
            <w:r>
              <w:rPr>
                <w:w w:val="100"/>
                <w:sz w:val="20"/>
              </w:rPr>
              <w:t>3</w:t>
            </w:r>
          </w:p>
        </w:tc>
      </w:tr>
      <w:tr>
        <w:trPr>
          <w:trHeight w:val="720" w:hRule="atLeast"/>
        </w:trPr>
        <w:tc>
          <w:tcPr>
            <w:tcW w:w="1242" w:type="dxa"/>
          </w:tcPr>
          <w:p>
            <w:pPr>
              <w:pStyle w:val="TableParagraph"/>
              <w:ind w:left="180" w:right="158"/>
              <w:jc w:val="center"/>
              <w:rPr>
                <w:sz w:val="20"/>
              </w:rPr>
            </w:pPr>
            <w:r>
              <w:rPr>
                <w:sz w:val="20"/>
              </w:rPr>
              <w:t>PREV 748</w:t>
            </w:r>
          </w:p>
        </w:tc>
        <w:tc>
          <w:tcPr>
            <w:tcW w:w="2782" w:type="dxa"/>
          </w:tcPr>
          <w:p>
            <w:pPr>
              <w:pStyle w:val="TableParagraph"/>
              <w:spacing w:line="249" w:lineRule="auto"/>
              <w:ind w:left="177" w:right="324"/>
              <w:rPr>
                <w:sz w:val="20"/>
              </w:rPr>
            </w:pPr>
            <w:r>
              <w:rPr>
                <w:sz w:val="20"/>
              </w:rPr>
              <w:t>EPIDEMIOLOGY AND PREVENTIVE MEDICINE</w:t>
            </w:r>
          </w:p>
          <w:p>
            <w:pPr>
              <w:pStyle w:val="TableParagraph"/>
              <w:spacing w:line="219" w:lineRule="exact" w:before="2"/>
              <w:ind w:left="177"/>
              <w:rPr>
                <w:sz w:val="20"/>
              </w:rPr>
            </w:pPr>
            <w:r>
              <w:rPr>
                <w:sz w:val="20"/>
              </w:rPr>
              <w:t>RESEARCH PRACTICUM II</w:t>
            </w:r>
          </w:p>
        </w:tc>
        <w:tc>
          <w:tcPr>
            <w:tcW w:w="932" w:type="dxa"/>
          </w:tcPr>
          <w:p>
            <w:pPr>
              <w:pStyle w:val="TableParagraph"/>
              <w:ind w:right="203"/>
              <w:jc w:val="right"/>
              <w:rPr>
                <w:sz w:val="20"/>
              </w:rPr>
            </w:pPr>
            <w:r>
              <w:rPr>
                <w:w w:val="100"/>
                <w:sz w:val="20"/>
              </w:rPr>
              <w:t>2</w:t>
            </w:r>
          </w:p>
        </w:tc>
      </w:tr>
      <w:tr>
        <w:trPr>
          <w:trHeight w:val="600" w:hRule="atLeast"/>
        </w:trPr>
        <w:tc>
          <w:tcPr>
            <w:tcW w:w="1242" w:type="dxa"/>
          </w:tcPr>
          <w:p>
            <w:pPr>
              <w:pStyle w:val="TableParagraph"/>
              <w:ind w:left="180" w:right="158"/>
              <w:jc w:val="center"/>
              <w:rPr>
                <w:sz w:val="20"/>
              </w:rPr>
            </w:pPr>
            <w:r>
              <w:rPr>
                <w:sz w:val="20"/>
              </w:rPr>
              <w:t>PREV 799</w:t>
            </w:r>
          </w:p>
        </w:tc>
        <w:tc>
          <w:tcPr>
            <w:tcW w:w="2782" w:type="dxa"/>
          </w:tcPr>
          <w:p>
            <w:pPr>
              <w:pStyle w:val="TableParagraph"/>
              <w:spacing w:line="249" w:lineRule="auto"/>
              <w:ind w:left="177" w:right="898"/>
              <w:rPr>
                <w:sz w:val="20"/>
              </w:rPr>
            </w:pPr>
            <w:r>
              <w:rPr>
                <w:sz w:val="20"/>
              </w:rPr>
              <w:t>MASTER'S THESIS RESEARCH</w:t>
            </w:r>
          </w:p>
        </w:tc>
        <w:tc>
          <w:tcPr>
            <w:tcW w:w="932" w:type="dxa"/>
          </w:tcPr>
          <w:p>
            <w:pPr>
              <w:pStyle w:val="TableParagraph"/>
              <w:ind w:right="198"/>
              <w:jc w:val="right"/>
              <w:rPr>
                <w:sz w:val="20"/>
              </w:rPr>
            </w:pPr>
            <w:r>
              <w:rPr>
                <w:sz w:val="20"/>
              </w:rPr>
              <w:t>1 TO 6</w:t>
            </w:r>
          </w:p>
        </w:tc>
      </w:tr>
      <w:tr>
        <w:trPr>
          <w:trHeight w:val="360" w:hRule="atLeast"/>
        </w:trPr>
        <w:tc>
          <w:tcPr>
            <w:tcW w:w="1242" w:type="dxa"/>
          </w:tcPr>
          <w:p>
            <w:pPr>
              <w:pStyle w:val="TableParagraph"/>
              <w:spacing w:line="219" w:lineRule="exact" w:before="121"/>
              <w:ind w:left="97" w:right="159"/>
              <w:jc w:val="center"/>
              <w:rPr>
                <w:sz w:val="20"/>
              </w:rPr>
            </w:pPr>
            <w:r>
              <w:rPr>
                <w:sz w:val="20"/>
              </w:rPr>
              <w:t>CIPP 907</w:t>
            </w:r>
          </w:p>
        </w:tc>
        <w:tc>
          <w:tcPr>
            <w:tcW w:w="2782" w:type="dxa"/>
          </w:tcPr>
          <w:p>
            <w:pPr>
              <w:pStyle w:val="TableParagraph"/>
              <w:spacing w:line="219" w:lineRule="exact" w:before="121"/>
              <w:ind w:left="177"/>
              <w:rPr>
                <w:sz w:val="20"/>
              </w:rPr>
            </w:pPr>
            <w:r>
              <w:rPr>
                <w:sz w:val="20"/>
              </w:rPr>
              <w:t>RESEARCH ETHICS</w:t>
            </w:r>
          </w:p>
        </w:tc>
        <w:tc>
          <w:tcPr>
            <w:tcW w:w="932" w:type="dxa"/>
          </w:tcPr>
          <w:p>
            <w:pPr>
              <w:pStyle w:val="TableParagraph"/>
              <w:spacing w:line="219" w:lineRule="exact" w:before="121"/>
              <w:ind w:right="203"/>
              <w:jc w:val="right"/>
              <w:rPr>
                <w:sz w:val="20"/>
              </w:rPr>
            </w:pPr>
            <w:r>
              <w:rPr>
                <w:w w:val="100"/>
                <w:sz w:val="20"/>
              </w:rPr>
              <w:t>1</w:t>
            </w:r>
          </w:p>
        </w:tc>
      </w:tr>
      <w:tr>
        <w:trPr>
          <w:trHeight w:val="240" w:hRule="atLeast"/>
        </w:trPr>
        <w:tc>
          <w:tcPr>
            <w:tcW w:w="1242" w:type="dxa"/>
          </w:tcPr>
          <w:p>
            <w:pPr>
              <w:pStyle w:val="TableParagraph"/>
              <w:spacing w:before="0"/>
              <w:rPr>
                <w:sz w:val="16"/>
              </w:rPr>
            </w:pPr>
          </w:p>
        </w:tc>
        <w:tc>
          <w:tcPr>
            <w:tcW w:w="2782" w:type="dxa"/>
          </w:tcPr>
          <w:p>
            <w:pPr>
              <w:pStyle w:val="TableParagraph"/>
              <w:spacing w:line="219" w:lineRule="exact"/>
              <w:ind w:left="177"/>
              <w:rPr>
                <w:sz w:val="20"/>
              </w:rPr>
            </w:pPr>
            <w:r>
              <w:rPr>
                <w:sz w:val="20"/>
              </w:rPr>
              <w:t>Or</w:t>
            </w:r>
          </w:p>
        </w:tc>
        <w:tc>
          <w:tcPr>
            <w:tcW w:w="932" w:type="dxa"/>
          </w:tcPr>
          <w:p>
            <w:pPr>
              <w:pStyle w:val="TableParagraph"/>
              <w:spacing w:before="0"/>
              <w:rPr>
                <w:sz w:val="16"/>
              </w:rPr>
            </w:pPr>
          </w:p>
        </w:tc>
      </w:tr>
      <w:tr>
        <w:trPr>
          <w:trHeight w:val="471" w:hRule="atLeast"/>
        </w:trPr>
        <w:tc>
          <w:tcPr>
            <w:tcW w:w="1242" w:type="dxa"/>
          </w:tcPr>
          <w:p>
            <w:pPr>
              <w:pStyle w:val="TableParagraph"/>
              <w:ind w:left="97" w:right="159"/>
              <w:jc w:val="center"/>
              <w:rPr>
                <w:sz w:val="20"/>
              </w:rPr>
            </w:pPr>
            <w:r>
              <w:rPr>
                <w:sz w:val="20"/>
              </w:rPr>
              <w:t>CIPP 909</w:t>
            </w:r>
          </w:p>
        </w:tc>
        <w:tc>
          <w:tcPr>
            <w:tcW w:w="2782" w:type="dxa"/>
          </w:tcPr>
          <w:p>
            <w:pPr>
              <w:pStyle w:val="TableParagraph"/>
              <w:ind w:left="177"/>
              <w:rPr>
                <w:sz w:val="20"/>
              </w:rPr>
            </w:pPr>
            <w:r>
              <w:rPr>
                <w:sz w:val="20"/>
              </w:rPr>
              <w:t>RESPONSIBLE CONDUCT</w:t>
            </w:r>
          </w:p>
          <w:p>
            <w:pPr>
              <w:pStyle w:val="TableParagraph"/>
              <w:spacing w:line="210" w:lineRule="exact" w:before="10"/>
              <w:ind w:left="177"/>
              <w:rPr>
                <w:sz w:val="20"/>
              </w:rPr>
            </w:pPr>
            <w:r>
              <w:rPr>
                <w:sz w:val="20"/>
              </w:rPr>
              <w:t>OF RESEARCH</w:t>
            </w:r>
          </w:p>
        </w:tc>
        <w:tc>
          <w:tcPr>
            <w:tcW w:w="932" w:type="dxa"/>
          </w:tcPr>
          <w:p>
            <w:pPr>
              <w:pStyle w:val="TableParagraph"/>
              <w:ind w:right="198"/>
              <w:jc w:val="right"/>
              <w:rPr>
                <w:sz w:val="20"/>
              </w:rPr>
            </w:pPr>
            <w:r>
              <w:rPr>
                <w:sz w:val="20"/>
              </w:rPr>
              <w:t>1 TO 2</w:t>
            </w:r>
          </w:p>
        </w:tc>
      </w:tr>
    </w:tbl>
    <w:p>
      <w:pPr>
        <w:spacing w:line="309" w:lineRule="auto" w:before="85"/>
        <w:ind w:left="200" w:right="1345" w:hanging="1"/>
        <w:jc w:val="left"/>
        <w:rPr>
          <w:i/>
          <w:sz w:val="20"/>
        </w:rPr>
      </w:pPr>
      <w:r>
        <w:rPr>
          <w:i/>
          <w:sz w:val="20"/>
        </w:rPr>
        <w:t>Electives as needed to meet 30-credit requirement </w:t>
      </w:r>
      <w:r>
        <w:rPr>
          <w:i/>
          <w:sz w:val="20"/>
        </w:rPr>
        <w:t>PREV 747 and PREV 748: or MS Thesis</w:t>
      </w:r>
    </w:p>
    <w:p>
      <w:pPr>
        <w:pStyle w:val="BodyText"/>
        <w:spacing w:before="127"/>
      </w:pPr>
      <w:r>
        <w:rPr/>
        <w:t>CIPP 907: or equivalent</w:t>
      </w:r>
    </w:p>
    <w:p>
      <w:pPr>
        <w:spacing w:before="68"/>
        <w:ind w:left="200" w:right="0" w:firstLine="0"/>
        <w:jc w:val="left"/>
        <w:rPr>
          <w:i/>
          <w:sz w:val="20"/>
        </w:rPr>
      </w:pPr>
      <w:r>
        <w:rPr>
          <w:i/>
          <w:sz w:val="20"/>
        </w:rPr>
        <w:t>PREV 799: 6 credits minimum if master’s thesis option</w:t>
      </w:r>
    </w:p>
    <w:p>
      <w:pPr>
        <w:pStyle w:val="Heading5"/>
        <w:spacing w:before="183"/>
        <w:ind w:left="199" w:right="601"/>
      </w:pPr>
      <w:r>
        <w:rPr/>
        <w:t>Required Courses: MS Epidemiology/ PhD Gerontology Joint Degree</w:t>
      </w:r>
    </w:p>
    <w:p>
      <w:pPr>
        <w:pStyle w:val="BodyText"/>
        <w:spacing w:before="184"/>
        <w:ind w:left="199"/>
      </w:pPr>
      <w:r>
        <w:rPr/>
        <w:t>(open only to students in the Gerontology PhD program)</w:t>
      </w:r>
    </w:p>
    <w:p>
      <w:pPr>
        <w:spacing w:after="0"/>
        <w:sectPr>
          <w:type w:val="continuous"/>
          <w:pgSz w:w="12240" w:h="15840"/>
          <w:pgMar w:top="1500" w:bottom="280" w:left="880" w:right="300"/>
          <w:cols w:num="2" w:equalWidth="0">
            <w:col w:w="5101" w:space="385"/>
            <w:col w:w="5574"/>
          </w:cols>
        </w:sectPr>
      </w:pPr>
    </w:p>
    <w:tbl>
      <w:tblPr>
        <w:tblW w:w="0" w:type="auto"/>
        <w:jc w:val="left"/>
        <w:tblInd w:w="5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2"/>
        <w:gridCol w:w="2916"/>
        <w:gridCol w:w="793"/>
      </w:tblGrid>
      <w:tr>
        <w:trPr>
          <w:trHeight w:val="471" w:hRule="atLeast"/>
        </w:trPr>
        <w:tc>
          <w:tcPr>
            <w:tcW w:w="1242" w:type="dxa"/>
          </w:tcPr>
          <w:p>
            <w:pPr>
              <w:pStyle w:val="TableParagraph"/>
              <w:spacing w:line="223" w:lineRule="exact" w:before="0"/>
              <w:ind w:left="180" w:right="158"/>
              <w:jc w:val="center"/>
              <w:rPr>
                <w:sz w:val="20"/>
              </w:rPr>
            </w:pPr>
            <w:r>
              <w:rPr>
                <w:sz w:val="20"/>
              </w:rPr>
              <w:t>PREV 600</w:t>
            </w:r>
          </w:p>
        </w:tc>
        <w:tc>
          <w:tcPr>
            <w:tcW w:w="2916" w:type="dxa"/>
          </w:tcPr>
          <w:p>
            <w:pPr>
              <w:pStyle w:val="TableParagraph"/>
              <w:spacing w:line="223" w:lineRule="exact" w:before="0"/>
              <w:ind w:left="177"/>
              <w:rPr>
                <w:sz w:val="20"/>
              </w:rPr>
            </w:pPr>
            <w:r>
              <w:rPr>
                <w:sz w:val="20"/>
              </w:rPr>
              <w:t>PRINCIPLES OF</w:t>
            </w:r>
          </w:p>
          <w:p>
            <w:pPr>
              <w:pStyle w:val="TableParagraph"/>
              <w:spacing w:line="219" w:lineRule="exact" w:before="10"/>
              <w:ind w:left="177"/>
              <w:rPr>
                <w:sz w:val="20"/>
              </w:rPr>
            </w:pPr>
            <w:r>
              <w:rPr>
                <w:sz w:val="20"/>
              </w:rPr>
              <w:t>EPIDEMIOLOGY</w:t>
            </w:r>
          </w:p>
        </w:tc>
        <w:tc>
          <w:tcPr>
            <w:tcW w:w="793" w:type="dxa"/>
          </w:tcPr>
          <w:p>
            <w:pPr>
              <w:pStyle w:val="TableParagraph"/>
              <w:spacing w:line="223" w:lineRule="exact" w:before="0"/>
              <w:ind w:right="198"/>
              <w:jc w:val="right"/>
              <w:rPr>
                <w:sz w:val="20"/>
              </w:rPr>
            </w:pPr>
            <w:r>
              <w:rPr>
                <w:w w:val="100"/>
                <w:sz w:val="20"/>
              </w:rPr>
              <w:t>3</w:t>
            </w:r>
          </w:p>
        </w:tc>
      </w:tr>
      <w:tr>
        <w:trPr>
          <w:trHeight w:val="239" w:hRule="atLeast"/>
        </w:trPr>
        <w:tc>
          <w:tcPr>
            <w:tcW w:w="1242" w:type="dxa"/>
          </w:tcPr>
          <w:p>
            <w:pPr>
              <w:pStyle w:val="TableParagraph"/>
              <w:spacing w:line="219" w:lineRule="exact"/>
              <w:ind w:left="180" w:right="158"/>
              <w:jc w:val="center"/>
              <w:rPr>
                <w:sz w:val="20"/>
              </w:rPr>
            </w:pPr>
            <w:r>
              <w:rPr>
                <w:sz w:val="20"/>
              </w:rPr>
              <w:t>PREV 619</w:t>
            </w:r>
          </w:p>
        </w:tc>
        <w:tc>
          <w:tcPr>
            <w:tcW w:w="2916" w:type="dxa"/>
          </w:tcPr>
          <w:p>
            <w:pPr>
              <w:pStyle w:val="TableParagraph"/>
              <w:spacing w:line="219" w:lineRule="exact"/>
              <w:ind w:left="177"/>
              <w:rPr>
                <w:sz w:val="20"/>
              </w:rPr>
            </w:pPr>
            <w:r>
              <w:rPr>
                <w:sz w:val="20"/>
              </w:rPr>
              <w:t>INTRODUCTION TO SAS</w:t>
            </w:r>
          </w:p>
        </w:tc>
        <w:tc>
          <w:tcPr>
            <w:tcW w:w="793" w:type="dxa"/>
          </w:tcPr>
          <w:p>
            <w:pPr>
              <w:pStyle w:val="TableParagraph"/>
              <w:spacing w:line="219" w:lineRule="exact"/>
              <w:ind w:right="198"/>
              <w:jc w:val="right"/>
              <w:rPr>
                <w:sz w:val="20"/>
              </w:rPr>
            </w:pPr>
            <w:r>
              <w:rPr>
                <w:w w:val="100"/>
                <w:sz w:val="20"/>
              </w:rPr>
              <w:t>1</w:t>
            </w:r>
          </w:p>
        </w:tc>
      </w:tr>
      <w:tr>
        <w:trPr>
          <w:trHeight w:val="480" w:hRule="atLeast"/>
        </w:trPr>
        <w:tc>
          <w:tcPr>
            <w:tcW w:w="1242" w:type="dxa"/>
          </w:tcPr>
          <w:p>
            <w:pPr>
              <w:pStyle w:val="TableParagraph"/>
              <w:ind w:left="180" w:right="158"/>
              <w:jc w:val="center"/>
              <w:rPr>
                <w:sz w:val="20"/>
              </w:rPr>
            </w:pPr>
            <w:r>
              <w:rPr>
                <w:sz w:val="20"/>
              </w:rPr>
              <w:t>PREV 620</w:t>
            </w:r>
          </w:p>
        </w:tc>
        <w:tc>
          <w:tcPr>
            <w:tcW w:w="2916" w:type="dxa"/>
          </w:tcPr>
          <w:p>
            <w:pPr>
              <w:pStyle w:val="TableParagraph"/>
              <w:ind w:left="177"/>
              <w:rPr>
                <w:sz w:val="20"/>
              </w:rPr>
            </w:pPr>
            <w:r>
              <w:rPr>
                <w:sz w:val="20"/>
              </w:rPr>
              <w:t>PRINCIPLES</w:t>
            </w:r>
            <w:r>
              <w:rPr>
                <w:spacing w:val="-8"/>
                <w:sz w:val="20"/>
              </w:rPr>
              <w:t> </w:t>
            </w:r>
            <w:r>
              <w:rPr>
                <w:sz w:val="20"/>
              </w:rPr>
              <w:t>OF</w:t>
            </w:r>
          </w:p>
          <w:p>
            <w:pPr>
              <w:pStyle w:val="TableParagraph"/>
              <w:spacing w:line="219" w:lineRule="exact" w:before="10"/>
              <w:ind w:left="177"/>
              <w:rPr>
                <w:sz w:val="20"/>
              </w:rPr>
            </w:pPr>
            <w:r>
              <w:rPr>
                <w:sz w:val="20"/>
              </w:rPr>
              <w:t>BIOSTATISTICS</w:t>
            </w:r>
          </w:p>
        </w:tc>
        <w:tc>
          <w:tcPr>
            <w:tcW w:w="793" w:type="dxa"/>
          </w:tcPr>
          <w:p>
            <w:pPr>
              <w:pStyle w:val="TableParagraph"/>
              <w:ind w:right="198"/>
              <w:jc w:val="right"/>
              <w:rPr>
                <w:sz w:val="20"/>
              </w:rPr>
            </w:pPr>
            <w:r>
              <w:rPr>
                <w:w w:val="100"/>
                <w:sz w:val="20"/>
              </w:rPr>
              <w:t>3</w:t>
            </w:r>
          </w:p>
        </w:tc>
      </w:tr>
      <w:tr>
        <w:trPr>
          <w:trHeight w:val="231" w:hRule="atLeast"/>
        </w:trPr>
        <w:tc>
          <w:tcPr>
            <w:tcW w:w="1242" w:type="dxa"/>
          </w:tcPr>
          <w:p>
            <w:pPr>
              <w:pStyle w:val="TableParagraph"/>
              <w:spacing w:line="210" w:lineRule="exact"/>
              <w:ind w:left="180" w:right="158"/>
              <w:jc w:val="center"/>
              <w:rPr>
                <w:sz w:val="20"/>
              </w:rPr>
            </w:pPr>
            <w:r>
              <w:rPr>
                <w:sz w:val="20"/>
              </w:rPr>
              <w:t>PREV 659</w:t>
            </w:r>
          </w:p>
        </w:tc>
        <w:tc>
          <w:tcPr>
            <w:tcW w:w="2916" w:type="dxa"/>
          </w:tcPr>
          <w:p>
            <w:pPr>
              <w:pStyle w:val="TableParagraph"/>
              <w:spacing w:line="210" w:lineRule="exact"/>
              <w:ind w:left="177"/>
              <w:rPr>
                <w:sz w:val="20"/>
              </w:rPr>
            </w:pPr>
            <w:r>
              <w:rPr>
                <w:sz w:val="20"/>
              </w:rPr>
              <w:t>OBSERVATIONAL</w:t>
            </w:r>
          </w:p>
        </w:tc>
        <w:tc>
          <w:tcPr>
            <w:tcW w:w="793" w:type="dxa"/>
          </w:tcPr>
          <w:p>
            <w:pPr>
              <w:pStyle w:val="TableParagraph"/>
              <w:spacing w:line="210" w:lineRule="exact"/>
              <w:ind w:right="198"/>
              <w:jc w:val="right"/>
              <w:rPr>
                <w:sz w:val="20"/>
              </w:rPr>
            </w:pPr>
            <w:r>
              <w:rPr>
                <w:w w:val="100"/>
                <w:sz w:val="20"/>
              </w:rPr>
              <w:t>3</w:t>
            </w:r>
          </w:p>
        </w:tc>
      </w:tr>
    </w:tbl>
    <w:p>
      <w:pPr>
        <w:spacing w:after="0" w:line="210" w:lineRule="exact"/>
        <w:jc w:val="right"/>
        <w:rPr>
          <w:sz w:val="20"/>
        </w:rPr>
        <w:sectPr>
          <w:type w:val="continuous"/>
          <w:pgSz w:w="12240" w:h="15840"/>
          <w:pgMar w:top="1500" w:bottom="280" w:left="880" w:right="300"/>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2"/>
        <w:gridCol w:w="2728"/>
        <w:gridCol w:w="986"/>
      </w:tblGrid>
      <w:tr>
        <w:trPr>
          <w:trHeight w:val="471" w:hRule="atLeast"/>
        </w:trPr>
        <w:tc>
          <w:tcPr>
            <w:tcW w:w="1242" w:type="dxa"/>
          </w:tcPr>
          <w:p>
            <w:pPr>
              <w:pStyle w:val="TableParagraph"/>
              <w:spacing w:before="0"/>
              <w:rPr>
                <w:sz w:val="20"/>
              </w:rPr>
            </w:pPr>
          </w:p>
        </w:tc>
        <w:tc>
          <w:tcPr>
            <w:tcW w:w="2728" w:type="dxa"/>
          </w:tcPr>
          <w:p>
            <w:pPr>
              <w:pStyle w:val="TableParagraph"/>
              <w:spacing w:line="223" w:lineRule="exact" w:before="0"/>
              <w:ind w:left="177"/>
              <w:rPr>
                <w:sz w:val="20"/>
              </w:rPr>
            </w:pPr>
            <w:r>
              <w:rPr>
                <w:sz w:val="20"/>
              </w:rPr>
              <w:t>STUDIES IN</w:t>
            </w:r>
          </w:p>
          <w:p>
            <w:pPr>
              <w:pStyle w:val="TableParagraph"/>
              <w:spacing w:line="219" w:lineRule="exact" w:before="10"/>
              <w:ind w:left="177"/>
              <w:rPr>
                <w:sz w:val="20"/>
              </w:rPr>
            </w:pPr>
            <w:r>
              <w:rPr>
                <w:sz w:val="20"/>
              </w:rPr>
              <w:t>EPIDEMIOLOGY</w:t>
            </w:r>
          </w:p>
        </w:tc>
        <w:tc>
          <w:tcPr>
            <w:tcW w:w="986" w:type="dxa"/>
          </w:tcPr>
          <w:p>
            <w:pPr>
              <w:pStyle w:val="TableParagraph"/>
              <w:spacing w:before="0"/>
              <w:rPr>
                <w:sz w:val="20"/>
              </w:rPr>
            </w:pPr>
          </w:p>
        </w:tc>
      </w:tr>
      <w:tr>
        <w:trPr>
          <w:trHeight w:val="480" w:hRule="atLeast"/>
        </w:trPr>
        <w:tc>
          <w:tcPr>
            <w:tcW w:w="1242" w:type="dxa"/>
          </w:tcPr>
          <w:p>
            <w:pPr>
              <w:pStyle w:val="TableParagraph"/>
              <w:ind w:left="200"/>
              <w:rPr>
                <w:sz w:val="20"/>
              </w:rPr>
            </w:pPr>
            <w:r>
              <w:rPr>
                <w:sz w:val="20"/>
              </w:rPr>
              <w:t>PREV 720</w:t>
            </w:r>
          </w:p>
        </w:tc>
        <w:tc>
          <w:tcPr>
            <w:tcW w:w="2728" w:type="dxa"/>
          </w:tcPr>
          <w:p>
            <w:pPr>
              <w:pStyle w:val="TableParagraph"/>
              <w:ind w:left="177"/>
              <w:rPr>
                <w:sz w:val="20"/>
              </w:rPr>
            </w:pPr>
            <w:r>
              <w:rPr>
                <w:sz w:val="20"/>
              </w:rPr>
              <w:t>STATISTICAL METHODS</w:t>
            </w:r>
          </w:p>
          <w:p>
            <w:pPr>
              <w:pStyle w:val="TableParagraph"/>
              <w:spacing w:line="219" w:lineRule="exact" w:before="10"/>
              <w:ind w:left="177"/>
              <w:rPr>
                <w:sz w:val="20"/>
              </w:rPr>
            </w:pPr>
            <w:r>
              <w:rPr>
                <w:sz w:val="20"/>
              </w:rPr>
              <w:t>IN EPIDEMIOLOGY</w:t>
            </w:r>
          </w:p>
        </w:tc>
        <w:tc>
          <w:tcPr>
            <w:tcW w:w="986" w:type="dxa"/>
          </w:tcPr>
          <w:p>
            <w:pPr>
              <w:pStyle w:val="TableParagraph"/>
              <w:ind w:right="203"/>
              <w:jc w:val="right"/>
              <w:rPr>
                <w:sz w:val="20"/>
              </w:rPr>
            </w:pPr>
            <w:r>
              <w:rPr>
                <w:w w:val="100"/>
                <w:sz w:val="20"/>
              </w:rPr>
              <w:t>3</w:t>
            </w:r>
          </w:p>
        </w:tc>
      </w:tr>
      <w:tr>
        <w:trPr>
          <w:trHeight w:val="360" w:hRule="atLeast"/>
        </w:trPr>
        <w:tc>
          <w:tcPr>
            <w:tcW w:w="1242" w:type="dxa"/>
          </w:tcPr>
          <w:p>
            <w:pPr>
              <w:pStyle w:val="TableParagraph"/>
              <w:ind w:left="200"/>
              <w:rPr>
                <w:sz w:val="20"/>
              </w:rPr>
            </w:pPr>
            <w:r>
              <w:rPr>
                <w:sz w:val="20"/>
              </w:rPr>
              <w:t>PREV 721</w:t>
            </w:r>
          </w:p>
        </w:tc>
        <w:tc>
          <w:tcPr>
            <w:tcW w:w="2728" w:type="dxa"/>
          </w:tcPr>
          <w:p>
            <w:pPr>
              <w:pStyle w:val="TableParagraph"/>
              <w:ind w:left="177"/>
              <w:rPr>
                <w:sz w:val="20"/>
              </w:rPr>
            </w:pPr>
            <w:r>
              <w:rPr>
                <w:sz w:val="20"/>
              </w:rPr>
              <w:t>REGRESSION ANALYSIS</w:t>
            </w:r>
          </w:p>
        </w:tc>
        <w:tc>
          <w:tcPr>
            <w:tcW w:w="986" w:type="dxa"/>
          </w:tcPr>
          <w:p>
            <w:pPr>
              <w:pStyle w:val="TableParagraph"/>
              <w:ind w:right="203"/>
              <w:jc w:val="right"/>
              <w:rPr>
                <w:sz w:val="20"/>
              </w:rPr>
            </w:pPr>
            <w:r>
              <w:rPr>
                <w:w w:val="100"/>
                <w:sz w:val="20"/>
              </w:rPr>
              <w:t>2</w:t>
            </w:r>
          </w:p>
        </w:tc>
      </w:tr>
      <w:tr>
        <w:trPr>
          <w:trHeight w:val="360" w:hRule="atLeast"/>
        </w:trPr>
        <w:tc>
          <w:tcPr>
            <w:tcW w:w="1242" w:type="dxa"/>
          </w:tcPr>
          <w:p>
            <w:pPr>
              <w:pStyle w:val="TableParagraph"/>
              <w:spacing w:line="219" w:lineRule="exact" w:before="121"/>
              <w:ind w:left="200"/>
              <w:rPr>
                <w:sz w:val="20"/>
              </w:rPr>
            </w:pPr>
            <w:r>
              <w:rPr>
                <w:sz w:val="20"/>
              </w:rPr>
              <w:t>PREV 723</w:t>
            </w:r>
          </w:p>
        </w:tc>
        <w:tc>
          <w:tcPr>
            <w:tcW w:w="2728" w:type="dxa"/>
          </w:tcPr>
          <w:p>
            <w:pPr>
              <w:pStyle w:val="TableParagraph"/>
              <w:spacing w:line="219" w:lineRule="exact" w:before="121"/>
              <w:ind w:left="177"/>
              <w:rPr>
                <w:sz w:val="20"/>
              </w:rPr>
            </w:pPr>
            <w:r>
              <w:rPr>
                <w:sz w:val="20"/>
              </w:rPr>
              <w:t>SURVIVAL ANALYSIS</w:t>
            </w:r>
          </w:p>
        </w:tc>
        <w:tc>
          <w:tcPr>
            <w:tcW w:w="986" w:type="dxa"/>
          </w:tcPr>
          <w:p>
            <w:pPr>
              <w:pStyle w:val="TableParagraph"/>
              <w:spacing w:line="219" w:lineRule="exact" w:before="121"/>
              <w:ind w:right="203"/>
              <w:jc w:val="right"/>
              <w:rPr>
                <w:sz w:val="20"/>
              </w:rPr>
            </w:pPr>
            <w:r>
              <w:rPr>
                <w:w w:val="100"/>
                <w:sz w:val="20"/>
              </w:rPr>
              <w:t>2</w:t>
            </w:r>
          </w:p>
        </w:tc>
      </w:tr>
      <w:tr>
        <w:trPr>
          <w:trHeight w:val="240" w:hRule="atLeast"/>
        </w:trPr>
        <w:tc>
          <w:tcPr>
            <w:tcW w:w="1242" w:type="dxa"/>
          </w:tcPr>
          <w:p>
            <w:pPr>
              <w:pStyle w:val="TableParagraph"/>
              <w:spacing w:before="0"/>
              <w:rPr>
                <w:sz w:val="16"/>
              </w:rPr>
            </w:pPr>
          </w:p>
        </w:tc>
        <w:tc>
          <w:tcPr>
            <w:tcW w:w="2728" w:type="dxa"/>
          </w:tcPr>
          <w:p>
            <w:pPr>
              <w:pStyle w:val="TableParagraph"/>
              <w:spacing w:line="219" w:lineRule="exact"/>
              <w:ind w:left="177"/>
              <w:rPr>
                <w:sz w:val="20"/>
              </w:rPr>
            </w:pPr>
            <w:r>
              <w:rPr>
                <w:sz w:val="20"/>
              </w:rPr>
              <w:t>Or</w:t>
            </w:r>
          </w:p>
        </w:tc>
        <w:tc>
          <w:tcPr>
            <w:tcW w:w="986" w:type="dxa"/>
          </w:tcPr>
          <w:p>
            <w:pPr>
              <w:pStyle w:val="TableParagraph"/>
              <w:spacing w:before="0"/>
              <w:rPr>
                <w:sz w:val="16"/>
              </w:rPr>
            </w:pPr>
          </w:p>
        </w:tc>
      </w:tr>
      <w:tr>
        <w:trPr>
          <w:trHeight w:val="600" w:hRule="atLeast"/>
        </w:trPr>
        <w:tc>
          <w:tcPr>
            <w:tcW w:w="1242" w:type="dxa"/>
          </w:tcPr>
          <w:p>
            <w:pPr>
              <w:pStyle w:val="TableParagraph"/>
              <w:ind w:left="200"/>
              <w:rPr>
                <w:sz w:val="20"/>
              </w:rPr>
            </w:pPr>
            <w:r>
              <w:rPr>
                <w:sz w:val="20"/>
              </w:rPr>
              <w:t>PREV 801</w:t>
            </w:r>
          </w:p>
        </w:tc>
        <w:tc>
          <w:tcPr>
            <w:tcW w:w="2728" w:type="dxa"/>
          </w:tcPr>
          <w:p>
            <w:pPr>
              <w:pStyle w:val="TableParagraph"/>
              <w:spacing w:line="249" w:lineRule="auto"/>
              <w:ind w:left="177" w:right="414"/>
              <w:rPr>
                <w:sz w:val="20"/>
              </w:rPr>
            </w:pPr>
            <w:r>
              <w:rPr>
                <w:sz w:val="20"/>
              </w:rPr>
              <w:t>LONGITUDINAL DATA ANALYSIS</w:t>
            </w:r>
          </w:p>
        </w:tc>
        <w:tc>
          <w:tcPr>
            <w:tcW w:w="986" w:type="dxa"/>
          </w:tcPr>
          <w:p>
            <w:pPr>
              <w:pStyle w:val="TableParagraph"/>
              <w:ind w:right="203"/>
              <w:jc w:val="right"/>
              <w:rPr>
                <w:sz w:val="20"/>
              </w:rPr>
            </w:pPr>
            <w:r>
              <w:rPr>
                <w:w w:val="100"/>
                <w:sz w:val="20"/>
              </w:rPr>
              <w:t>3</w:t>
            </w:r>
          </w:p>
        </w:tc>
      </w:tr>
      <w:tr>
        <w:trPr>
          <w:trHeight w:val="600" w:hRule="atLeast"/>
        </w:trPr>
        <w:tc>
          <w:tcPr>
            <w:tcW w:w="1242" w:type="dxa"/>
          </w:tcPr>
          <w:p>
            <w:pPr>
              <w:pStyle w:val="TableParagraph"/>
              <w:spacing w:before="121"/>
              <w:ind w:left="200"/>
              <w:rPr>
                <w:sz w:val="20"/>
              </w:rPr>
            </w:pPr>
            <w:r>
              <w:rPr>
                <w:sz w:val="20"/>
              </w:rPr>
              <w:t>PREV 758</w:t>
            </w:r>
          </w:p>
        </w:tc>
        <w:tc>
          <w:tcPr>
            <w:tcW w:w="2728" w:type="dxa"/>
          </w:tcPr>
          <w:p>
            <w:pPr>
              <w:pStyle w:val="TableParagraph"/>
              <w:spacing w:line="240" w:lineRule="atLeast" w:before="111"/>
              <w:ind w:left="177" w:right="469"/>
              <w:rPr>
                <w:sz w:val="20"/>
              </w:rPr>
            </w:pPr>
            <w:r>
              <w:rPr>
                <w:sz w:val="20"/>
              </w:rPr>
              <w:t>HEALTH SURVEY RESEARCH METHODS</w:t>
            </w:r>
          </w:p>
        </w:tc>
        <w:tc>
          <w:tcPr>
            <w:tcW w:w="986" w:type="dxa"/>
          </w:tcPr>
          <w:p>
            <w:pPr>
              <w:pStyle w:val="TableParagraph"/>
              <w:spacing w:before="121"/>
              <w:ind w:right="203"/>
              <w:jc w:val="right"/>
              <w:rPr>
                <w:sz w:val="20"/>
              </w:rPr>
            </w:pPr>
            <w:r>
              <w:rPr>
                <w:w w:val="100"/>
                <w:sz w:val="20"/>
              </w:rPr>
              <w:t>3</w:t>
            </w:r>
          </w:p>
        </w:tc>
      </w:tr>
      <w:tr>
        <w:trPr>
          <w:trHeight w:val="720" w:hRule="atLeast"/>
        </w:trPr>
        <w:tc>
          <w:tcPr>
            <w:tcW w:w="1242" w:type="dxa"/>
          </w:tcPr>
          <w:p>
            <w:pPr>
              <w:pStyle w:val="TableParagraph"/>
              <w:ind w:left="200"/>
              <w:rPr>
                <w:sz w:val="20"/>
              </w:rPr>
            </w:pPr>
            <w:r>
              <w:rPr>
                <w:sz w:val="20"/>
              </w:rPr>
              <w:t>PREV 803</w:t>
            </w:r>
          </w:p>
        </w:tc>
        <w:tc>
          <w:tcPr>
            <w:tcW w:w="2728" w:type="dxa"/>
          </w:tcPr>
          <w:p>
            <w:pPr>
              <w:pStyle w:val="TableParagraph"/>
              <w:spacing w:line="249" w:lineRule="auto"/>
              <w:ind w:left="177" w:right="364"/>
              <w:rPr>
                <w:sz w:val="20"/>
              </w:rPr>
            </w:pPr>
            <w:r>
              <w:rPr>
                <w:sz w:val="20"/>
              </w:rPr>
              <w:t>CLINICAL TRIALS AND EXPERIMENTAL</w:t>
            </w:r>
          </w:p>
          <w:p>
            <w:pPr>
              <w:pStyle w:val="TableParagraph"/>
              <w:spacing w:line="219" w:lineRule="exact" w:before="2"/>
              <w:ind w:left="177"/>
              <w:rPr>
                <w:sz w:val="20"/>
              </w:rPr>
            </w:pPr>
            <w:r>
              <w:rPr>
                <w:sz w:val="20"/>
              </w:rPr>
              <w:t>EPIDMIOLOGY</w:t>
            </w:r>
          </w:p>
        </w:tc>
        <w:tc>
          <w:tcPr>
            <w:tcW w:w="986" w:type="dxa"/>
          </w:tcPr>
          <w:p>
            <w:pPr>
              <w:pStyle w:val="TableParagraph"/>
              <w:ind w:right="203"/>
              <w:jc w:val="right"/>
              <w:rPr>
                <w:sz w:val="20"/>
              </w:rPr>
            </w:pPr>
            <w:r>
              <w:rPr>
                <w:w w:val="100"/>
                <w:sz w:val="20"/>
              </w:rPr>
              <w:t>3</w:t>
            </w:r>
          </w:p>
        </w:tc>
      </w:tr>
      <w:tr>
        <w:trPr>
          <w:trHeight w:val="720" w:hRule="atLeast"/>
        </w:trPr>
        <w:tc>
          <w:tcPr>
            <w:tcW w:w="1242" w:type="dxa"/>
          </w:tcPr>
          <w:p>
            <w:pPr>
              <w:pStyle w:val="TableParagraph"/>
              <w:spacing w:before="0"/>
              <w:rPr>
                <w:sz w:val="20"/>
              </w:rPr>
            </w:pPr>
          </w:p>
        </w:tc>
        <w:tc>
          <w:tcPr>
            <w:tcW w:w="2728" w:type="dxa"/>
          </w:tcPr>
          <w:p>
            <w:pPr>
              <w:pStyle w:val="TableParagraph"/>
              <w:spacing w:line="249" w:lineRule="auto"/>
              <w:ind w:left="177"/>
              <w:rPr>
                <w:sz w:val="20"/>
              </w:rPr>
            </w:pPr>
            <w:r>
              <w:rPr>
                <w:sz w:val="20"/>
              </w:rPr>
              <w:t>Epidemiology electives from among PREV courses not</w:t>
            </w:r>
          </w:p>
          <w:p>
            <w:pPr>
              <w:pStyle w:val="TableParagraph"/>
              <w:spacing w:line="219" w:lineRule="exact" w:before="2"/>
              <w:ind w:left="177"/>
              <w:rPr>
                <w:sz w:val="20"/>
              </w:rPr>
            </w:pPr>
            <w:r>
              <w:rPr>
                <w:sz w:val="20"/>
              </w:rPr>
              <w:t>already taken</w:t>
            </w:r>
          </w:p>
        </w:tc>
        <w:tc>
          <w:tcPr>
            <w:tcW w:w="986" w:type="dxa"/>
          </w:tcPr>
          <w:p>
            <w:pPr>
              <w:pStyle w:val="TableParagraph"/>
              <w:ind w:right="203"/>
              <w:jc w:val="right"/>
              <w:rPr>
                <w:sz w:val="20"/>
              </w:rPr>
            </w:pPr>
            <w:r>
              <w:rPr>
                <w:w w:val="100"/>
                <w:sz w:val="20"/>
              </w:rPr>
              <w:t>3</w:t>
            </w:r>
          </w:p>
        </w:tc>
      </w:tr>
      <w:tr>
        <w:trPr>
          <w:trHeight w:val="471" w:hRule="atLeast"/>
        </w:trPr>
        <w:tc>
          <w:tcPr>
            <w:tcW w:w="1242" w:type="dxa"/>
          </w:tcPr>
          <w:p>
            <w:pPr>
              <w:pStyle w:val="TableParagraph"/>
              <w:ind w:left="200"/>
              <w:rPr>
                <w:sz w:val="20"/>
              </w:rPr>
            </w:pPr>
            <w:r>
              <w:rPr>
                <w:sz w:val="20"/>
              </w:rPr>
              <w:t>CIPP 909</w:t>
            </w:r>
          </w:p>
        </w:tc>
        <w:tc>
          <w:tcPr>
            <w:tcW w:w="2728" w:type="dxa"/>
          </w:tcPr>
          <w:p>
            <w:pPr>
              <w:pStyle w:val="TableParagraph"/>
              <w:ind w:left="177"/>
              <w:rPr>
                <w:sz w:val="20"/>
              </w:rPr>
            </w:pPr>
            <w:r>
              <w:rPr>
                <w:sz w:val="20"/>
              </w:rPr>
              <w:t>RESPONSIBLE CONDUCT</w:t>
            </w:r>
          </w:p>
          <w:p>
            <w:pPr>
              <w:pStyle w:val="TableParagraph"/>
              <w:spacing w:line="210" w:lineRule="exact" w:before="10"/>
              <w:ind w:left="177"/>
              <w:rPr>
                <w:sz w:val="20"/>
              </w:rPr>
            </w:pPr>
            <w:r>
              <w:rPr>
                <w:sz w:val="20"/>
              </w:rPr>
              <w:t>OF RESEARCH</w:t>
            </w:r>
          </w:p>
        </w:tc>
        <w:tc>
          <w:tcPr>
            <w:tcW w:w="986" w:type="dxa"/>
          </w:tcPr>
          <w:p>
            <w:pPr>
              <w:pStyle w:val="TableParagraph"/>
              <w:ind w:right="198"/>
              <w:jc w:val="right"/>
              <w:rPr>
                <w:sz w:val="20"/>
              </w:rPr>
            </w:pPr>
            <w:r>
              <w:rPr>
                <w:sz w:val="20"/>
              </w:rPr>
              <w:t>1 TO 2</w:t>
            </w:r>
          </w:p>
        </w:tc>
      </w:tr>
    </w:tbl>
    <w:p>
      <w:pPr>
        <w:spacing w:after="0"/>
        <w:jc w:val="right"/>
        <w:rPr>
          <w:sz w:val="20"/>
        </w:rPr>
        <w:sectPr>
          <w:pgSz w:w="12240" w:h="15840"/>
          <w:pgMar w:header="746" w:footer="0" w:top="1320" w:bottom="280" w:left="880" w:right="300"/>
        </w:sectPr>
      </w:pPr>
    </w:p>
    <w:p>
      <w:pPr>
        <w:spacing w:before="67"/>
        <w:ind w:left="200" w:right="0" w:firstLine="0"/>
        <w:jc w:val="left"/>
        <w:rPr>
          <w:i/>
          <w:sz w:val="20"/>
        </w:rPr>
      </w:pPr>
      <w:r>
        <w:rPr>
          <w:i/>
          <w:sz w:val="20"/>
        </w:rPr>
        <w:t>Other courses required for the Gerontology PhD</w:t>
      </w:r>
    </w:p>
    <w:p>
      <w:pPr>
        <w:pStyle w:val="Heading5"/>
        <w:spacing w:before="183"/>
        <w:ind w:right="264"/>
      </w:pPr>
      <w:r>
        <w:rPr/>
        <w:t>Required Courses: MS Epidemiology/ PhD Pharmaceutical Health Services Research Joint Degree</w:t>
      </w:r>
    </w:p>
    <w:p>
      <w:pPr>
        <w:pStyle w:val="BodyText"/>
        <w:spacing w:line="249" w:lineRule="auto" w:before="184"/>
        <w:ind w:right="739"/>
      </w:pPr>
      <w:r>
        <w:rPr/>
        <w:t>(open only to students in the Pharmaceutical Health Services Research PhD program)</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6"/>
        <w:gridCol w:w="2933"/>
        <w:gridCol w:w="762"/>
      </w:tblGrid>
      <w:tr>
        <w:trPr>
          <w:trHeight w:val="471" w:hRule="atLeast"/>
        </w:trPr>
        <w:tc>
          <w:tcPr>
            <w:tcW w:w="1256" w:type="dxa"/>
          </w:tcPr>
          <w:p>
            <w:pPr>
              <w:pStyle w:val="TableParagraph"/>
              <w:spacing w:line="223" w:lineRule="exact" w:before="0"/>
              <w:ind w:right="189"/>
              <w:jc w:val="right"/>
              <w:rPr>
                <w:sz w:val="20"/>
              </w:rPr>
            </w:pPr>
            <w:r>
              <w:rPr>
                <w:sz w:val="20"/>
              </w:rPr>
              <w:t>PREV 600</w:t>
            </w:r>
          </w:p>
        </w:tc>
        <w:tc>
          <w:tcPr>
            <w:tcW w:w="2933" w:type="dxa"/>
          </w:tcPr>
          <w:p>
            <w:pPr>
              <w:pStyle w:val="TableParagraph"/>
              <w:spacing w:line="223" w:lineRule="exact" w:before="0"/>
              <w:ind w:left="192"/>
              <w:rPr>
                <w:sz w:val="20"/>
              </w:rPr>
            </w:pPr>
            <w:r>
              <w:rPr>
                <w:sz w:val="20"/>
              </w:rPr>
              <w:t>PRINCIPLES OF</w:t>
            </w:r>
          </w:p>
          <w:p>
            <w:pPr>
              <w:pStyle w:val="TableParagraph"/>
              <w:spacing w:line="219" w:lineRule="exact" w:before="10"/>
              <w:ind w:left="192"/>
              <w:rPr>
                <w:sz w:val="20"/>
              </w:rPr>
            </w:pPr>
            <w:r>
              <w:rPr>
                <w:sz w:val="20"/>
              </w:rPr>
              <w:t>EPIDEMIOLOGY</w:t>
            </w:r>
          </w:p>
        </w:tc>
        <w:tc>
          <w:tcPr>
            <w:tcW w:w="762" w:type="dxa"/>
          </w:tcPr>
          <w:p>
            <w:pPr>
              <w:pStyle w:val="TableParagraph"/>
              <w:spacing w:line="223" w:lineRule="exact" w:before="0"/>
              <w:ind w:right="198"/>
              <w:jc w:val="right"/>
              <w:rPr>
                <w:sz w:val="20"/>
              </w:rPr>
            </w:pPr>
            <w:r>
              <w:rPr>
                <w:w w:val="100"/>
                <w:sz w:val="20"/>
              </w:rPr>
              <w:t>3</w:t>
            </w:r>
          </w:p>
        </w:tc>
      </w:tr>
      <w:tr>
        <w:trPr>
          <w:trHeight w:val="240" w:hRule="atLeast"/>
        </w:trPr>
        <w:tc>
          <w:tcPr>
            <w:tcW w:w="1256" w:type="dxa"/>
          </w:tcPr>
          <w:p>
            <w:pPr>
              <w:pStyle w:val="TableParagraph"/>
              <w:spacing w:line="219" w:lineRule="exact"/>
              <w:ind w:right="189"/>
              <w:jc w:val="right"/>
              <w:rPr>
                <w:sz w:val="20"/>
              </w:rPr>
            </w:pPr>
            <w:r>
              <w:rPr>
                <w:sz w:val="20"/>
              </w:rPr>
              <w:t>PREV 619</w:t>
            </w:r>
          </w:p>
        </w:tc>
        <w:tc>
          <w:tcPr>
            <w:tcW w:w="2933" w:type="dxa"/>
          </w:tcPr>
          <w:p>
            <w:pPr>
              <w:pStyle w:val="TableParagraph"/>
              <w:spacing w:line="219" w:lineRule="exact"/>
              <w:ind w:left="192"/>
              <w:rPr>
                <w:sz w:val="20"/>
              </w:rPr>
            </w:pPr>
            <w:r>
              <w:rPr>
                <w:sz w:val="20"/>
              </w:rPr>
              <w:t>INTRODUCTION TO SAS</w:t>
            </w:r>
          </w:p>
        </w:tc>
        <w:tc>
          <w:tcPr>
            <w:tcW w:w="762" w:type="dxa"/>
          </w:tcPr>
          <w:p>
            <w:pPr>
              <w:pStyle w:val="TableParagraph"/>
              <w:spacing w:line="219" w:lineRule="exact"/>
              <w:ind w:right="198"/>
              <w:jc w:val="right"/>
              <w:rPr>
                <w:sz w:val="20"/>
              </w:rPr>
            </w:pPr>
            <w:r>
              <w:rPr>
                <w:w w:val="100"/>
                <w:sz w:val="20"/>
              </w:rPr>
              <w:t>1</w:t>
            </w:r>
          </w:p>
        </w:tc>
      </w:tr>
      <w:tr>
        <w:trPr>
          <w:trHeight w:val="480" w:hRule="atLeast"/>
        </w:trPr>
        <w:tc>
          <w:tcPr>
            <w:tcW w:w="1256" w:type="dxa"/>
          </w:tcPr>
          <w:p>
            <w:pPr>
              <w:pStyle w:val="TableParagraph"/>
              <w:ind w:right="189"/>
              <w:jc w:val="right"/>
              <w:rPr>
                <w:sz w:val="20"/>
              </w:rPr>
            </w:pPr>
            <w:r>
              <w:rPr>
                <w:sz w:val="20"/>
              </w:rPr>
              <w:t>PREV 620</w:t>
            </w:r>
          </w:p>
        </w:tc>
        <w:tc>
          <w:tcPr>
            <w:tcW w:w="2933" w:type="dxa"/>
          </w:tcPr>
          <w:p>
            <w:pPr>
              <w:pStyle w:val="TableParagraph"/>
              <w:ind w:left="192"/>
              <w:rPr>
                <w:sz w:val="20"/>
              </w:rPr>
            </w:pPr>
            <w:r>
              <w:rPr>
                <w:sz w:val="20"/>
              </w:rPr>
              <w:t>PRINCIPLES</w:t>
            </w:r>
            <w:r>
              <w:rPr>
                <w:spacing w:val="-8"/>
                <w:sz w:val="20"/>
              </w:rPr>
              <w:t> </w:t>
            </w:r>
            <w:r>
              <w:rPr>
                <w:sz w:val="20"/>
              </w:rPr>
              <w:t>OF</w:t>
            </w:r>
          </w:p>
          <w:p>
            <w:pPr>
              <w:pStyle w:val="TableParagraph"/>
              <w:spacing w:line="219" w:lineRule="exact" w:before="10"/>
              <w:ind w:left="192"/>
              <w:rPr>
                <w:sz w:val="20"/>
              </w:rPr>
            </w:pPr>
            <w:r>
              <w:rPr>
                <w:sz w:val="20"/>
              </w:rPr>
              <w:t>BIOSTATISTICS</w:t>
            </w:r>
          </w:p>
        </w:tc>
        <w:tc>
          <w:tcPr>
            <w:tcW w:w="762" w:type="dxa"/>
          </w:tcPr>
          <w:p>
            <w:pPr>
              <w:pStyle w:val="TableParagraph"/>
              <w:ind w:right="198"/>
              <w:jc w:val="right"/>
              <w:rPr>
                <w:sz w:val="20"/>
              </w:rPr>
            </w:pPr>
            <w:r>
              <w:rPr>
                <w:w w:val="100"/>
                <w:sz w:val="20"/>
              </w:rPr>
              <w:t>3</w:t>
            </w:r>
          </w:p>
        </w:tc>
      </w:tr>
      <w:tr>
        <w:trPr>
          <w:trHeight w:val="720" w:hRule="atLeast"/>
        </w:trPr>
        <w:tc>
          <w:tcPr>
            <w:tcW w:w="1256" w:type="dxa"/>
          </w:tcPr>
          <w:p>
            <w:pPr>
              <w:pStyle w:val="TableParagraph"/>
              <w:ind w:right="189"/>
              <w:jc w:val="right"/>
              <w:rPr>
                <w:sz w:val="20"/>
              </w:rPr>
            </w:pPr>
            <w:r>
              <w:rPr>
                <w:sz w:val="20"/>
              </w:rPr>
              <w:t>PREV 659</w:t>
            </w:r>
          </w:p>
        </w:tc>
        <w:tc>
          <w:tcPr>
            <w:tcW w:w="2933" w:type="dxa"/>
          </w:tcPr>
          <w:p>
            <w:pPr>
              <w:pStyle w:val="TableParagraph"/>
              <w:spacing w:line="249" w:lineRule="auto"/>
              <w:ind w:left="192" w:right="554"/>
              <w:rPr>
                <w:sz w:val="20"/>
              </w:rPr>
            </w:pPr>
            <w:r>
              <w:rPr>
                <w:sz w:val="20"/>
              </w:rPr>
              <w:t>OBSERVATIONAL STUDIES IN</w:t>
            </w:r>
          </w:p>
          <w:p>
            <w:pPr>
              <w:pStyle w:val="TableParagraph"/>
              <w:spacing w:line="219" w:lineRule="exact" w:before="2"/>
              <w:ind w:left="192"/>
              <w:rPr>
                <w:sz w:val="20"/>
              </w:rPr>
            </w:pPr>
            <w:r>
              <w:rPr>
                <w:sz w:val="20"/>
              </w:rPr>
              <w:t>EPIDEMIOLOGY</w:t>
            </w:r>
          </w:p>
        </w:tc>
        <w:tc>
          <w:tcPr>
            <w:tcW w:w="762" w:type="dxa"/>
          </w:tcPr>
          <w:p>
            <w:pPr>
              <w:pStyle w:val="TableParagraph"/>
              <w:ind w:right="198"/>
              <w:jc w:val="right"/>
              <w:rPr>
                <w:sz w:val="20"/>
              </w:rPr>
            </w:pPr>
            <w:r>
              <w:rPr>
                <w:w w:val="100"/>
                <w:sz w:val="20"/>
              </w:rPr>
              <w:t>3</w:t>
            </w:r>
          </w:p>
        </w:tc>
      </w:tr>
      <w:tr>
        <w:trPr>
          <w:trHeight w:val="480" w:hRule="atLeast"/>
        </w:trPr>
        <w:tc>
          <w:tcPr>
            <w:tcW w:w="1256" w:type="dxa"/>
          </w:tcPr>
          <w:p>
            <w:pPr>
              <w:pStyle w:val="TableParagraph"/>
              <w:ind w:right="189"/>
              <w:jc w:val="right"/>
              <w:rPr>
                <w:sz w:val="20"/>
              </w:rPr>
            </w:pPr>
            <w:r>
              <w:rPr>
                <w:sz w:val="20"/>
              </w:rPr>
              <w:t>PREV 720</w:t>
            </w:r>
          </w:p>
        </w:tc>
        <w:tc>
          <w:tcPr>
            <w:tcW w:w="2933" w:type="dxa"/>
          </w:tcPr>
          <w:p>
            <w:pPr>
              <w:pStyle w:val="TableParagraph"/>
              <w:ind w:left="192"/>
              <w:rPr>
                <w:sz w:val="20"/>
              </w:rPr>
            </w:pPr>
            <w:r>
              <w:rPr>
                <w:sz w:val="20"/>
              </w:rPr>
              <w:t>STATISTICAL METHODS</w:t>
            </w:r>
          </w:p>
          <w:p>
            <w:pPr>
              <w:pStyle w:val="TableParagraph"/>
              <w:spacing w:line="219" w:lineRule="exact" w:before="10"/>
              <w:ind w:left="192"/>
              <w:rPr>
                <w:sz w:val="20"/>
              </w:rPr>
            </w:pPr>
            <w:r>
              <w:rPr>
                <w:sz w:val="20"/>
              </w:rPr>
              <w:t>IN EPIDEMIOLOGY</w:t>
            </w:r>
          </w:p>
        </w:tc>
        <w:tc>
          <w:tcPr>
            <w:tcW w:w="762" w:type="dxa"/>
          </w:tcPr>
          <w:p>
            <w:pPr>
              <w:pStyle w:val="TableParagraph"/>
              <w:ind w:right="198"/>
              <w:jc w:val="right"/>
              <w:rPr>
                <w:sz w:val="20"/>
              </w:rPr>
            </w:pPr>
            <w:r>
              <w:rPr>
                <w:w w:val="100"/>
                <w:sz w:val="20"/>
              </w:rPr>
              <w:t>3</w:t>
            </w:r>
          </w:p>
        </w:tc>
      </w:tr>
      <w:tr>
        <w:trPr>
          <w:trHeight w:val="240" w:hRule="atLeast"/>
        </w:trPr>
        <w:tc>
          <w:tcPr>
            <w:tcW w:w="1256" w:type="dxa"/>
          </w:tcPr>
          <w:p>
            <w:pPr>
              <w:pStyle w:val="TableParagraph"/>
              <w:spacing w:line="219" w:lineRule="exact"/>
              <w:ind w:right="189"/>
              <w:jc w:val="right"/>
              <w:rPr>
                <w:sz w:val="20"/>
              </w:rPr>
            </w:pPr>
            <w:r>
              <w:rPr>
                <w:sz w:val="20"/>
              </w:rPr>
              <w:t>PREV 721</w:t>
            </w:r>
          </w:p>
        </w:tc>
        <w:tc>
          <w:tcPr>
            <w:tcW w:w="2933" w:type="dxa"/>
          </w:tcPr>
          <w:p>
            <w:pPr>
              <w:pStyle w:val="TableParagraph"/>
              <w:spacing w:line="219" w:lineRule="exact"/>
              <w:ind w:left="192"/>
              <w:rPr>
                <w:sz w:val="20"/>
              </w:rPr>
            </w:pPr>
            <w:r>
              <w:rPr>
                <w:sz w:val="20"/>
              </w:rPr>
              <w:t>REGRESSION ANALYSIS</w:t>
            </w:r>
          </w:p>
        </w:tc>
        <w:tc>
          <w:tcPr>
            <w:tcW w:w="762" w:type="dxa"/>
          </w:tcPr>
          <w:p>
            <w:pPr>
              <w:pStyle w:val="TableParagraph"/>
              <w:spacing w:line="219" w:lineRule="exact"/>
              <w:ind w:right="198"/>
              <w:jc w:val="right"/>
              <w:rPr>
                <w:sz w:val="20"/>
              </w:rPr>
            </w:pPr>
            <w:r>
              <w:rPr>
                <w:w w:val="100"/>
                <w:sz w:val="20"/>
              </w:rPr>
              <w:t>2</w:t>
            </w:r>
          </w:p>
        </w:tc>
      </w:tr>
      <w:tr>
        <w:trPr>
          <w:trHeight w:val="240" w:hRule="atLeast"/>
        </w:trPr>
        <w:tc>
          <w:tcPr>
            <w:tcW w:w="1256" w:type="dxa"/>
          </w:tcPr>
          <w:p>
            <w:pPr>
              <w:pStyle w:val="TableParagraph"/>
              <w:spacing w:line="219" w:lineRule="exact"/>
              <w:ind w:right="189"/>
              <w:jc w:val="right"/>
              <w:rPr>
                <w:sz w:val="20"/>
              </w:rPr>
            </w:pPr>
            <w:r>
              <w:rPr>
                <w:sz w:val="20"/>
              </w:rPr>
              <w:t>PREV 723</w:t>
            </w:r>
          </w:p>
        </w:tc>
        <w:tc>
          <w:tcPr>
            <w:tcW w:w="2933" w:type="dxa"/>
          </w:tcPr>
          <w:p>
            <w:pPr>
              <w:pStyle w:val="TableParagraph"/>
              <w:spacing w:line="219" w:lineRule="exact"/>
              <w:ind w:left="192"/>
              <w:rPr>
                <w:sz w:val="20"/>
              </w:rPr>
            </w:pPr>
            <w:r>
              <w:rPr>
                <w:sz w:val="20"/>
              </w:rPr>
              <w:t>SURVIVAL ANALYSIS</w:t>
            </w:r>
          </w:p>
        </w:tc>
        <w:tc>
          <w:tcPr>
            <w:tcW w:w="762" w:type="dxa"/>
          </w:tcPr>
          <w:p>
            <w:pPr>
              <w:pStyle w:val="TableParagraph"/>
              <w:spacing w:line="219" w:lineRule="exact"/>
              <w:ind w:right="198"/>
              <w:jc w:val="right"/>
              <w:rPr>
                <w:sz w:val="20"/>
              </w:rPr>
            </w:pPr>
            <w:r>
              <w:rPr>
                <w:w w:val="100"/>
                <w:sz w:val="20"/>
              </w:rPr>
              <w:t>2</w:t>
            </w:r>
          </w:p>
        </w:tc>
      </w:tr>
      <w:tr>
        <w:trPr>
          <w:trHeight w:val="711" w:hRule="atLeast"/>
        </w:trPr>
        <w:tc>
          <w:tcPr>
            <w:tcW w:w="1256" w:type="dxa"/>
          </w:tcPr>
          <w:p>
            <w:pPr>
              <w:pStyle w:val="TableParagraph"/>
              <w:ind w:right="189"/>
              <w:jc w:val="right"/>
              <w:rPr>
                <w:sz w:val="20"/>
              </w:rPr>
            </w:pPr>
            <w:r>
              <w:rPr>
                <w:sz w:val="20"/>
              </w:rPr>
              <w:t>PREV 803</w:t>
            </w:r>
          </w:p>
        </w:tc>
        <w:tc>
          <w:tcPr>
            <w:tcW w:w="2933" w:type="dxa"/>
          </w:tcPr>
          <w:p>
            <w:pPr>
              <w:pStyle w:val="TableParagraph"/>
              <w:spacing w:line="249" w:lineRule="auto"/>
              <w:ind w:left="192" w:right="554"/>
              <w:rPr>
                <w:sz w:val="20"/>
              </w:rPr>
            </w:pPr>
            <w:r>
              <w:rPr>
                <w:sz w:val="20"/>
              </w:rPr>
              <w:t>CLINICAL TRIALS AND EXPERIMENTAL</w:t>
            </w:r>
          </w:p>
          <w:p>
            <w:pPr>
              <w:pStyle w:val="TableParagraph"/>
              <w:spacing w:line="210" w:lineRule="exact" w:before="2"/>
              <w:ind w:left="192"/>
              <w:rPr>
                <w:sz w:val="20"/>
              </w:rPr>
            </w:pPr>
            <w:r>
              <w:rPr>
                <w:sz w:val="20"/>
              </w:rPr>
              <w:t>EPIDMIOLOGY</w:t>
            </w:r>
          </w:p>
        </w:tc>
        <w:tc>
          <w:tcPr>
            <w:tcW w:w="762" w:type="dxa"/>
          </w:tcPr>
          <w:p>
            <w:pPr>
              <w:pStyle w:val="TableParagraph"/>
              <w:ind w:right="198"/>
              <w:jc w:val="right"/>
              <w:rPr>
                <w:sz w:val="20"/>
              </w:rPr>
            </w:pPr>
            <w:r>
              <w:rPr>
                <w:w w:val="100"/>
                <w:sz w:val="20"/>
              </w:rPr>
              <w:t>3</w:t>
            </w:r>
          </w:p>
        </w:tc>
      </w:tr>
    </w:tbl>
    <w:p>
      <w:pPr>
        <w:spacing w:line="249" w:lineRule="auto" w:before="81"/>
        <w:ind w:left="200" w:right="516" w:firstLine="0"/>
        <w:jc w:val="left"/>
        <w:rPr>
          <w:i/>
          <w:sz w:val="20"/>
        </w:rPr>
      </w:pPr>
      <w:r>
        <w:rPr>
          <w:i/>
          <w:sz w:val="20"/>
        </w:rPr>
        <w:t>6 credits of Epidemiology electives from among PREV </w:t>
      </w:r>
      <w:r>
        <w:rPr>
          <w:i/>
          <w:sz w:val="20"/>
        </w:rPr>
        <w:t>courses not already taken</w:t>
      </w:r>
    </w:p>
    <w:p>
      <w:pPr>
        <w:spacing w:line="249" w:lineRule="auto" w:before="59"/>
        <w:ind w:left="200" w:right="511" w:firstLine="0"/>
        <w:jc w:val="left"/>
        <w:rPr>
          <w:i/>
          <w:sz w:val="20"/>
        </w:rPr>
      </w:pPr>
      <w:r>
        <w:rPr>
          <w:i/>
          <w:sz w:val="20"/>
        </w:rPr>
        <w:t>Other courses required for the Pharmaceutical Health </w:t>
      </w:r>
      <w:r>
        <w:rPr>
          <w:i/>
          <w:sz w:val="20"/>
        </w:rPr>
        <w:t>Services Research PhD</w:t>
      </w:r>
    </w:p>
    <w:p>
      <w:pPr>
        <w:pStyle w:val="Heading5"/>
        <w:spacing w:before="175"/>
      </w:pPr>
      <w:r>
        <w:rPr/>
        <w:t>Required Courses: MS in Epidemiology and Clinical Research (Clinical Research Track)</w:t>
      </w:r>
    </w:p>
    <w:p>
      <w:pPr>
        <w:pStyle w:val="BodyText"/>
        <w:spacing w:before="0"/>
        <w:ind w:left="0"/>
        <w:rPr>
          <w:sz w:val="22"/>
        </w:rPr>
      </w:pPr>
      <w:r>
        <w:rPr/>
        <w:br w:type="column"/>
      </w:r>
      <w:r>
        <w:rPr>
          <w:sz w:val="22"/>
        </w:rPr>
      </w: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spacing w:line="314" w:lineRule="auto" w:before="190"/>
        <w:ind w:left="200" w:right="1344" w:hanging="1"/>
        <w:jc w:val="left"/>
        <w:rPr>
          <w:i/>
          <w:sz w:val="20"/>
        </w:rPr>
      </w:pPr>
      <w:r>
        <w:rPr/>
        <w:pict>
          <v:shape style="position:absolute;margin-left:323.600006pt;margin-top:-365.026459pt;width:247.8pt;height:371.2pt;mso-position-horizontal-relative:page;mso-position-vertical-relative:paragraph;z-index:11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0"/>
                    <w:gridCol w:w="2782"/>
                    <w:gridCol w:w="944"/>
                  </w:tblGrid>
                  <w:tr>
                    <w:trPr>
                      <w:trHeight w:val="711" w:hRule="atLeast"/>
                    </w:trPr>
                    <w:tc>
                      <w:tcPr>
                        <w:tcW w:w="1230" w:type="dxa"/>
                      </w:tcPr>
                      <w:p>
                        <w:pPr>
                          <w:pStyle w:val="TableParagraph"/>
                          <w:spacing w:before="0"/>
                          <w:rPr>
                            <w:sz w:val="20"/>
                          </w:rPr>
                        </w:pPr>
                      </w:p>
                    </w:tc>
                    <w:tc>
                      <w:tcPr>
                        <w:tcW w:w="2782" w:type="dxa"/>
                      </w:tcPr>
                      <w:p>
                        <w:pPr>
                          <w:pStyle w:val="TableParagraph"/>
                          <w:spacing w:line="249" w:lineRule="auto" w:before="0"/>
                          <w:ind w:left="165"/>
                          <w:rPr>
                            <w:sz w:val="20"/>
                          </w:rPr>
                        </w:pPr>
                        <w:r>
                          <w:rPr>
                            <w:sz w:val="20"/>
                          </w:rPr>
                          <w:t>CLINICAL AND TRANSLATIONAL</w:t>
                        </w:r>
                      </w:p>
                      <w:p>
                        <w:pPr>
                          <w:pStyle w:val="TableParagraph"/>
                          <w:spacing w:line="219" w:lineRule="exact" w:before="0"/>
                          <w:ind w:left="165"/>
                          <w:rPr>
                            <w:sz w:val="20"/>
                          </w:rPr>
                        </w:pPr>
                        <w:r>
                          <w:rPr>
                            <w:sz w:val="20"/>
                          </w:rPr>
                          <w:t>RESEARCH AT UMB</w:t>
                        </w:r>
                      </w:p>
                    </w:tc>
                    <w:tc>
                      <w:tcPr>
                        <w:tcW w:w="944" w:type="dxa"/>
                      </w:tcPr>
                      <w:p>
                        <w:pPr>
                          <w:pStyle w:val="TableParagraph"/>
                          <w:spacing w:before="0"/>
                          <w:rPr>
                            <w:sz w:val="20"/>
                          </w:rPr>
                        </w:pPr>
                      </w:p>
                    </w:tc>
                  </w:tr>
                  <w:tr>
                    <w:trPr>
                      <w:trHeight w:val="240" w:hRule="atLeast"/>
                    </w:trPr>
                    <w:tc>
                      <w:tcPr>
                        <w:tcW w:w="1230" w:type="dxa"/>
                      </w:tcPr>
                      <w:p>
                        <w:pPr>
                          <w:pStyle w:val="TableParagraph"/>
                          <w:spacing w:line="219" w:lineRule="exact"/>
                          <w:ind w:left="181" w:right="147"/>
                          <w:jc w:val="center"/>
                          <w:rPr>
                            <w:sz w:val="20"/>
                          </w:rPr>
                        </w:pPr>
                        <w:r>
                          <w:rPr>
                            <w:sz w:val="20"/>
                          </w:rPr>
                          <w:t>PREV 619</w:t>
                        </w:r>
                      </w:p>
                    </w:tc>
                    <w:tc>
                      <w:tcPr>
                        <w:tcW w:w="2782" w:type="dxa"/>
                      </w:tcPr>
                      <w:p>
                        <w:pPr>
                          <w:pStyle w:val="TableParagraph"/>
                          <w:spacing w:line="219" w:lineRule="exact"/>
                          <w:ind w:left="165"/>
                          <w:rPr>
                            <w:sz w:val="20"/>
                          </w:rPr>
                        </w:pPr>
                        <w:r>
                          <w:rPr>
                            <w:sz w:val="20"/>
                          </w:rPr>
                          <w:t>INTRODUCTION TO SAS</w:t>
                        </w:r>
                      </w:p>
                    </w:tc>
                    <w:tc>
                      <w:tcPr>
                        <w:tcW w:w="944" w:type="dxa"/>
                      </w:tcPr>
                      <w:p>
                        <w:pPr>
                          <w:pStyle w:val="TableParagraph"/>
                          <w:spacing w:line="219" w:lineRule="exact"/>
                          <w:ind w:right="203"/>
                          <w:jc w:val="right"/>
                          <w:rPr>
                            <w:sz w:val="20"/>
                          </w:rPr>
                        </w:pPr>
                        <w:r>
                          <w:rPr>
                            <w:w w:val="100"/>
                            <w:sz w:val="20"/>
                          </w:rPr>
                          <w:t>1</w:t>
                        </w:r>
                      </w:p>
                    </w:tc>
                  </w:tr>
                  <w:tr>
                    <w:trPr>
                      <w:trHeight w:val="480" w:hRule="atLeast"/>
                    </w:trPr>
                    <w:tc>
                      <w:tcPr>
                        <w:tcW w:w="1230" w:type="dxa"/>
                      </w:tcPr>
                      <w:p>
                        <w:pPr>
                          <w:pStyle w:val="TableParagraph"/>
                          <w:ind w:left="181" w:right="147"/>
                          <w:jc w:val="center"/>
                          <w:rPr>
                            <w:sz w:val="20"/>
                          </w:rPr>
                        </w:pPr>
                        <w:r>
                          <w:rPr>
                            <w:sz w:val="20"/>
                          </w:rPr>
                          <w:t>PREV 620</w:t>
                        </w:r>
                      </w:p>
                    </w:tc>
                    <w:tc>
                      <w:tcPr>
                        <w:tcW w:w="2782" w:type="dxa"/>
                      </w:tcPr>
                      <w:p>
                        <w:pPr>
                          <w:pStyle w:val="TableParagraph"/>
                          <w:ind w:left="165"/>
                          <w:rPr>
                            <w:sz w:val="20"/>
                          </w:rPr>
                        </w:pPr>
                        <w:r>
                          <w:rPr>
                            <w:sz w:val="20"/>
                          </w:rPr>
                          <w:t>PRINCIPLES</w:t>
                        </w:r>
                        <w:r>
                          <w:rPr>
                            <w:spacing w:val="-8"/>
                            <w:sz w:val="20"/>
                          </w:rPr>
                          <w:t> </w:t>
                        </w:r>
                        <w:r>
                          <w:rPr>
                            <w:sz w:val="20"/>
                          </w:rPr>
                          <w:t>OF</w:t>
                        </w:r>
                      </w:p>
                      <w:p>
                        <w:pPr>
                          <w:pStyle w:val="TableParagraph"/>
                          <w:spacing w:line="219" w:lineRule="exact" w:before="10"/>
                          <w:ind w:left="165"/>
                          <w:rPr>
                            <w:sz w:val="20"/>
                          </w:rPr>
                        </w:pPr>
                        <w:r>
                          <w:rPr>
                            <w:sz w:val="20"/>
                          </w:rPr>
                          <w:t>BIOSTATISTICS</w:t>
                        </w:r>
                      </w:p>
                    </w:tc>
                    <w:tc>
                      <w:tcPr>
                        <w:tcW w:w="944" w:type="dxa"/>
                      </w:tcPr>
                      <w:p>
                        <w:pPr>
                          <w:pStyle w:val="TableParagraph"/>
                          <w:ind w:right="203"/>
                          <w:jc w:val="right"/>
                          <w:rPr>
                            <w:sz w:val="20"/>
                          </w:rPr>
                        </w:pPr>
                        <w:r>
                          <w:rPr>
                            <w:w w:val="100"/>
                            <w:sz w:val="20"/>
                          </w:rPr>
                          <w:t>3</w:t>
                        </w:r>
                      </w:p>
                    </w:tc>
                  </w:tr>
                  <w:tr>
                    <w:trPr>
                      <w:trHeight w:val="960" w:hRule="atLeast"/>
                    </w:trPr>
                    <w:tc>
                      <w:tcPr>
                        <w:tcW w:w="1230" w:type="dxa"/>
                      </w:tcPr>
                      <w:p>
                        <w:pPr>
                          <w:pStyle w:val="TableParagraph"/>
                          <w:ind w:left="181" w:right="147"/>
                          <w:jc w:val="center"/>
                          <w:rPr>
                            <w:sz w:val="20"/>
                          </w:rPr>
                        </w:pPr>
                        <w:r>
                          <w:rPr>
                            <w:sz w:val="20"/>
                          </w:rPr>
                          <w:t>PREV 633</w:t>
                        </w:r>
                      </w:p>
                    </w:tc>
                    <w:tc>
                      <w:tcPr>
                        <w:tcW w:w="2782" w:type="dxa"/>
                      </w:tcPr>
                      <w:p>
                        <w:pPr>
                          <w:pStyle w:val="TableParagraph"/>
                          <w:spacing w:line="249" w:lineRule="auto"/>
                          <w:ind w:left="165" w:right="324"/>
                          <w:rPr>
                            <w:sz w:val="20"/>
                          </w:rPr>
                        </w:pPr>
                        <w:r>
                          <w:rPr>
                            <w:sz w:val="20"/>
                          </w:rPr>
                          <w:t>APPLICATION OFLEGAL AND REGULATORY ISSUES IN CLINICAL</w:t>
                        </w:r>
                      </w:p>
                      <w:p>
                        <w:pPr>
                          <w:pStyle w:val="TableParagraph"/>
                          <w:spacing w:line="219" w:lineRule="exact" w:before="2"/>
                          <w:ind w:left="165"/>
                          <w:rPr>
                            <w:sz w:val="20"/>
                          </w:rPr>
                        </w:pPr>
                        <w:r>
                          <w:rPr>
                            <w:sz w:val="20"/>
                          </w:rPr>
                          <w:t>RESEARCH</w:t>
                        </w:r>
                      </w:p>
                    </w:tc>
                    <w:tc>
                      <w:tcPr>
                        <w:tcW w:w="944" w:type="dxa"/>
                      </w:tcPr>
                      <w:p>
                        <w:pPr>
                          <w:pStyle w:val="TableParagraph"/>
                          <w:ind w:right="203"/>
                          <w:jc w:val="right"/>
                          <w:rPr>
                            <w:sz w:val="20"/>
                          </w:rPr>
                        </w:pPr>
                        <w:r>
                          <w:rPr>
                            <w:w w:val="100"/>
                            <w:sz w:val="20"/>
                          </w:rPr>
                          <w:t>2</w:t>
                        </w:r>
                      </w:p>
                    </w:tc>
                  </w:tr>
                  <w:tr>
                    <w:trPr>
                      <w:trHeight w:val="1200" w:hRule="atLeast"/>
                    </w:trPr>
                    <w:tc>
                      <w:tcPr>
                        <w:tcW w:w="1230" w:type="dxa"/>
                      </w:tcPr>
                      <w:p>
                        <w:pPr>
                          <w:pStyle w:val="TableParagraph"/>
                          <w:ind w:left="181" w:right="147"/>
                          <w:jc w:val="center"/>
                          <w:rPr>
                            <w:sz w:val="20"/>
                          </w:rPr>
                        </w:pPr>
                        <w:r>
                          <w:rPr>
                            <w:sz w:val="20"/>
                          </w:rPr>
                          <w:t>PREV 710</w:t>
                        </w:r>
                      </w:p>
                    </w:tc>
                    <w:tc>
                      <w:tcPr>
                        <w:tcW w:w="2782" w:type="dxa"/>
                      </w:tcPr>
                      <w:p>
                        <w:pPr>
                          <w:pStyle w:val="TableParagraph"/>
                          <w:spacing w:line="249" w:lineRule="auto"/>
                          <w:ind w:left="165" w:right="657"/>
                          <w:rPr>
                            <w:sz w:val="20"/>
                          </w:rPr>
                        </w:pPr>
                        <w:r>
                          <w:rPr>
                            <w:sz w:val="20"/>
                          </w:rPr>
                          <w:t>CLINICAL AND TRANSLATIONAL RESEARCH PROJECT DESIGN AND</w:t>
                        </w:r>
                      </w:p>
                      <w:p>
                        <w:pPr>
                          <w:pStyle w:val="TableParagraph"/>
                          <w:spacing w:line="219" w:lineRule="exact" w:before="3"/>
                          <w:ind w:left="165"/>
                          <w:rPr>
                            <w:sz w:val="20"/>
                          </w:rPr>
                        </w:pPr>
                        <w:r>
                          <w:rPr>
                            <w:sz w:val="20"/>
                          </w:rPr>
                          <w:t>IMPLEMENTATION</w:t>
                        </w:r>
                      </w:p>
                    </w:tc>
                    <w:tc>
                      <w:tcPr>
                        <w:tcW w:w="944" w:type="dxa"/>
                      </w:tcPr>
                      <w:p>
                        <w:pPr>
                          <w:pStyle w:val="TableParagraph"/>
                          <w:ind w:right="198"/>
                          <w:jc w:val="right"/>
                          <w:rPr>
                            <w:sz w:val="20"/>
                          </w:rPr>
                        </w:pPr>
                        <w:r>
                          <w:rPr>
                            <w:sz w:val="20"/>
                          </w:rPr>
                          <w:t>1 TO 2</w:t>
                        </w:r>
                      </w:p>
                    </w:tc>
                  </w:tr>
                  <w:tr>
                    <w:trPr>
                      <w:trHeight w:val="480" w:hRule="atLeast"/>
                    </w:trPr>
                    <w:tc>
                      <w:tcPr>
                        <w:tcW w:w="1230" w:type="dxa"/>
                      </w:tcPr>
                      <w:p>
                        <w:pPr>
                          <w:pStyle w:val="TableParagraph"/>
                          <w:ind w:left="181" w:right="147"/>
                          <w:jc w:val="center"/>
                          <w:rPr>
                            <w:sz w:val="20"/>
                          </w:rPr>
                        </w:pPr>
                        <w:r>
                          <w:rPr>
                            <w:sz w:val="20"/>
                          </w:rPr>
                          <w:t>PREV 720</w:t>
                        </w:r>
                      </w:p>
                    </w:tc>
                    <w:tc>
                      <w:tcPr>
                        <w:tcW w:w="2782" w:type="dxa"/>
                      </w:tcPr>
                      <w:p>
                        <w:pPr>
                          <w:pStyle w:val="TableParagraph"/>
                          <w:ind w:left="165"/>
                          <w:rPr>
                            <w:sz w:val="20"/>
                          </w:rPr>
                        </w:pPr>
                        <w:r>
                          <w:rPr>
                            <w:sz w:val="20"/>
                          </w:rPr>
                          <w:t>STATISTICAL METHODS</w:t>
                        </w:r>
                      </w:p>
                      <w:p>
                        <w:pPr>
                          <w:pStyle w:val="TableParagraph"/>
                          <w:spacing w:line="219" w:lineRule="exact" w:before="10"/>
                          <w:ind w:left="165"/>
                          <w:rPr>
                            <w:sz w:val="20"/>
                          </w:rPr>
                        </w:pPr>
                        <w:r>
                          <w:rPr>
                            <w:sz w:val="20"/>
                          </w:rPr>
                          <w:t>IN EPIDEMIOLOGY</w:t>
                        </w:r>
                      </w:p>
                    </w:tc>
                    <w:tc>
                      <w:tcPr>
                        <w:tcW w:w="944" w:type="dxa"/>
                      </w:tcPr>
                      <w:p>
                        <w:pPr>
                          <w:pStyle w:val="TableParagraph"/>
                          <w:ind w:right="203"/>
                          <w:jc w:val="right"/>
                          <w:rPr>
                            <w:sz w:val="20"/>
                          </w:rPr>
                        </w:pPr>
                        <w:r>
                          <w:rPr>
                            <w:w w:val="100"/>
                            <w:sz w:val="20"/>
                          </w:rPr>
                          <w:t>3</w:t>
                        </w:r>
                      </w:p>
                    </w:tc>
                  </w:tr>
                  <w:tr>
                    <w:trPr>
                      <w:trHeight w:val="720" w:hRule="atLeast"/>
                    </w:trPr>
                    <w:tc>
                      <w:tcPr>
                        <w:tcW w:w="1230" w:type="dxa"/>
                      </w:tcPr>
                      <w:p>
                        <w:pPr>
                          <w:pStyle w:val="TableParagraph"/>
                          <w:ind w:left="181" w:right="147"/>
                          <w:jc w:val="center"/>
                          <w:rPr>
                            <w:sz w:val="20"/>
                          </w:rPr>
                        </w:pPr>
                        <w:r>
                          <w:rPr>
                            <w:sz w:val="20"/>
                          </w:rPr>
                          <w:t>PREV 747</w:t>
                        </w:r>
                      </w:p>
                    </w:tc>
                    <w:tc>
                      <w:tcPr>
                        <w:tcW w:w="2782" w:type="dxa"/>
                      </w:tcPr>
                      <w:p>
                        <w:pPr>
                          <w:pStyle w:val="TableParagraph"/>
                          <w:spacing w:line="249" w:lineRule="auto"/>
                          <w:ind w:left="165" w:right="336"/>
                          <w:rPr>
                            <w:sz w:val="20"/>
                          </w:rPr>
                        </w:pPr>
                        <w:r>
                          <w:rPr>
                            <w:sz w:val="20"/>
                          </w:rPr>
                          <w:t>EPIDEMIOLOGY AND PREVENTIVE MEDICINE</w:t>
                        </w:r>
                      </w:p>
                      <w:p>
                        <w:pPr>
                          <w:pStyle w:val="TableParagraph"/>
                          <w:spacing w:line="219" w:lineRule="exact" w:before="2"/>
                          <w:ind w:left="165"/>
                          <w:rPr>
                            <w:sz w:val="20"/>
                          </w:rPr>
                        </w:pPr>
                        <w:r>
                          <w:rPr>
                            <w:sz w:val="20"/>
                          </w:rPr>
                          <w:t>RESEARCH PRACTICUM I</w:t>
                        </w:r>
                      </w:p>
                    </w:tc>
                    <w:tc>
                      <w:tcPr>
                        <w:tcW w:w="944" w:type="dxa"/>
                      </w:tcPr>
                      <w:p>
                        <w:pPr>
                          <w:pStyle w:val="TableParagraph"/>
                          <w:ind w:right="203"/>
                          <w:jc w:val="right"/>
                          <w:rPr>
                            <w:sz w:val="20"/>
                          </w:rPr>
                        </w:pPr>
                        <w:r>
                          <w:rPr>
                            <w:w w:val="100"/>
                            <w:sz w:val="20"/>
                          </w:rPr>
                          <w:t>3</w:t>
                        </w:r>
                      </w:p>
                    </w:tc>
                  </w:tr>
                  <w:tr>
                    <w:trPr>
                      <w:trHeight w:val="840" w:hRule="atLeast"/>
                    </w:trPr>
                    <w:tc>
                      <w:tcPr>
                        <w:tcW w:w="1230" w:type="dxa"/>
                      </w:tcPr>
                      <w:p>
                        <w:pPr>
                          <w:pStyle w:val="TableParagraph"/>
                          <w:ind w:left="181" w:right="147"/>
                          <w:jc w:val="center"/>
                          <w:rPr>
                            <w:sz w:val="20"/>
                          </w:rPr>
                        </w:pPr>
                        <w:r>
                          <w:rPr>
                            <w:sz w:val="20"/>
                          </w:rPr>
                          <w:t>PREV 748</w:t>
                        </w:r>
                      </w:p>
                    </w:tc>
                    <w:tc>
                      <w:tcPr>
                        <w:tcW w:w="2782" w:type="dxa"/>
                      </w:tcPr>
                      <w:p>
                        <w:pPr>
                          <w:pStyle w:val="TableParagraph"/>
                          <w:spacing w:line="249" w:lineRule="auto"/>
                          <w:ind w:left="165" w:right="152"/>
                          <w:rPr>
                            <w:sz w:val="20"/>
                          </w:rPr>
                        </w:pPr>
                        <w:r>
                          <w:rPr>
                            <w:sz w:val="20"/>
                          </w:rPr>
                          <w:t>EPIDEMIOLOGY AND PREVENTIVE MEDICINE RESEARCH PRACTICUM II</w:t>
                        </w:r>
                      </w:p>
                    </w:tc>
                    <w:tc>
                      <w:tcPr>
                        <w:tcW w:w="944" w:type="dxa"/>
                      </w:tcPr>
                      <w:p>
                        <w:pPr>
                          <w:pStyle w:val="TableParagraph"/>
                          <w:ind w:right="203"/>
                          <w:jc w:val="right"/>
                          <w:rPr>
                            <w:sz w:val="20"/>
                          </w:rPr>
                        </w:pPr>
                        <w:r>
                          <w:rPr>
                            <w:w w:val="100"/>
                            <w:sz w:val="20"/>
                          </w:rPr>
                          <w:t>2</w:t>
                        </w:r>
                      </w:p>
                    </w:tc>
                  </w:tr>
                  <w:tr>
                    <w:trPr>
                      <w:trHeight w:val="360" w:hRule="atLeast"/>
                    </w:trPr>
                    <w:tc>
                      <w:tcPr>
                        <w:tcW w:w="1230" w:type="dxa"/>
                      </w:tcPr>
                      <w:p>
                        <w:pPr>
                          <w:pStyle w:val="TableParagraph"/>
                          <w:spacing w:line="219" w:lineRule="exact" w:before="121"/>
                          <w:ind w:left="97" w:right="147"/>
                          <w:jc w:val="center"/>
                          <w:rPr>
                            <w:sz w:val="20"/>
                          </w:rPr>
                        </w:pPr>
                        <w:r>
                          <w:rPr>
                            <w:sz w:val="20"/>
                          </w:rPr>
                          <w:t>CIPP 907</w:t>
                        </w:r>
                      </w:p>
                    </w:tc>
                    <w:tc>
                      <w:tcPr>
                        <w:tcW w:w="2782" w:type="dxa"/>
                      </w:tcPr>
                      <w:p>
                        <w:pPr>
                          <w:pStyle w:val="TableParagraph"/>
                          <w:spacing w:line="219" w:lineRule="exact" w:before="121"/>
                          <w:ind w:left="165"/>
                          <w:rPr>
                            <w:sz w:val="20"/>
                          </w:rPr>
                        </w:pPr>
                        <w:r>
                          <w:rPr>
                            <w:sz w:val="20"/>
                          </w:rPr>
                          <w:t>RESEARCH ETHICS</w:t>
                        </w:r>
                      </w:p>
                    </w:tc>
                    <w:tc>
                      <w:tcPr>
                        <w:tcW w:w="944" w:type="dxa"/>
                      </w:tcPr>
                      <w:p>
                        <w:pPr>
                          <w:pStyle w:val="TableParagraph"/>
                          <w:spacing w:line="219" w:lineRule="exact" w:before="121"/>
                          <w:ind w:right="203"/>
                          <w:jc w:val="right"/>
                          <w:rPr>
                            <w:sz w:val="20"/>
                          </w:rPr>
                        </w:pPr>
                        <w:r>
                          <w:rPr>
                            <w:w w:val="100"/>
                            <w:sz w:val="20"/>
                          </w:rPr>
                          <w:t>1</w:t>
                        </w:r>
                      </w:p>
                    </w:tc>
                  </w:tr>
                  <w:tr>
                    <w:trPr>
                      <w:trHeight w:val="240" w:hRule="atLeast"/>
                    </w:trPr>
                    <w:tc>
                      <w:tcPr>
                        <w:tcW w:w="1230" w:type="dxa"/>
                      </w:tcPr>
                      <w:p>
                        <w:pPr>
                          <w:pStyle w:val="TableParagraph"/>
                          <w:spacing w:before="0"/>
                          <w:rPr>
                            <w:sz w:val="16"/>
                          </w:rPr>
                        </w:pPr>
                      </w:p>
                    </w:tc>
                    <w:tc>
                      <w:tcPr>
                        <w:tcW w:w="2782" w:type="dxa"/>
                      </w:tcPr>
                      <w:p>
                        <w:pPr>
                          <w:pStyle w:val="TableParagraph"/>
                          <w:spacing w:line="219" w:lineRule="exact"/>
                          <w:ind w:left="165"/>
                          <w:rPr>
                            <w:sz w:val="20"/>
                          </w:rPr>
                        </w:pPr>
                        <w:r>
                          <w:rPr>
                            <w:sz w:val="20"/>
                          </w:rPr>
                          <w:t>Or</w:t>
                        </w:r>
                      </w:p>
                    </w:tc>
                    <w:tc>
                      <w:tcPr>
                        <w:tcW w:w="944" w:type="dxa"/>
                      </w:tcPr>
                      <w:p>
                        <w:pPr>
                          <w:pStyle w:val="TableParagraph"/>
                          <w:spacing w:before="0"/>
                          <w:rPr>
                            <w:sz w:val="16"/>
                          </w:rPr>
                        </w:pPr>
                      </w:p>
                    </w:tc>
                  </w:tr>
                  <w:tr>
                    <w:trPr>
                      <w:trHeight w:val="600" w:hRule="atLeast"/>
                    </w:trPr>
                    <w:tc>
                      <w:tcPr>
                        <w:tcW w:w="1230" w:type="dxa"/>
                      </w:tcPr>
                      <w:p>
                        <w:pPr>
                          <w:pStyle w:val="TableParagraph"/>
                          <w:ind w:left="97" w:right="147"/>
                          <w:jc w:val="center"/>
                          <w:rPr>
                            <w:sz w:val="20"/>
                          </w:rPr>
                        </w:pPr>
                        <w:r>
                          <w:rPr>
                            <w:sz w:val="20"/>
                          </w:rPr>
                          <w:t>CIPP 909</w:t>
                        </w:r>
                      </w:p>
                    </w:tc>
                    <w:tc>
                      <w:tcPr>
                        <w:tcW w:w="2782" w:type="dxa"/>
                      </w:tcPr>
                      <w:p>
                        <w:pPr>
                          <w:pStyle w:val="TableParagraph"/>
                          <w:spacing w:line="249" w:lineRule="auto"/>
                          <w:ind w:left="165" w:right="152"/>
                          <w:rPr>
                            <w:sz w:val="20"/>
                          </w:rPr>
                        </w:pPr>
                        <w:r>
                          <w:rPr>
                            <w:sz w:val="20"/>
                          </w:rPr>
                          <w:t>RESPONSIBLE CONDUCT OF RESEARCH</w:t>
                        </w:r>
                      </w:p>
                    </w:tc>
                    <w:tc>
                      <w:tcPr>
                        <w:tcW w:w="944" w:type="dxa"/>
                      </w:tcPr>
                      <w:p>
                        <w:pPr>
                          <w:pStyle w:val="TableParagraph"/>
                          <w:ind w:right="198"/>
                          <w:jc w:val="right"/>
                          <w:rPr>
                            <w:sz w:val="20"/>
                          </w:rPr>
                        </w:pPr>
                        <w:r>
                          <w:rPr>
                            <w:sz w:val="20"/>
                          </w:rPr>
                          <w:t>1 TO 2</w:t>
                        </w:r>
                      </w:p>
                    </w:tc>
                  </w:tr>
                  <w:tr>
                    <w:trPr>
                      <w:trHeight w:val="591" w:hRule="atLeast"/>
                    </w:trPr>
                    <w:tc>
                      <w:tcPr>
                        <w:tcW w:w="1230" w:type="dxa"/>
                      </w:tcPr>
                      <w:p>
                        <w:pPr>
                          <w:pStyle w:val="TableParagraph"/>
                          <w:spacing w:before="121"/>
                          <w:ind w:left="181" w:right="147"/>
                          <w:jc w:val="center"/>
                          <w:rPr>
                            <w:sz w:val="20"/>
                          </w:rPr>
                        </w:pPr>
                        <w:r>
                          <w:rPr>
                            <w:sz w:val="20"/>
                          </w:rPr>
                          <w:t>PREV 799</w:t>
                        </w:r>
                      </w:p>
                    </w:tc>
                    <w:tc>
                      <w:tcPr>
                        <w:tcW w:w="2782" w:type="dxa"/>
                      </w:tcPr>
                      <w:p>
                        <w:pPr>
                          <w:pStyle w:val="TableParagraph"/>
                          <w:spacing w:line="240" w:lineRule="atLeast" w:before="111"/>
                          <w:ind w:left="165" w:right="910"/>
                          <w:rPr>
                            <w:sz w:val="20"/>
                          </w:rPr>
                        </w:pPr>
                        <w:r>
                          <w:rPr>
                            <w:sz w:val="20"/>
                          </w:rPr>
                          <w:t>MASTER'S THESIS RESEARCH</w:t>
                        </w:r>
                      </w:p>
                    </w:tc>
                    <w:tc>
                      <w:tcPr>
                        <w:tcW w:w="944" w:type="dxa"/>
                      </w:tcPr>
                      <w:p>
                        <w:pPr>
                          <w:pStyle w:val="TableParagraph"/>
                          <w:spacing w:before="121"/>
                          <w:ind w:right="198"/>
                          <w:jc w:val="right"/>
                          <w:rPr>
                            <w:sz w:val="20"/>
                          </w:rPr>
                        </w:pPr>
                        <w:r>
                          <w:rPr>
                            <w:sz w:val="20"/>
                          </w:rPr>
                          <w:t>1 TO 6</w:t>
                        </w:r>
                      </w:p>
                    </w:tc>
                  </w:tr>
                </w:tbl>
                <w:p>
                  <w:pPr>
                    <w:pStyle w:val="BodyText"/>
                    <w:spacing w:before="0"/>
                    <w:ind w:left="0"/>
                  </w:pPr>
                </w:p>
              </w:txbxContent>
            </v:textbox>
            <w10:wrap type="none"/>
          </v:shape>
        </w:pict>
      </w:r>
      <w:r>
        <w:rPr>
          <w:i/>
          <w:sz w:val="20"/>
        </w:rPr>
        <w:t>Electives as needed to meet 30-credit requirement </w:t>
      </w:r>
      <w:r>
        <w:rPr>
          <w:i/>
          <w:sz w:val="20"/>
        </w:rPr>
        <w:t>PREV 747 and PREV 748: or MS thesis</w:t>
      </w:r>
    </w:p>
    <w:p>
      <w:pPr>
        <w:spacing w:line="227" w:lineRule="exact" w:before="0"/>
        <w:ind w:left="200" w:right="0" w:firstLine="0"/>
        <w:jc w:val="left"/>
        <w:rPr>
          <w:i/>
          <w:sz w:val="20"/>
        </w:rPr>
      </w:pPr>
      <w:r>
        <w:rPr>
          <w:i/>
          <w:sz w:val="20"/>
        </w:rPr>
        <w:t>PREV 799: 6 credits minimum if master’s thesis option</w:t>
      </w:r>
    </w:p>
    <w:p>
      <w:pPr>
        <w:pStyle w:val="Heading5"/>
        <w:spacing w:before="183"/>
        <w:ind w:left="199"/>
      </w:pPr>
      <w:r>
        <w:rPr/>
        <w:pict>
          <v:shape style="position:absolute;margin-left:323.600006pt;margin-top:21.970299pt;width:247.55pt;height:191.2pt;mso-position-horizontal-relative:page;mso-position-vertical-relative:paragraph;z-index:11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2"/>
                    <w:gridCol w:w="2929"/>
                    <w:gridCol w:w="781"/>
                  </w:tblGrid>
                  <w:tr>
                    <w:trPr>
                      <w:trHeight w:val="471" w:hRule="atLeast"/>
                    </w:trPr>
                    <w:tc>
                      <w:tcPr>
                        <w:tcW w:w="1242" w:type="dxa"/>
                      </w:tcPr>
                      <w:p>
                        <w:pPr>
                          <w:pStyle w:val="TableParagraph"/>
                          <w:spacing w:line="223" w:lineRule="exact" w:before="0"/>
                          <w:ind w:left="180" w:right="158"/>
                          <w:jc w:val="center"/>
                          <w:rPr>
                            <w:sz w:val="20"/>
                          </w:rPr>
                        </w:pPr>
                        <w:r>
                          <w:rPr>
                            <w:sz w:val="20"/>
                          </w:rPr>
                          <w:t>PREV 600</w:t>
                        </w:r>
                      </w:p>
                    </w:tc>
                    <w:tc>
                      <w:tcPr>
                        <w:tcW w:w="2929" w:type="dxa"/>
                      </w:tcPr>
                      <w:p>
                        <w:pPr>
                          <w:pStyle w:val="TableParagraph"/>
                          <w:spacing w:line="223" w:lineRule="exact" w:before="0"/>
                          <w:ind w:left="177"/>
                          <w:rPr>
                            <w:sz w:val="20"/>
                          </w:rPr>
                        </w:pPr>
                        <w:r>
                          <w:rPr>
                            <w:sz w:val="20"/>
                          </w:rPr>
                          <w:t>PRINCIPLES OF</w:t>
                        </w:r>
                      </w:p>
                      <w:p>
                        <w:pPr>
                          <w:pStyle w:val="TableParagraph"/>
                          <w:spacing w:line="219" w:lineRule="exact" w:before="10"/>
                          <w:ind w:left="177"/>
                          <w:rPr>
                            <w:sz w:val="20"/>
                          </w:rPr>
                        </w:pPr>
                        <w:r>
                          <w:rPr>
                            <w:sz w:val="20"/>
                          </w:rPr>
                          <w:t>EPIDEMIOLOGY</w:t>
                        </w:r>
                      </w:p>
                    </w:tc>
                    <w:tc>
                      <w:tcPr>
                        <w:tcW w:w="781" w:type="dxa"/>
                      </w:tcPr>
                      <w:p>
                        <w:pPr>
                          <w:pStyle w:val="TableParagraph"/>
                          <w:spacing w:line="223" w:lineRule="exact" w:before="0"/>
                          <w:ind w:right="199"/>
                          <w:jc w:val="right"/>
                          <w:rPr>
                            <w:sz w:val="20"/>
                          </w:rPr>
                        </w:pPr>
                        <w:r>
                          <w:rPr>
                            <w:w w:val="100"/>
                            <w:sz w:val="20"/>
                          </w:rPr>
                          <w:t>3</w:t>
                        </w:r>
                      </w:p>
                    </w:tc>
                  </w:tr>
                  <w:tr>
                    <w:trPr>
                      <w:trHeight w:val="1080" w:hRule="atLeast"/>
                    </w:trPr>
                    <w:tc>
                      <w:tcPr>
                        <w:tcW w:w="1242" w:type="dxa"/>
                      </w:tcPr>
                      <w:p>
                        <w:pPr>
                          <w:pStyle w:val="TableParagraph"/>
                          <w:ind w:left="180" w:right="158"/>
                          <w:jc w:val="center"/>
                          <w:rPr>
                            <w:sz w:val="20"/>
                          </w:rPr>
                        </w:pPr>
                        <w:r>
                          <w:rPr>
                            <w:sz w:val="20"/>
                          </w:rPr>
                          <w:t>PREV 616</w:t>
                        </w:r>
                      </w:p>
                    </w:tc>
                    <w:tc>
                      <w:tcPr>
                        <w:tcW w:w="2929" w:type="dxa"/>
                      </w:tcPr>
                      <w:p>
                        <w:pPr>
                          <w:pStyle w:val="TableParagraph"/>
                          <w:spacing w:line="249" w:lineRule="auto"/>
                          <w:ind w:left="177" w:right="865"/>
                          <w:rPr>
                            <w:sz w:val="20"/>
                          </w:rPr>
                        </w:pPr>
                        <w:r>
                          <w:rPr>
                            <w:sz w:val="20"/>
                          </w:rPr>
                          <w:t>INTRODUCTION TO CLINICAL AND TRANSLATIONAL RESEARCH AT UMB</w:t>
                        </w:r>
                      </w:p>
                    </w:tc>
                    <w:tc>
                      <w:tcPr>
                        <w:tcW w:w="781" w:type="dxa"/>
                      </w:tcPr>
                      <w:p>
                        <w:pPr>
                          <w:pStyle w:val="TableParagraph"/>
                          <w:ind w:right="199"/>
                          <w:jc w:val="right"/>
                          <w:rPr>
                            <w:sz w:val="20"/>
                          </w:rPr>
                        </w:pPr>
                        <w:r>
                          <w:rPr>
                            <w:w w:val="100"/>
                            <w:sz w:val="20"/>
                          </w:rPr>
                          <w:t>2</w:t>
                        </w:r>
                      </w:p>
                    </w:tc>
                  </w:tr>
                  <w:tr>
                    <w:trPr>
                      <w:trHeight w:val="600" w:hRule="atLeast"/>
                    </w:trPr>
                    <w:tc>
                      <w:tcPr>
                        <w:tcW w:w="1242" w:type="dxa"/>
                      </w:tcPr>
                      <w:p>
                        <w:pPr>
                          <w:pStyle w:val="TableParagraph"/>
                          <w:spacing w:before="121"/>
                          <w:ind w:left="180" w:right="158"/>
                          <w:jc w:val="center"/>
                          <w:rPr>
                            <w:sz w:val="20"/>
                          </w:rPr>
                        </w:pPr>
                        <w:r>
                          <w:rPr>
                            <w:sz w:val="20"/>
                          </w:rPr>
                          <w:t>PREV 620</w:t>
                        </w:r>
                      </w:p>
                    </w:tc>
                    <w:tc>
                      <w:tcPr>
                        <w:tcW w:w="2929" w:type="dxa"/>
                      </w:tcPr>
                      <w:p>
                        <w:pPr>
                          <w:pStyle w:val="TableParagraph"/>
                          <w:spacing w:line="240" w:lineRule="atLeast" w:before="111"/>
                          <w:ind w:left="177" w:right="1276"/>
                          <w:rPr>
                            <w:sz w:val="20"/>
                          </w:rPr>
                        </w:pPr>
                        <w:r>
                          <w:rPr>
                            <w:sz w:val="20"/>
                          </w:rPr>
                          <w:t>PRINCIPLES OF BIOSTATISTICS</w:t>
                        </w:r>
                      </w:p>
                    </w:tc>
                    <w:tc>
                      <w:tcPr>
                        <w:tcW w:w="781" w:type="dxa"/>
                      </w:tcPr>
                      <w:p>
                        <w:pPr>
                          <w:pStyle w:val="TableParagraph"/>
                          <w:spacing w:before="121"/>
                          <w:ind w:right="199"/>
                          <w:jc w:val="right"/>
                          <w:rPr>
                            <w:sz w:val="20"/>
                          </w:rPr>
                        </w:pPr>
                        <w:r>
                          <w:rPr>
                            <w:w w:val="100"/>
                            <w:sz w:val="20"/>
                          </w:rPr>
                          <w:t>3</w:t>
                        </w:r>
                      </w:p>
                    </w:tc>
                  </w:tr>
                  <w:tr>
                    <w:trPr>
                      <w:trHeight w:val="240" w:hRule="atLeast"/>
                    </w:trPr>
                    <w:tc>
                      <w:tcPr>
                        <w:tcW w:w="1242" w:type="dxa"/>
                      </w:tcPr>
                      <w:p>
                        <w:pPr>
                          <w:pStyle w:val="TableParagraph"/>
                          <w:spacing w:before="0"/>
                          <w:rPr>
                            <w:sz w:val="16"/>
                          </w:rPr>
                        </w:pPr>
                      </w:p>
                    </w:tc>
                    <w:tc>
                      <w:tcPr>
                        <w:tcW w:w="2929" w:type="dxa"/>
                      </w:tcPr>
                      <w:p>
                        <w:pPr>
                          <w:pStyle w:val="TableParagraph"/>
                          <w:spacing w:line="219" w:lineRule="exact"/>
                          <w:ind w:left="177"/>
                          <w:rPr>
                            <w:sz w:val="20"/>
                          </w:rPr>
                        </w:pPr>
                        <w:r>
                          <w:rPr>
                            <w:sz w:val="20"/>
                          </w:rPr>
                          <w:t>Or</w:t>
                        </w:r>
                      </w:p>
                    </w:tc>
                    <w:tc>
                      <w:tcPr>
                        <w:tcW w:w="781" w:type="dxa"/>
                      </w:tcPr>
                      <w:p>
                        <w:pPr>
                          <w:pStyle w:val="TableParagraph"/>
                          <w:spacing w:before="0"/>
                          <w:rPr>
                            <w:sz w:val="16"/>
                          </w:rPr>
                        </w:pPr>
                      </w:p>
                    </w:tc>
                  </w:tr>
                  <w:tr>
                    <w:trPr>
                      <w:trHeight w:val="600" w:hRule="atLeast"/>
                    </w:trPr>
                    <w:tc>
                      <w:tcPr>
                        <w:tcW w:w="1242" w:type="dxa"/>
                      </w:tcPr>
                      <w:p>
                        <w:pPr>
                          <w:pStyle w:val="TableParagraph"/>
                          <w:ind w:left="180" w:right="158"/>
                          <w:jc w:val="center"/>
                          <w:rPr>
                            <w:sz w:val="20"/>
                          </w:rPr>
                        </w:pPr>
                        <w:r>
                          <w:rPr>
                            <w:sz w:val="20"/>
                          </w:rPr>
                          <w:t>PREV 621</w:t>
                        </w:r>
                      </w:p>
                    </w:tc>
                    <w:tc>
                      <w:tcPr>
                        <w:tcW w:w="2929" w:type="dxa"/>
                      </w:tcPr>
                      <w:p>
                        <w:pPr>
                          <w:pStyle w:val="TableParagraph"/>
                          <w:spacing w:line="249" w:lineRule="auto"/>
                          <w:ind w:left="177" w:right="1120"/>
                          <w:rPr>
                            <w:sz w:val="20"/>
                          </w:rPr>
                        </w:pPr>
                        <w:r>
                          <w:rPr>
                            <w:sz w:val="20"/>
                          </w:rPr>
                          <w:t>BIOSTATISTICAL METHODS</w:t>
                        </w:r>
                      </w:p>
                    </w:tc>
                    <w:tc>
                      <w:tcPr>
                        <w:tcW w:w="781" w:type="dxa"/>
                      </w:tcPr>
                      <w:p>
                        <w:pPr>
                          <w:pStyle w:val="TableParagraph"/>
                          <w:ind w:right="199"/>
                          <w:jc w:val="right"/>
                          <w:rPr>
                            <w:sz w:val="20"/>
                          </w:rPr>
                        </w:pPr>
                        <w:r>
                          <w:rPr>
                            <w:w w:val="100"/>
                            <w:sz w:val="20"/>
                          </w:rPr>
                          <w:t>3</w:t>
                        </w:r>
                      </w:p>
                    </w:tc>
                  </w:tr>
                  <w:tr>
                    <w:trPr>
                      <w:trHeight w:val="831" w:hRule="atLeast"/>
                    </w:trPr>
                    <w:tc>
                      <w:tcPr>
                        <w:tcW w:w="1242" w:type="dxa"/>
                      </w:tcPr>
                      <w:p>
                        <w:pPr>
                          <w:pStyle w:val="TableParagraph"/>
                          <w:spacing w:before="121"/>
                          <w:ind w:left="180" w:right="158"/>
                          <w:jc w:val="center"/>
                          <w:rPr>
                            <w:sz w:val="20"/>
                          </w:rPr>
                        </w:pPr>
                        <w:r>
                          <w:rPr>
                            <w:sz w:val="20"/>
                          </w:rPr>
                          <w:t>PREV 633</w:t>
                        </w:r>
                      </w:p>
                    </w:tc>
                    <w:tc>
                      <w:tcPr>
                        <w:tcW w:w="2929" w:type="dxa"/>
                      </w:tcPr>
                      <w:p>
                        <w:pPr>
                          <w:pStyle w:val="TableParagraph"/>
                          <w:spacing w:line="240" w:lineRule="atLeast" w:before="111"/>
                          <w:ind w:left="177" w:right="459"/>
                          <w:rPr>
                            <w:sz w:val="20"/>
                          </w:rPr>
                        </w:pPr>
                        <w:r>
                          <w:rPr>
                            <w:sz w:val="20"/>
                          </w:rPr>
                          <w:t>APPLICATION OFLEGAL AND REGULATORY ISSUES IN CLINICAL</w:t>
                        </w:r>
                      </w:p>
                    </w:tc>
                    <w:tc>
                      <w:tcPr>
                        <w:tcW w:w="781" w:type="dxa"/>
                      </w:tcPr>
                      <w:p>
                        <w:pPr>
                          <w:pStyle w:val="TableParagraph"/>
                          <w:spacing w:before="121"/>
                          <w:ind w:right="199"/>
                          <w:jc w:val="right"/>
                          <w:rPr>
                            <w:sz w:val="20"/>
                          </w:rPr>
                        </w:pPr>
                        <w:r>
                          <w:rPr>
                            <w:w w:val="100"/>
                            <w:sz w:val="20"/>
                          </w:rPr>
                          <w:t>2</w:t>
                        </w:r>
                      </w:p>
                    </w:tc>
                  </w:tr>
                </w:tbl>
                <w:p>
                  <w:pPr>
                    <w:pStyle w:val="BodyText"/>
                    <w:spacing w:before="0"/>
                    <w:ind w:left="0"/>
                  </w:pPr>
                </w:p>
              </w:txbxContent>
            </v:textbox>
            <w10:wrap type="none"/>
          </v:shape>
        </w:pict>
      </w:r>
      <w:r>
        <w:rPr/>
        <w:t>Required Courses: Certificate in Clinical Research</w:t>
      </w:r>
    </w:p>
    <w:p>
      <w:pPr>
        <w:spacing w:after="0"/>
        <w:sectPr>
          <w:type w:val="continuous"/>
          <w:pgSz w:w="12240" w:h="15840"/>
          <w:pgMar w:top="1500" w:bottom="280" w:left="880" w:right="300"/>
          <w:cols w:num="2" w:equalWidth="0">
            <w:col w:w="5097" w:space="390"/>
            <w:col w:w="5573"/>
          </w:cols>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0"/>
        <w:gridCol w:w="2708"/>
        <w:gridCol w:w="1013"/>
      </w:tblGrid>
      <w:tr>
        <w:trPr>
          <w:trHeight w:val="471" w:hRule="atLeast"/>
        </w:trPr>
        <w:tc>
          <w:tcPr>
            <w:tcW w:w="1230" w:type="dxa"/>
          </w:tcPr>
          <w:p>
            <w:pPr>
              <w:pStyle w:val="TableParagraph"/>
              <w:spacing w:line="223" w:lineRule="exact" w:before="0"/>
              <w:ind w:right="163"/>
              <w:jc w:val="right"/>
              <w:rPr>
                <w:sz w:val="20"/>
              </w:rPr>
            </w:pPr>
            <w:r>
              <w:rPr>
                <w:sz w:val="20"/>
              </w:rPr>
              <w:t>PREV 600</w:t>
            </w:r>
          </w:p>
        </w:tc>
        <w:tc>
          <w:tcPr>
            <w:tcW w:w="2708" w:type="dxa"/>
          </w:tcPr>
          <w:p>
            <w:pPr>
              <w:pStyle w:val="TableParagraph"/>
              <w:spacing w:line="223" w:lineRule="exact" w:before="0"/>
              <w:ind w:left="165"/>
              <w:rPr>
                <w:sz w:val="20"/>
              </w:rPr>
            </w:pPr>
            <w:r>
              <w:rPr>
                <w:sz w:val="20"/>
              </w:rPr>
              <w:t>PRINCIPLES OF</w:t>
            </w:r>
          </w:p>
          <w:p>
            <w:pPr>
              <w:pStyle w:val="TableParagraph"/>
              <w:spacing w:line="219" w:lineRule="exact" w:before="10"/>
              <w:ind w:left="165"/>
              <w:rPr>
                <w:sz w:val="20"/>
              </w:rPr>
            </w:pPr>
            <w:r>
              <w:rPr>
                <w:sz w:val="20"/>
              </w:rPr>
              <w:t>EPIDEMIOLOGY</w:t>
            </w:r>
          </w:p>
        </w:tc>
        <w:tc>
          <w:tcPr>
            <w:tcW w:w="1013" w:type="dxa"/>
          </w:tcPr>
          <w:p>
            <w:pPr>
              <w:pStyle w:val="TableParagraph"/>
              <w:spacing w:line="223" w:lineRule="exact" w:before="0"/>
              <w:ind w:right="198"/>
              <w:jc w:val="right"/>
              <w:rPr>
                <w:sz w:val="20"/>
              </w:rPr>
            </w:pPr>
            <w:r>
              <w:rPr>
                <w:w w:val="100"/>
                <w:sz w:val="20"/>
              </w:rPr>
              <w:t>3</w:t>
            </w:r>
          </w:p>
        </w:tc>
      </w:tr>
      <w:tr>
        <w:trPr>
          <w:trHeight w:val="231" w:hRule="atLeast"/>
        </w:trPr>
        <w:tc>
          <w:tcPr>
            <w:tcW w:w="1230" w:type="dxa"/>
          </w:tcPr>
          <w:p>
            <w:pPr>
              <w:pStyle w:val="TableParagraph"/>
              <w:spacing w:line="210" w:lineRule="exact"/>
              <w:ind w:right="163"/>
              <w:jc w:val="right"/>
              <w:rPr>
                <w:sz w:val="20"/>
              </w:rPr>
            </w:pPr>
            <w:r>
              <w:rPr>
                <w:sz w:val="20"/>
              </w:rPr>
              <w:t>PREV 616</w:t>
            </w:r>
          </w:p>
        </w:tc>
        <w:tc>
          <w:tcPr>
            <w:tcW w:w="2708" w:type="dxa"/>
          </w:tcPr>
          <w:p>
            <w:pPr>
              <w:pStyle w:val="TableParagraph"/>
              <w:spacing w:line="210" w:lineRule="exact"/>
              <w:ind w:left="165"/>
              <w:rPr>
                <w:sz w:val="20"/>
              </w:rPr>
            </w:pPr>
            <w:r>
              <w:rPr>
                <w:sz w:val="20"/>
              </w:rPr>
              <w:t>INTRODUCTION TO</w:t>
            </w:r>
          </w:p>
        </w:tc>
        <w:tc>
          <w:tcPr>
            <w:tcW w:w="1013" w:type="dxa"/>
          </w:tcPr>
          <w:p>
            <w:pPr>
              <w:pStyle w:val="TableParagraph"/>
              <w:spacing w:line="210" w:lineRule="exact"/>
              <w:ind w:right="198"/>
              <w:jc w:val="right"/>
              <w:rPr>
                <w:sz w:val="20"/>
              </w:rPr>
            </w:pPr>
            <w:r>
              <w:rPr>
                <w:w w:val="100"/>
                <w:sz w:val="20"/>
              </w:rPr>
              <w:t>2</w:t>
            </w:r>
          </w:p>
        </w:tc>
      </w:tr>
    </w:tbl>
    <w:p>
      <w:pPr>
        <w:spacing w:after="0" w:line="210" w:lineRule="exact"/>
        <w:jc w:val="right"/>
        <w:rPr>
          <w:sz w:val="20"/>
        </w:rPr>
        <w:sectPr>
          <w:type w:val="continuous"/>
          <w:pgSz w:w="12240" w:h="15840"/>
          <w:pgMar w:top="1500" w:bottom="280" w:left="880" w:right="300"/>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8"/>
        <w:gridCol w:w="2771"/>
        <w:gridCol w:w="985"/>
      </w:tblGrid>
      <w:tr>
        <w:trPr>
          <w:trHeight w:val="231" w:hRule="atLeast"/>
        </w:trPr>
        <w:tc>
          <w:tcPr>
            <w:tcW w:w="1198" w:type="dxa"/>
          </w:tcPr>
          <w:p>
            <w:pPr>
              <w:pStyle w:val="TableParagraph"/>
              <w:spacing w:before="0"/>
              <w:rPr>
                <w:sz w:val="16"/>
              </w:rPr>
            </w:pPr>
          </w:p>
        </w:tc>
        <w:tc>
          <w:tcPr>
            <w:tcW w:w="2771" w:type="dxa"/>
          </w:tcPr>
          <w:p>
            <w:pPr>
              <w:pStyle w:val="TableParagraph"/>
              <w:spacing w:line="212" w:lineRule="exact" w:before="0"/>
              <w:ind w:left="221"/>
              <w:rPr>
                <w:sz w:val="20"/>
              </w:rPr>
            </w:pPr>
            <w:r>
              <w:rPr>
                <w:sz w:val="20"/>
              </w:rPr>
              <w:t>RESEARCH</w:t>
            </w:r>
          </w:p>
        </w:tc>
        <w:tc>
          <w:tcPr>
            <w:tcW w:w="985" w:type="dxa"/>
          </w:tcPr>
          <w:p>
            <w:pPr>
              <w:pStyle w:val="TableParagraph"/>
              <w:spacing w:before="0"/>
              <w:rPr>
                <w:sz w:val="16"/>
              </w:rPr>
            </w:pPr>
          </w:p>
        </w:tc>
      </w:tr>
      <w:tr>
        <w:trPr>
          <w:trHeight w:val="240" w:hRule="atLeast"/>
        </w:trPr>
        <w:tc>
          <w:tcPr>
            <w:tcW w:w="1198" w:type="dxa"/>
          </w:tcPr>
          <w:p>
            <w:pPr>
              <w:pStyle w:val="TableParagraph"/>
              <w:spacing w:line="219" w:lineRule="exact"/>
              <w:ind w:left="200"/>
              <w:rPr>
                <w:sz w:val="20"/>
              </w:rPr>
            </w:pPr>
            <w:r>
              <w:rPr>
                <w:sz w:val="20"/>
              </w:rPr>
              <w:t>PREV 706</w:t>
            </w:r>
          </w:p>
        </w:tc>
        <w:tc>
          <w:tcPr>
            <w:tcW w:w="2771" w:type="dxa"/>
          </w:tcPr>
          <w:p>
            <w:pPr>
              <w:pStyle w:val="TableParagraph"/>
              <w:spacing w:before="0"/>
              <w:rPr>
                <w:sz w:val="16"/>
              </w:rPr>
            </w:pPr>
          </w:p>
        </w:tc>
        <w:tc>
          <w:tcPr>
            <w:tcW w:w="985" w:type="dxa"/>
          </w:tcPr>
          <w:p>
            <w:pPr>
              <w:pStyle w:val="TableParagraph"/>
              <w:spacing w:before="0"/>
              <w:rPr>
                <w:sz w:val="16"/>
              </w:rPr>
            </w:pPr>
          </w:p>
        </w:tc>
      </w:tr>
      <w:tr>
        <w:trPr>
          <w:trHeight w:val="471" w:hRule="atLeast"/>
        </w:trPr>
        <w:tc>
          <w:tcPr>
            <w:tcW w:w="1198" w:type="dxa"/>
          </w:tcPr>
          <w:p>
            <w:pPr>
              <w:pStyle w:val="TableParagraph"/>
              <w:ind w:left="200"/>
              <w:rPr>
                <w:sz w:val="20"/>
              </w:rPr>
            </w:pPr>
            <w:r>
              <w:rPr>
                <w:sz w:val="20"/>
              </w:rPr>
              <w:t>CIPP 909</w:t>
            </w:r>
          </w:p>
        </w:tc>
        <w:tc>
          <w:tcPr>
            <w:tcW w:w="2771" w:type="dxa"/>
          </w:tcPr>
          <w:p>
            <w:pPr>
              <w:pStyle w:val="TableParagraph"/>
              <w:ind w:left="221"/>
              <w:rPr>
                <w:sz w:val="20"/>
              </w:rPr>
            </w:pPr>
            <w:r>
              <w:rPr>
                <w:sz w:val="20"/>
              </w:rPr>
              <w:t>RESPONSIBLE CONDUCT</w:t>
            </w:r>
          </w:p>
          <w:p>
            <w:pPr>
              <w:pStyle w:val="TableParagraph"/>
              <w:spacing w:line="210" w:lineRule="exact" w:before="10"/>
              <w:ind w:left="221"/>
              <w:rPr>
                <w:sz w:val="20"/>
              </w:rPr>
            </w:pPr>
            <w:r>
              <w:rPr>
                <w:sz w:val="20"/>
              </w:rPr>
              <w:t>OF RESEARCH</w:t>
            </w:r>
          </w:p>
        </w:tc>
        <w:tc>
          <w:tcPr>
            <w:tcW w:w="985" w:type="dxa"/>
          </w:tcPr>
          <w:p>
            <w:pPr>
              <w:pStyle w:val="TableParagraph"/>
              <w:ind w:left="215"/>
              <w:rPr>
                <w:sz w:val="20"/>
              </w:rPr>
            </w:pPr>
            <w:r>
              <w:rPr>
                <w:sz w:val="20"/>
              </w:rPr>
              <w:t>1 TO 2</w:t>
            </w:r>
          </w:p>
        </w:tc>
      </w:tr>
    </w:tbl>
    <w:p>
      <w:pPr>
        <w:pStyle w:val="Heading5"/>
        <w:spacing w:before="178"/>
      </w:pPr>
      <w:r>
        <w:rPr/>
        <w:t>Available Electives</w:t>
      </w:r>
    </w:p>
    <w:p>
      <w:pPr>
        <w:pStyle w:val="BodyText"/>
        <w:spacing w:line="249" w:lineRule="auto" w:before="190"/>
        <w:ind w:right="794"/>
      </w:pPr>
      <w:r>
        <w:rPr/>
        <w:t>See PREV and other GPLS courses in the Course Descriptions part of this catalog.</w:t>
      </w:r>
    </w:p>
    <w:p>
      <w:pPr>
        <w:pStyle w:val="BodyText"/>
        <w:spacing w:line="249" w:lineRule="auto" w:before="179"/>
        <w:ind w:right="301"/>
      </w:pPr>
      <w:r>
        <w:rPr/>
        <w:t>Details are given in the Course Descriptions part of this catalog.</w:t>
      </w:r>
    </w:p>
    <w:p>
      <w:pPr>
        <w:pStyle w:val="Heading3"/>
        <w:spacing w:before="191"/>
      </w:pPr>
      <w:bookmarkStart w:name="Gerontology" w:id="35"/>
      <w:bookmarkEnd w:id="35"/>
      <w:r>
        <w:rPr/>
      </w:r>
      <w:bookmarkStart w:name="_bookmark17" w:id="36"/>
      <w:bookmarkEnd w:id="36"/>
      <w:r>
        <w:rPr/>
      </w:r>
      <w:r>
        <w:rPr/>
        <w:t>Gerontology</w:t>
      </w:r>
    </w:p>
    <w:p>
      <w:pPr>
        <w:spacing w:line="427" w:lineRule="auto" w:before="171"/>
        <w:ind w:left="200" w:right="301" w:firstLine="0"/>
        <w:jc w:val="left"/>
        <w:rPr>
          <w:b/>
          <w:sz w:val="20"/>
        </w:rPr>
      </w:pPr>
      <w:r>
        <w:rPr>
          <w:b/>
          <w:sz w:val="22"/>
        </w:rPr>
        <w:t>Graduate Program in Life Sciences </w:t>
      </w:r>
      <w:hyperlink r:id="rId49">
        <w:r>
          <w:rPr>
            <w:color w:val="0000FF"/>
            <w:spacing w:val="-1"/>
            <w:sz w:val="20"/>
            <w:u w:val="single" w:color="0000FF"/>
          </w:rPr>
          <w:t>http://lifesciences.umaryland.edu/gerontologyphd/</w:t>
        </w:r>
      </w:hyperlink>
      <w:r>
        <w:rPr>
          <w:color w:val="0000FF"/>
          <w:spacing w:val="-1"/>
          <w:sz w:val="20"/>
        </w:rPr>
        <w:t> </w:t>
      </w:r>
      <w:r>
        <w:rPr>
          <w:b/>
          <w:sz w:val="20"/>
        </w:rPr>
        <w:t>Degrees</w:t>
      </w:r>
      <w:r>
        <w:rPr>
          <w:b/>
          <w:spacing w:val="-4"/>
          <w:sz w:val="20"/>
        </w:rPr>
        <w:t> </w:t>
      </w:r>
      <w:r>
        <w:rPr>
          <w:b/>
          <w:sz w:val="20"/>
        </w:rPr>
        <w:t>Offered</w:t>
      </w:r>
    </w:p>
    <w:p>
      <w:pPr>
        <w:pStyle w:val="BodyText"/>
        <w:spacing w:line="249" w:lineRule="auto" w:before="12"/>
        <w:ind w:right="71"/>
      </w:pPr>
      <w:r>
        <w:rPr/>
        <w:t>PhD, PhD/MS with Epidemiology, PhD/MA with Applied Sociology (UMBC)</w:t>
      </w:r>
    </w:p>
    <w:p>
      <w:pPr>
        <w:pStyle w:val="Heading6"/>
        <w:spacing w:before="179"/>
        <w:ind w:left="199"/>
      </w:pPr>
      <w:r>
        <w:rPr/>
        <w:t>Program Description</w:t>
      </w:r>
    </w:p>
    <w:p>
      <w:pPr>
        <w:pStyle w:val="BodyText"/>
        <w:spacing w:line="249" w:lineRule="auto" w:before="192"/>
        <w:ind w:left="199" w:right="85"/>
      </w:pPr>
      <w:r>
        <w:rPr/>
        <w:t>The Doctoral Program in Gerontology at the University of Maryland, Baltimore and the University of Maryland, Baltimore County (UMBC) provides an interdisciplinary and integrative perspective on the process of human aging and the experiences of growing old. The approach acknowledges the complex, dynamic, and bidirectional relationship between individuals and the historical, political, economic, environmental, psychological, social, cultural, and biological contexts in which aging occurs.</w:t>
      </w:r>
    </w:p>
    <w:p>
      <w:pPr>
        <w:pStyle w:val="BodyText"/>
        <w:spacing w:line="249" w:lineRule="auto" w:before="7"/>
        <w:ind w:left="199" w:right="19"/>
      </w:pPr>
      <w:r>
        <w:rPr/>
        <w:t>The goal of the program is to train a new generation of scholars conversant with interdisciplinary and integrative paradigms and research designs to examine the unique, reciprocal, and dynamic nature of aging in context. UMB’s six professional schools (dental, law, medicine, nursing, pharmacy, and social work) and UMBC’s College of Arts, Humanities and Social Sciences departments (public policy, psychology, and sociology/ anthropology) combine to make this mission possible by offering three tracks of study:</w:t>
      </w:r>
    </w:p>
    <w:p>
      <w:pPr>
        <w:pStyle w:val="ListParagraph"/>
        <w:numPr>
          <w:ilvl w:val="0"/>
          <w:numId w:val="10"/>
        </w:numPr>
        <w:tabs>
          <w:tab w:pos="633" w:val="left" w:leader="none"/>
        </w:tabs>
        <w:spacing w:line="240" w:lineRule="auto" w:before="185" w:after="0"/>
        <w:ind w:left="632" w:right="0" w:hanging="216"/>
        <w:jc w:val="left"/>
        <w:rPr>
          <w:sz w:val="20"/>
        </w:rPr>
      </w:pPr>
      <w:r>
        <w:rPr>
          <w:sz w:val="20"/>
        </w:rPr>
        <w:t>Aging policy</w:t>
      </w:r>
      <w:r>
        <w:rPr>
          <w:spacing w:val="-10"/>
          <w:sz w:val="20"/>
        </w:rPr>
        <w:t> </w:t>
      </w:r>
      <w:r>
        <w:rPr>
          <w:sz w:val="20"/>
        </w:rPr>
        <w:t>issues</w:t>
      </w:r>
    </w:p>
    <w:p>
      <w:pPr>
        <w:pStyle w:val="ListParagraph"/>
        <w:numPr>
          <w:ilvl w:val="0"/>
          <w:numId w:val="10"/>
        </w:numPr>
        <w:tabs>
          <w:tab w:pos="632" w:val="left" w:leader="none"/>
        </w:tabs>
        <w:spacing w:line="240" w:lineRule="auto" w:before="192" w:after="0"/>
        <w:ind w:left="631" w:right="0" w:hanging="216"/>
        <w:jc w:val="left"/>
        <w:rPr>
          <w:sz w:val="20"/>
        </w:rPr>
      </w:pPr>
      <w:r>
        <w:rPr>
          <w:sz w:val="20"/>
        </w:rPr>
        <w:t>Epidemiology of</w:t>
      </w:r>
      <w:r>
        <w:rPr>
          <w:spacing w:val="-9"/>
          <w:sz w:val="20"/>
        </w:rPr>
        <w:t> </w:t>
      </w:r>
      <w:r>
        <w:rPr>
          <w:sz w:val="20"/>
        </w:rPr>
        <w:t>aging</w:t>
      </w:r>
    </w:p>
    <w:p>
      <w:pPr>
        <w:pStyle w:val="ListParagraph"/>
        <w:numPr>
          <w:ilvl w:val="0"/>
          <w:numId w:val="10"/>
        </w:numPr>
        <w:tabs>
          <w:tab w:pos="632" w:val="left" w:leader="none"/>
        </w:tabs>
        <w:spacing w:line="240" w:lineRule="auto" w:before="188" w:after="0"/>
        <w:ind w:left="631" w:right="0" w:hanging="216"/>
        <w:jc w:val="left"/>
        <w:rPr>
          <w:sz w:val="20"/>
        </w:rPr>
      </w:pPr>
      <w:r>
        <w:rPr>
          <w:sz w:val="20"/>
        </w:rPr>
        <w:t>Social, cultural, and behavioral</w:t>
      </w:r>
      <w:r>
        <w:rPr>
          <w:spacing w:val="6"/>
          <w:sz w:val="20"/>
        </w:rPr>
        <w:t> </w:t>
      </w:r>
      <w:r>
        <w:rPr>
          <w:sz w:val="20"/>
        </w:rPr>
        <w:t>sciences.</w:t>
      </w:r>
    </w:p>
    <w:p>
      <w:pPr>
        <w:pStyle w:val="BodyText"/>
        <w:spacing w:line="249" w:lineRule="auto" w:before="192"/>
        <w:ind w:left="199"/>
      </w:pPr>
      <w:r>
        <w:rPr/>
        <w:t>The program also offers a dual-degree program between gerontology and epidemiology and a combined degree program between gerontology and applied sociology.</w:t>
      </w:r>
    </w:p>
    <w:p>
      <w:pPr>
        <w:pStyle w:val="BodyText"/>
        <w:spacing w:before="2"/>
        <w:ind w:left="199"/>
      </w:pPr>
      <w:r>
        <w:rPr/>
        <w:t>Students earn a PhD in gerontology and a master’s degree</w:t>
      </w:r>
    </w:p>
    <w:p>
      <w:pPr>
        <w:pStyle w:val="BodyText"/>
        <w:spacing w:before="97"/>
        <w:ind w:left="199"/>
      </w:pPr>
      <w:r>
        <w:rPr/>
        <w:br w:type="column"/>
      </w:r>
      <w:r>
        <w:rPr/>
        <w:t>in epidemiology or applied sociology.</w:t>
      </w:r>
    </w:p>
    <w:p>
      <w:pPr>
        <w:pStyle w:val="BodyText"/>
        <w:spacing w:line="249" w:lineRule="auto" w:before="188"/>
        <w:ind w:left="199" w:right="645"/>
      </w:pPr>
      <w:r>
        <w:rPr/>
        <w:t>Students train for careers in research, academia, government, and private organizations. We have embraced nonacademic positions as valuable venues for contribution by our alumni.</w:t>
      </w:r>
    </w:p>
    <w:p>
      <w:pPr>
        <w:pStyle w:val="Heading6"/>
        <w:spacing w:before="185"/>
        <w:ind w:left="199"/>
      </w:pPr>
      <w:r>
        <w:rPr/>
        <w:t>Program Admission</w:t>
      </w:r>
    </w:p>
    <w:p>
      <w:pPr>
        <w:pStyle w:val="BodyText"/>
        <w:spacing w:line="249" w:lineRule="auto" w:before="187"/>
        <w:ind w:left="199" w:right="621"/>
      </w:pPr>
      <w:r>
        <w:rPr/>
        <w:t>Applications are accepted </w:t>
      </w:r>
      <w:r>
        <w:rPr>
          <w:spacing w:val="-4"/>
        </w:rPr>
        <w:t>for </w:t>
      </w:r>
      <w:r>
        <w:rPr/>
        <w:t>fall admission </w:t>
      </w:r>
      <w:r>
        <w:rPr>
          <w:spacing w:val="-3"/>
        </w:rPr>
        <w:t>only. </w:t>
      </w:r>
      <w:r>
        <w:rPr/>
        <w:t>All application materials must </w:t>
      </w:r>
      <w:r>
        <w:rPr>
          <w:spacing w:val="-3"/>
        </w:rPr>
        <w:t>be </w:t>
      </w:r>
      <w:r>
        <w:rPr/>
        <w:t>received by Jan. </w:t>
      </w:r>
      <w:r>
        <w:rPr>
          <w:spacing w:val="-3"/>
        </w:rPr>
        <w:t>15 of </w:t>
      </w:r>
      <w:r>
        <w:rPr/>
        <w:t>the year in which the student intends to enroll. Three letters </w:t>
      </w:r>
      <w:r>
        <w:rPr>
          <w:spacing w:val="-3"/>
        </w:rPr>
        <w:t>of </w:t>
      </w:r>
      <w:r>
        <w:rPr/>
        <w:t>recommendation, highly competitive Graduation </w:t>
      </w:r>
      <w:r>
        <w:rPr>
          <w:spacing w:val="-3"/>
        </w:rPr>
        <w:t>Record </w:t>
      </w:r>
      <w:r>
        <w:rPr/>
        <w:t>Examinations scores (suggested combined score </w:t>
      </w:r>
      <w:r>
        <w:rPr>
          <w:spacing w:val="-3"/>
        </w:rPr>
        <w:t>of </w:t>
      </w:r>
      <w:r>
        <w:rPr/>
        <w:t>300 </w:t>
      </w:r>
      <w:r>
        <w:rPr>
          <w:spacing w:val="-3"/>
        </w:rPr>
        <w:t>or </w:t>
      </w:r>
      <w:r>
        <w:rPr/>
        <w:t>better), transcripts, and a goals statement are required </w:t>
      </w:r>
      <w:r>
        <w:rPr>
          <w:spacing w:val="-3"/>
        </w:rPr>
        <w:t>of </w:t>
      </w:r>
      <w:r>
        <w:rPr/>
        <w:t>all applicants. The Test </w:t>
      </w:r>
      <w:r>
        <w:rPr>
          <w:spacing w:val="-3"/>
        </w:rPr>
        <w:t>of </w:t>
      </w:r>
      <w:r>
        <w:rPr/>
        <w:t>English as a Foreign Language </w:t>
      </w:r>
      <w:r>
        <w:rPr>
          <w:spacing w:val="-5"/>
        </w:rPr>
        <w:t>or </w:t>
      </w:r>
      <w:r>
        <w:rPr/>
        <w:t>the International English Language Testing System exam is required </w:t>
      </w:r>
      <w:r>
        <w:rPr>
          <w:spacing w:val="-4"/>
        </w:rPr>
        <w:t>for </w:t>
      </w:r>
      <w:r>
        <w:rPr/>
        <w:t>all international students who do not have a bachelor’s </w:t>
      </w:r>
      <w:r>
        <w:rPr>
          <w:spacing w:val="-3"/>
        </w:rPr>
        <w:t>or </w:t>
      </w:r>
      <w:r>
        <w:rPr/>
        <w:t>master’s degree from a U.S. institution and/or whose native language </w:t>
      </w:r>
      <w:r>
        <w:rPr>
          <w:spacing w:val="-5"/>
        </w:rPr>
        <w:t>or </w:t>
      </w:r>
      <w:r>
        <w:rPr/>
        <w:t>language </w:t>
      </w:r>
      <w:r>
        <w:rPr>
          <w:spacing w:val="-3"/>
        </w:rPr>
        <w:t>of </w:t>
      </w:r>
      <w:r>
        <w:rPr/>
        <w:t>the home is not English. The program encourages the application </w:t>
      </w:r>
      <w:r>
        <w:rPr>
          <w:spacing w:val="-5"/>
        </w:rPr>
        <w:t>of </w:t>
      </w:r>
      <w:r>
        <w:rPr/>
        <w:t>candidates from racial and ethnic minorities under- represented in the sciences. The program offers graduate research assistantships that provide a stipend, tuition remission, and student health</w:t>
      </w:r>
      <w:r>
        <w:rPr>
          <w:spacing w:val="-8"/>
        </w:rPr>
        <w:t> </w:t>
      </w:r>
      <w:r>
        <w:rPr/>
        <w:t>insurance.</w:t>
      </w:r>
    </w:p>
    <w:p>
      <w:pPr>
        <w:pStyle w:val="Heading6"/>
        <w:spacing w:before="195"/>
        <w:ind w:left="199"/>
      </w:pPr>
      <w:r>
        <w:rPr/>
        <w:t>Degree Requirements</w:t>
      </w:r>
    </w:p>
    <w:p>
      <w:pPr>
        <w:pStyle w:val="BodyText"/>
        <w:spacing w:line="249" w:lineRule="auto" w:before="187"/>
        <w:ind w:left="199" w:right="612"/>
      </w:pPr>
      <w:r>
        <w:rPr/>
        <w:t>The PhD program consists </w:t>
      </w:r>
      <w:r>
        <w:rPr>
          <w:spacing w:val="-3"/>
        </w:rPr>
        <w:t>of </w:t>
      </w:r>
      <w:r>
        <w:rPr/>
        <w:t>a minimum </w:t>
      </w:r>
      <w:r>
        <w:rPr>
          <w:spacing w:val="-3"/>
        </w:rPr>
        <w:t>of </w:t>
      </w:r>
      <w:r>
        <w:rPr/>
        <w:t>49 course credits (21 core course credits, 12 research methods and statistics course credits, 9 track specialization course credits, 6 elective course credits, and 1 </w:t>
      </w:r>
      <w:r>
        <w:rPr>
          <w:spacing w:val="-2"/>
        </w:rPr>
        <w:t>ethics </w:t>
      </w:r>
      <w:r>
        <w:rPr/>
        <w:t>course credit). Comprehensive exams are required to </w:t>
      </w:r>
      <w:r>
        <w:rPr>
          <w:spacing w:val="-3"/>
        </w:rPr>
        <w:t>be </w:t>
      </w:r>
      <w:r>
        <w:rPr/>
        <w:t>admitted to doctoral status. These exams take place the </w:t>
      </w:r>
      <w:r>
        <w:rPr>
          <w:spacing w:val="-3"/>
        </w:rPr>
        <w:t>summer </w:t>
      </w:r>
      <w:r>
        <w:rPr/>
        <w:t>between the second and third year </w:t>
      </w:r>
      <w:r>
        <w:rPr>
          <w:spacing w:val="-4"/>
        </w:rPr>
        <w:t>for </w:t>
      </w:r>
      <w:r>
        <w:rPr/>
        <w:t>full-time students. All students must complete at least 12 credits </w:t>
      </w:r>
      <w:r>
        <w:rPr>
          <w:spacing w:val="-3"/>
        </w:rPr>
        <w:t>of </w:t>
      </w:r>
      <w:r>
        <w:rPr/>
        <w:t>dissertation research and successfully defend a dissertation. In addition, students attend a bimonthly aging forum and required</w:t>
      </w:r>
      <w:r>
        <w:rPr>
          <w:spacing w:val="-3"/>
        </w:rPr>
        <w:t> </w:t>
      </w:r>
      <w:r>
        <w:rPr/>
        <w:t>seminars.</w:t>
      </w:r>
    </w:p>
    <w:p>
      <w:pPr>
        <w:pStyle w:val="Heading5"/>
        <w:spacing w:before="187"/>
      </w:pPr>
      <w:r>
        <w:rPr/>
        <w:t>Required Courses at UMB</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8"/>
        <w:gridCol w:w="2712"/>
        <w:gridCol w:w="969"/>
      </w:tblGrid>
      <w:tr>
        <w:trPr>
          <w:trHeight w:val="471" w:hRule="atLeast"/>
        </w:trPr>
        <w:tc>
          <w:tcPr>
            <w:tcW w:w="1278" w:type="dxa"/>
          </w:tcPr>
          <w:p>
            <w:pPr>
              <w:pStyle w:val="TableParagraph"/>
              <w:spacing w:line="223" w:lineRule="exact" w:before="0"/>
              <w:ind w:left="200"/>
              <w:rPr>
                <w:sz w:val="20"/>
              </w:rPr>
            </w:pPr>
            <w:r>
              <w:rPr>
                <w:sz w:val="20"/>
              </w:rPr>
              <w:t>GERO 681</w:t>
            </w:r>
          </w:p>
        </w:tc>
        <w:tc>
          <w:tcPr>
            <w:tcW w:w="2712" w:type="dxa"/>
          </w:tcPr>
          <w:p>
            <w:pPr>
              <w:pStyle w:val="TableParagraph"/>
              <w:spacing w:line="223" w:lineRule="exact" w:before="0"/>
              <w:ind w:left="179"/>
              <w:rPr>
                <w:sz w:val="20"/>
              </w:rPr>
            </w:pPr>
            <w:r>
              <w:rPr>
                <w:sz w:val="20"/>
              </w:rPr>
              <w:t>EPIDEMIOLOGY OF</w:t>
            </w:r>
          </w:p>
          <w:p>
            <w:pPr>
              <w:pStyle w:val="TableParagraph"/>
              <w:spacing w:line="219" w:lineRule="exact" w:before="10"/>
              <w:ind w:left="179"/>
              <w:rPr>
                <w:sz w:val="20"/>
              </w:rPr>
            </w:pPr>
            <w:r>
              <w:rPr>
                <w:sz w:val="20"/>
              </w:rPr>
              <w:t>AGING</w:t>
            </w:r>
          </w:p>
        </w:tc>
        <w:tc>
          <w:tcPr>
            <w:tcW w:w="969" w:type="dxa"/>
          </w:tcPr>
          <w:p>
            <w:pPr>
              <w:pStyle w:val="TableParagraph"/>
              <w:spacing w:line="223" w:lineRule="exact" w:before="0"/>
              <w:ind w:right="206"/>
              <w:jc w:val="right"/>
              <w:rPr>
                <w:sz w:val="20"/>
              </w:rPr>
            </w:pPr>
            <w:r>
              <w:rPr>
                <w:w w:val="100"/>
                <w:sz w:val="20"/>
              </w:rPr>
              <w:t>3</w:t>
            </w:r>
          </w:p>
        </w:tc>
      </w:tr>
      <w:tr>
        <w:trPr>
          <w:trHeight w:val="240" w:hRule="atLeast"/>
        </w:trPr>
        <w:tc>
          <w:tcPr>
            <w:tcW w:w="1278" w:type="dxa"/>
          </w:tcPr>
          <w:p>
            <w:pPr>
              <w:pStyle w:val="TableParagraph"/>
              <w:spacing w:line="219" w:lineRule="exact"/>
              <w:ind w:left="200"/>
              <w:rPr>
                <w:sz w:val="20"/>
              </w:rPr>
            </w:pPr>
            <w:r>
              <w:rPr>
                <w:sz w:val="20"/>
              </w:rPr>
              <w:t>GERO 711</w:t>
            </w:r>
          </w:p>
        </w:tc>
        <w:tc>
          <w:tcPr>
            <w:tcW w:w="2712" w:type="dxa"/>
          </w:tcPr>
          <w:p>
            <w:pPr>
              <w:pStyle w:val="TableParagraph"/>
              <w:spacing w:line="219" w:lineRule="exact"/>
              <w:ind w:left="179"/>
              <w:rPr>
                <w:sz w:val="20"/>
              </w:rPr>
            </w:pPr>
            <w:r>
              <w:rPr>
                <w:sz w:val="20"/>
              </w:rPr>
              <w:t>BIOLOGY OF AGING</w:t>
            </w:r>
          </w:p>
        </w:tc>
        <w:tc>
          <w:tcPr>
            <w:tcW w:w="969" w:type="dxa"/>
          </w:tcPr>
          <w:p>
            <w:pPr>
              <w:pStyle w:val="TableParagraph"/>
              <w:spacing w:line="219" w:lineRule="exact"/>
              <w:ind w:right="206"/>
              <w:jc w:val="right"/>
              <w:rPr>
                <w:sz w:val="20"/>
              </w:rPr>
            </w:pPr>
            <w:r>
              <w:rPr>
                <w:w w:val="100"/>
                <w:sz w:val="20"/>
              </w:rPr>
              <w:t>3</w:t>
            </w:r>
          </w:p>
        </w:tc>
      </w:tr>
      <w:tr>
        <w:trPr>
          <w:trHeight w:val="480" w:hRule="atLeast"/>
        </w:trPr>
        <w:tc>
          <w:tcPr>
            <w:tcW w:w="1278" w:type="dxa"/>
          </w:tcPr>
          <w:p>
            <w:pPr>
              <w:pStyle w:val="TableParagraph"/>
              <w:ind w:left="200"/>
              <w:rPr>
                <w:sz w:val="20"/>
              </w:rPr>
            </w:pPr>
            <w:r>
              <w:rPr>
                <w:sz w:val="20"/>
              </w:rPr>
              <w:t>GERO 750</w:t>
            </w:r>
          </w:p>
        </w:tc>
        <w:tc>
          <w:tcPr>
            <w:tcW w:w="2712" w:type="dxa"/>
          </w:tcPr>
          <w:p>
            <w:pPr>
              <w:pStyle w:val="TableParagraph"/>
              <w:ind w:left="179"/>
              <w:rPr>
                <w:sz w:val="20"/>
              </w:rPr>
            </w:pPr>
            <w:r>
              <w:rPr>
                <w:sz w:val="20"/>
              </w:rPr>
              <w:t>THEORY AND METHODS</w:t>
            </w:r>
          </w:p>
          <w:p>
            <w:pPr>
              <w:pStyle w:val="TableParagraph"/>
              <w:spacing w:line="219" w:lineRule="exact" w:before="10"/>
              <w:ind w:left="179"/>
              <w:rPr>
                <w:sz w:val="20"/>
              </w:rPr>
            </w:pPr>
            <w:r>
              <w:rPr>
                <w:w w:val="100"/>
                <w:sz w:val="20"/>
              </w:rPr>
              <w:t>I</w:t>
            </w:r>
          </w:p>
        </w:tc>
        <w:tc>
          <w:tcPr>
            <w:tcW w:w="969" w:type="dxa"/>
          </w:tcPr>
          <w:p>
            <w:pPr>
              <w:pStyle w:val="TableParagraph"/>
              <w:ind w:right="206"/>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GERO 899</w:t>
            </w:r>
          </w:p>
        </w:tc>
        <w:tc>
          <w:tcPr>
            <w:tcW w:w="2712" w:type="dxa"/>
          </w:tcPr>
          <w:p>
            <w:pPr>
              <w:pStyle w:val="TableParagraph"/>
              <w:spacing w:line="249" w:lineRule="auto"/>
              <w:ind w:left="179" w:right="1079"/>
              <w:rPr>
                <w:sz w:val="20"/>
              </w:rPr>
            </w:pPr>
            <w:r>
              <w:rPr>
                <w:sz w:val="20"/>
              </w:rPr>
              <w:t>DOCTORAL DISSERTATION</w:t>
            </w:r>
          </w:p>
          <w:p>
            <w:pPr>
              <w:pStyle w:val="TableParagraph"/>
              <w:spacing w:line="219" w:lineRule="exact" w:before="2"/>
              <w:ind w:left="179"/>
              <w:rPr>
                <w:sz w:val="20"/>
              </w:rPr>
            </w:pPr>
            <w:r>
              <w:rPr>
                <w:sz w:val="20"/>
              </w:rPr>
              <w:t>RESEARCH</w:t>
            </w:r>
          </w:p>
        </w:tc>
        <w:tc>
          <w:tcPr>
            <w:tcW w:w="969" w:type="dxa"/>
          </w:tcPr>
          <w:p>
            <w:pPr>
              <w:pStyle w:val="TableParagraph"/>
              <w:ind w:left="342"/>
              <w:rPr>
                <w:sz w:val="20"/>
              </w:rPr>
            </w:pPr>
            <w:r>
              <w:rPr>
                <w:sz w:val="20"/>
              </w:rPr>
              <w:t>1</w:t>
            </w:r>
            <w:r>
              <w:rPr>
                <w:spacing w:val="5"/>
                <w:sz w:val="20"/>
              </w:rPr>
              <w:t> </w:t>
            </w:r>
            <w:r>
              <w:rPr>
                <w:sz w:val="20"/>
              </w:rPr>
              <w:t>TO</w:t>
            </w:r>
          </w:p>
          <w:p>
            <w:pPr>
              <w:pStyle w:val="TableParagraph"/>
              <w:spacing w:before="10"/>
              <w:ind w:left="558"/>
              <w:rPr>
                <w:sz w:val="20"/>
              </w:rPr>
            </w:pPr>
            <w:r>
              <w:rPr>
                <w:sz w:val="20"/>
              </w:rPr>
              <w:t>12</w:t>
            </w:r>
          </w:p>
        </w:tc>
      </w:tr>
      <w:tr>
        <w:trPr>
          <w:trHeight w:val="471" w:hRule="atLeast"/>
        </w:trPr>
        <w:tc>
          <w:tcPr>
            <w:tcW w:w="1278" w:type="dxa"/>
          </w:tcPr>
          <w:p>
            <w:pPr>
              <w:pStyle w:val="TableParagraph"/>
              <w:ind w:left="200"/>
              <w:rPr>
                <w:sz w:val="20"/>
              </w:rPr>
            </w:pPr>
            <w:r>
              <w:rPr>
                <w:sz w:val="20"/>
              </w:rPr>
              <w:t>CIPP 909</w:t>
            </w:r>
          </w:p>
        </w:tc>
        <w:tc>
          <w:tcPr>
            <w:tcW w:w="2712" w:type="dxa"/>
          </w:tcPr>
          <w:p>
            <w:pPr>
              <w:pStyle w:val="TableParagraph"/>
              <w:ind w:left="179"/>
              <w:rPr>
                <w:sz w:val="20"/>
              </w:rPr>
            </w:pPr>
            <w:r>
              <w:rPr>
                <w:sz w:val="20"/>
              </w:rPr>
              <w:t>RESPONSIBLE CONDUCT</w:t>
            </w:r>
          </w:p>
          <w:p>
            <w:pPr>
              <w:pStyle w:val="TableParagraph"/>
              <w:spacing w:line="210" w:lineRule="exact" w:before="10"/>
              <w:ind w:left="179"/>
              <w:rPr>
                <w:sz w:val="20"/>
              </w:rPr>
            </w:pPr>
            <w:r>
              <w:rPr>
                <w:sz w:val="20"/>
              </w:rPr>
              <w:t>OF RESEARCH</w:t>
            </w:r>
          </w:p>
        </w:tc>
        <w:tc>
          <w:tcPr>
            <w:tcW w:w="969" w:type="dxa"/>
          </w:tcPr>
          <w:p>
            <w:pPr>
              <w:pStyle w:val="TableParagraph"/>
              <w:ind w:right="201"/>
              <w:jc w:val="right"/>
              <w:rPr>
                <w:sz w:val="20"/>
              </w:rPr>
            </w:pPr>
            <w:r>
              <w:rPr>
                <w:sz w:val="20"/>
              </w:rPr>
              <w:t>1 TO 2</w:t>
            </w:r>
          </w:p>
        </w:tc>
      </w:tr>
    </w:tbl>
    <w:p>
      <w:pPr>
        <w:pStyle w:val="Heading5"/>
        <w:spacing w:before="193"/>
      </w:pPr>
      <w:r>
        <w:rPr/>
        <w:t>Required courses At UMBC</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0"/>
        <w:gridCol w:w="2974"/>
        <w:gridCol w:w="696"/>
      </w:tblGrid>
      <w:tr>
        <w:trPr>
          <w:trHeight w:val="223" w:hRule="atLeast"/>
        </w:trPr>
        <w:tc>
          <w:tcPr>
            <w:tcW w:w="1280" w:type="dxa"/>
          </w:tcPr>
          <w:p>
            <w:pPr>
              <w:pStyle w:val="TableParagraph"/>
              <w:spacing w:line="203" w:lineRule="exact" w:before="0"/>
              <w:ind w:left="200"/>
              <w:rPr>
                <w:sz w:val="20"/>
              </w:rPr>
            </w:pPr>
            <w:r>
              <w:rPr>
                <w:sz w:val="20"/>
              </w:rPr>
              <w:t>GERO 672</w:t>
            </w:r>
          </w:p>
        </w:tc>
        <w:tc>
          <w:tcPr>
            <w:tcW w:w="2974" w:type="dxa"/>
          </w:tcPr>
          <w:p>
            <w:pPr>
              <w:pStyle w:val="TableParagraph"/>
              <w:spacing w:line="203" w:lineRule="exact" w:before="0"/>
              <w:ind w:left="182"/>
              <w:rPr>
                <w:sz w:val="20"/>
              </w:rPr>
            </w:pPr>
            <w:r>
              <w:rPr>
                <w:sz w:val="20"/>
              </w:rPr>
              <w:t>ISSUES IN AGING POLICY</w:t>
            </w:r>
          </w:p>
        </w:tc>
        <w:tc>
          <w:tcPr>
            <w:tcW w:w="696" w:type="dxa"/>
          </w:tcPr>
          <w:p>
            <w:pPr>
              <w:pStyle w:val="TableParagraph"/>
              <w:spacing w:line="203" w:lineRule="exact" w:before="0"/>
              <w:ind w:left="395"/>
              <w:rPr>
                <w:sz w:val="20"/>
              </w:rPr>
            </w:pPr>
            <w:r>
              <w:rPr>
                <w:w w:val="100"/>
                <w:sz w:val="20"/>
              </w:rPr>
              <w:t>3</w:t>
            </w:r>
          </w:p>
        </w:tc>
      </w:tr>
    </w:tbl>
    <w:p>
      <w:pPr>
        <w:spacing w:after="0" w:line="203" w:lineRule="exact"/>
        <w:rPr>
          <w:sz w:val="20"/>
        </w:rPr>
        <w:sectPr>
          <w:pgSz w:w="12240" w:h="15840"/>
          <w:pgMar w:header="746" w:footer="0" w:top="1320" w:bottom="280" w:left="880" w:right="300"/>
          <w:cols w:num="2" w:equalWidth="0">
            <w:col w:w="4970" w:space="516"/>
            <w:col w:w="5574"/>
          </w:cols>
        </w:sectPr>
      </w:pPr>
    </w:p>
    <w:p>
      <w:pPr>
        <w:pStyle w:val="BodyText"/>
        <w:spacing w:before="99"/>
        <w:ind w:left="5686"/>
      </w:pPr>
      <w:r>
        <w:rPr/>
        <w:pict>
          <v:shape style="position:absolute;margin-left:49.279999pt;margin-top:5.315525pt;width:247.55pt;height:71.2pt;mso-position-horizontal-relative:page;mso-position-vertical-relative:paragraph;z-index:11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6"/>
                    <w:gridCol w:w="2997"/>
                    <w:gridCol w:w="646"/>
                  </w:tblGrid>
                  <w:tr>
                    <w:trPr>
                      <w:trHeight w:val="471" w:hRule="atLeast"/>
                    </w:trPr>
                    <w:tc>
                      <w:tcPr>
                        <w:tcW w:w="1306" w:type="dxa"/>
                      </w:tcPr>
                      <w:p>
                        <w:pPr>
                          <w:pStyle w:val="TableParagraph"/>
                          <w:spacing w:line="223" w:lineRule="exact" w:before="0"/>
                          <w:ind w:left="157" w:right="163"/>
                          <w:jc w:val="center"/>
                          <w:rPr>
                            <w:sz w:val="20"/>
                          </w:rPr>
                        </w:pPr>
                        <w:r>
                          <w:rPr>
                            <w:sz w:val="20"/>
                          </w:rPr>
                          <w:t>GERO 700</w:t>
                        </w:r>
                      </w:p>
                    </w:tc>
                    <w:tc>
                      <w:tcPr>
                        <w:tcW w:w="2997" w:type="dxa"/>
                      </w:tcPr>
                      <w:p>
                        <w:pPr>
                          <w:pStyle w:val="TableParagraph"/>
                          <w:spacing w:line="223" w:lineRule="exact" w:before="0"/>
                          <w:ind w:left="156"/>
                          <w:rPr>
                            <w:sz w:val="20"/>
                          </w:rPr>
                        </w:pPr>
                        <w:r>
                          <w:rPr>
                            <w:sz w:val="20"/>
                          </w:rPr>
                          <w:t>SOCIOCULTURAL</w:t>
                        </w:r>
                      </w:p>
                      <w:p>
                        <w:pPr>
                          <w:pStyle w:val="TableParagraph"/>
                          <w:spacing w:line="219" w:lineRule="exact" w:before="10"/>
                          <w:ind w:left="156"/>
                          <w:rPr>
                            <w:sz w:val="20"/>
                          </w:rPr>
                        </w:pPr>
                        <w:r>
                          <w:rPr>
                            <w:sz w:val="20"/>
                          </w:rPr>
                          <w:t>GERONTOLOGY</w:t>
                        </w:r>
                      </w:p>
                    </w:tc>
                    <w:tc>
                      <w:tcPr>
                        <w:tcW w:w="646" w:type="dxa"/>
                      </w:tcPr>
                      <w:p>
                        <w:pPr>
                          <w:pStyle w:val="TableParagraph"/>
                          <w:spacing w:before="0"/>
                          <w:rPr>
                            <w:sz w:val="20"/>
                          </w:rPr>
                        </w:pPr>
                      </w:p>
                    </w:tc>
                  </w:tr>
                  <w:tr>
                    <w:trPr>
                      <w:trHeight w:val="600" w:hRule="atLeast"/>
                    </w:trPr>
                    <w:tc>
                      <w:tcPr>
                        <w:tcW w:w="1306" w:type="dxa"/>
                      </w:tcPr>
                      <w:p>
                        <w:pPr>
                          <w:pStyle w:val="TableParagraph"/>
                          <w:ind w:left="182" w:right="138"/>
                          <w:jc w:val="center"/>
                          <w:rPr>
                            <w:sz w:val="20"/>
                          </w:rPr>
                        </w:pPr>
                        <w:r>
                          <w:rPr>
                            <w:sz w:val="20"/>
                          </w:rPr>
                          <w:t>GERO 786</w:t>
                        </w:r>
                      </w:p>
                    </w:tc>
                    <w:tc>
                      <w:tcPr>
                        <w:tcW w:w="2997" w:type="dxa"/>
                      </w:tcPr>
                      <w:p>
                        <w:pPr>
                          <w:pStyle w:val="TableParagraph"/>
                          <w:spacing w:line="249" w:lineRule="auto"/>
                          <w:ind w:left="156" w:right="965"/>
                          <w:rPr>
                            <w:sz w:val="20"/>
                          </w:rPr>
                        </w:pPr>
                        <w:r>
                          <w:rPr>
                            <w:sz w:val="20"/>
                          </w:rPr>
                          <w:t>PSYCHOLOGICAL ASPECTS OF AGING</w:t>
                        </w:r>
                      </w:p>
                    </w:tc>
                    <w:tc>
                      <w:tcPr>
                        <w:tcW w:w="646" w:type="dxa"/>
                      </w:tcPr>
                      <w:p>
                        <w:pPr>
                          <w:pStyle w:val="TableParagraph"/>
                          <w:spacing w:before="0"/>
                          <w:rPr>
                            <w:sz w:val="20"/>
                          </w:rPr>
                        </w:pPr>
                      </w:p>
                    </w:tc>
                  </w:tr>
                  <w:tr>
                    <w:trPr>
                      <w:trHeight w:val="351" w:hRule="atLeast"/>
                    </w:trPr>
                    <w:tc>
                      <w:tcPr>
                        <w:tcW w:w="1306" w:type="dxa"/>
                      </w:tcPr>
                      <w:p>
                        <w:pPr>
                          <w:pStyle w:val="TableParagraph"/>
                          <w:spacing w:line="210" w:lineRule="exact" w:before="121"/>
                          <w:ind w:left="157" w:right="163"/>
                          <w:jc w:val="center"/>
                          <w:rPr>
                            <w:sz w:val="20"/>
                          </w:rPr>
                        </w:pPr>
                        <w:r>
                          <w:rPr>
                            <w:sz w:val="20"/>
                          </w:rPr>
                          <w:t>GERO 751</w:t>
                        </w:r>
                      </w:p>
                    </w:tc>
                    <w:tc>
                      <w:tcPr>
                        <w:tcW w:w="2997" w:type="dxa"/>
                      </w:tcPr>
                      <w:p>
                        <w:pPr>
                          <w:pStyle w:val="TableParagraph"/>
                          <w:spacing w:line="210" w:lineRule="exact" w:before="121"/>
                          <w:ind w:left="156"/>
                          <w:rPr>
                            <w:sz w:val="20"/>
                          </w:rPr>
                        </w:pPr>
                        <w:r>
                          <w:rPr>
                            <w:sz w:val="20"/>
                          </w:rPr>
                          <w:t>THEORY AND METHODS II</w:t>
                        </w:r>
                      </w:p>
                    </w:tc>
                    <w:tc>
                      <w:tcPr>
                        <w:tcW w:w="646" w:type="dxa"/>
                      </w:tcPr>
                      <w:p>
                        <w:pPr>
                          <w:pStyle w:val="TableParagraph"/>
                          <w:spacing w:line="210" w:lineRule="exact" w:before="121"/>
                          <w:ind w:left="346"/>
                          <w:rPr>
                            <w:sz w:val="20"/>
                          </w:rPr>
                        </w:pPr>
                        <w:r>
                          <w:rPr>
                            <w:w w:val="100"/>
                            <w:sz w:val="20"/>
                          </w:rPr>
                          <w:t>3</w:t>
                        </w:r>
                      </w:p>
                    </w:tc>
                  </w:tr>
                </w:tbl>
                <w:p>
                  <w:pPr>
                    <w:pStyle w:val="BodyText"/>
                    <w:spacing w:before="0"/>
                    <w:ind w:left="0"/>
                  </w:pPr>
                </w:p>
              </w:txbxContent>
            </v:textbox>
            <w10:wrap type="none"/>
          </v:shape>
        </w:pict>
      </w:r>
      <w:r>
        <w:rPr/>
        <w:t>minimum of 24 course credits and 6 research credits.</w:t>
      </w:r>
    </w:p>
    <w:p>
      <w:pPr>
        <w:pStyle w:val="Heading5"/>
        <w:spacing w:before="179"/>
        <w:ind w:left="5686"/>
      </w:pPr>
      <w:r>
        <w:rPr/>
        <w:pict>
          <v:shape style="position:absolute;margin-left:323.600006pt;margin-top:21.770292pt;width:247.55pt;height:179.2pt;mso-position-horizontal-relative:page;mso-position-vertical-relative:paragraph;z-index:12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2"/>
                    <w:gridCol w:w="3038"/>
                    <w:gridCol w:w="629"/>
                  </w:tblGrid>
                  <w:tr>
                    <w:trPr>
                      <w:trHeight w:val="231" w:hRule="atLeast"/>
                    </w:trPr>
                    <w:tc>
                      <w:tcPr>
                        <w:tcW w:w="1282" w:type="dxa"/>
                      </w:tcPr>
                      <w:p>
                        <w:pPr>
                          <w:pStyle w:val="TableParagraph"/>
                          <w:spacing w:line="212" w:lineRule="exact" w:before="0"/>
                          <w:ind w:left="200"/>
                          <w:rPr>
                            <w:sz w:val="20"/>
                          </w:rPr>
                        </w:pPr>
                        <w:r>
                          <w:rPr>
                            <w:sz w:val="20"/>
                          </w:rPr>
                          <w:t>HGEN 601</w:t>
                        </w:r>
                      </w:p>
                    </w:tc>
                    <w:tc>
                      <w:tcPr>
                        <w:tcW w:w="3038" w:type="dxa"/>
                      </w:tcPr>
                      <w:p>
                        <w:pPr>
                          <w:pStyle w:val="TableParagraph"/>
                          <w:spacing w:line="212" w:lineRule="exact" w:before="0"/>
                          <w:ind w:left="175"/>
                          <w:rPr>
                            <w:sz w:val="20"/>
                          </w:rPr>
                        </w:pPr>
                        <w:r>
                          <w:rPr>
                            <w:sz w:val="20"/>
                          </w:rPr>
                          <w:t>BASIC HUMAN GENETICS I</w:t>
                        </w:r>
                      </w:p>
                    </w:tc>
                    <w:tc>
                      <w:tcPr>
                        <w:tcW w:w="629" w:type="dxa"/>
                      </w:tcPr>
                      <w:p>
                        <w:pPr>
                          <w:pStyle w:val="TableParagraph"/>
                          <w:spacing w:line="212" w:lineRule="exact" w:before="0"/>
                          <w:ind w:right="196"/>
                          <w:jc w:val="right"/>
                          <w:rPr>
                            <w:sz w:val="20"/>
                          </w:rPr>
                        </w:pPr>
                        <w:r>
                          <w:rPr>
                            <w:w w:val="100"/>
                            <w:sz w:val="20"/>
                          </w:rPr>
                          <w:t>4</w:t>
                        </w:r>
                      </w:p>
                    </w:tc>
                  </w:tr>
                  <w:tr>
                    <w:trPr>
                      <w:trHeight w:val="480" w:hRule="atLeast"/>
                    </w:trPr>
                    <w:tc>
                      <w:tcPr>
                        <w:tcW w:w="1282" w:type="dxa"/>
                      </w:tcPr>
                      <w:p>
                        <w:pPr>
                          <w:pStyle w:val="TableParagraph"/>
                          <w:ind w:left="200"/>
                          <w:rPr>
                            <w:sz w:val="20"/>
                          </w:rPr>
                        </w:pPr>
                        <w:r>
                          <w:rPr>
                            <w:sz w:val="20"/>
                          </w:rPr>
                          <w:t>HGEN 602</w:t>
                        </w:r>
                      </w:p>
                    </w:tc>
                    <w:tc>
                      <w:tcPr>
                        <w:tcW w:w="3038" w:type="dxa"/>
                      </w:tcPr>
                      <w:p>
                        <w:pPr>
                          <w:pStyle w:val="TableParagraph"/>
                          <w:ind w:left="175"/>
                          <w:rPr>
                            <w:sz w:val="20"/>
                          </w:rPr>
                        </w:pPr>
                        <w:r>
                          <w:rPr>
                            <w:sz w:val="20"/>
                          </w:rPr>
                          <w:t>BASIC HUMAN GENETICS</w:t>
                        </w:r>
                      </w:p>
                      <w:p>
                        <w:pPr>
                          <w:pStyle w:val="TableParagraph"/>
                          <w:spacing w:line="219" w:lineRule="exact" w:before="10"/>
                          <w:ind w:left="175"/>
                          <w:rPr>
                            <w:sz w:val="20"/>
                          </w:rPr>
                        </w:pPr>
                        <w:r>
                          <w:rPr>
                            <w:sz w:val="20"/>
                          </w:rPr>
                          <w:t>II</w:t>
                        </w:r>
                      </w:p>
                    </w:tc>
                    <w:tc>
                      <w:tcPr>
                        <w:tcW w:w="629" w:type="dxa"/>
                      </w:tcPr>
                      <w:p>
                        <w:pPr>
                          <w:pStyle w:val="TableParagraph"/>
                          <w:ind w:right="196"/>
                          <w:jc w:val="right"/>
                          <w:rPr>
                            <w:sz w:val="20"/>
                          </w:rPr>
                        </w:pPr>
                        <w:r>
                          <w:rPr>
                            <w:w w:val="100"/>
                            <w:sz w:val="20"/>
                          </w:rPr>
                          <w:t>4</w:t>
                        </w:r>
                      </w:p>
                    </w:tc>
                  </w:tr>
                  <w:tr>
                    <w:trPr>
                      <w:trHeight w:val="480" w:hRule="atLeast"/>
                    </w:trPr>
                    <w:tc>
                      <w:tcPr>
                        <w:tcW w:w="1282" w:type="dxa"/>
                      </w:tcPr>
                      <w:p>
                        <w:pPr>
                          <w:pStyle w:val="TableParagraph"/>
                          <w:ind w:left="200"/>
                          <w:rPr>
                            <w:sz w:val="20"/>
                          </w:rPr>
                        </w:pPr>
                        <w:r>
                          <w:rPr>
                            <w:sz w:val="20"/>
                          </w:rPr>
                          <w:t>HGEN 608</w:t>
                        </w:r>
                      </w:p>
                    </w:tc>
                    <w:tc>
                      <w:tcPr>
                        <w:tcW w:w="3038" w:type="dxa"/>
                      </w:tcPr>
                      <w:p>
                        <w:pPr>
                          <w:pStyle w:val="TableParagraph"/>
                          <w:ind w:left="175"/>
                          <w:rPr>
                            <w:sz w:val="20"/>
                          </w:rPr>
                        </w:pPr>
                        <w:r>
                          <w:rPr>
                            <w:sz w:val="20"/>
                          </w:rPr>
                          <w:t>HUMAN GENETICS</w:t>
                        </w:r>
                      </w:p>
                      <w:p>
                        <w:pPr>
                          <w:pStyle w:val="TableParagraph"/>
                          <w:spacing w:line="219" w:lineRule="exact" w:before="10"/>
                          <w:ind w:left="175"/>
                          <w:rPr>
                            <w:sz w:val="20"/>
                          </w:rPr>
                        </w:pPr>
                        <w:r>
                          <w:rPr>
                            <w:sz w:val="20"/>
                          </w:rPr>
                          <w:t>SEMINAR</w:t>
                        </w:r>
                      </w:p>
                    </w:tc>
                    <w:tc>
                      <w:tcPr>
                        <w:tcW w:w="629" w:type="dxa"/>
                      </w:tcPr>
                      <w:p>
                        <w:pPr>
                          <w:pStyle w:val="TableParagraph"/>
                          <w:ind w:right="196"/>
                          <w:jc w:val="right"/>
                          <w:rPr>
                            <w:sz w:val="20"/>
                          </w:rPr>
                        </w:pPr>
                        <w:r>
                          <w:rPr>
                            <w:w w:val="100"/>
                            <w:sz w:val="20"/>
                          </w:rPr>
                          <w:t>1</w:t>
                        </w:r>
                      </w:p>
                    </w:tc>
                  </w:tr>
                  <w:tr>
                    <w:trPr>
                      <w:trHeight w:val="600" w:hRule="atLeast"/>
                    </w:trPr>
                    <w:tc>
                      <w:tcPr>
                        <w:tcW w:w="1282" w:type="dxa"/>
                      </w:tcPr>
                      <w:p>
                        <w:pPr>
                          <w:pStyle w:val="TableParagraph"/>
                          <w:ind w:left="200"/>
                          <w:rPr>
                            <w:sz w:val="20"/>
                          </w:rPr>
                        </w:pPr>
                        <w:r>
                          <w:rPr>
                            <w:sz w:val="20"/>
                          </w:rPr>
                          <w:t>GPLS 716</w:t>
                        </w:r>
                      </w:p>
                    </w:tc>
                    <w:tc>
                      <w:tcPr>
                        <w:tcW w:w="3038" w:type="dxa"/>
                      </w:tcPr>
                      <w:p>
                        <w:pPr>
                          <w:pStyle w:val="TableParagraph"/>
                          <w:spacing w:line="249" w:lineRule="auto"/>
                          <w:ind w:left="175" w:right="1142"/>
                          <w:rPr>
                            <w:sz w:val="20"/>
                          </w:rPr>
                        </w:pPr>
                        <w:r>
                          <w:rPr>
                            <w:sz w:val="20"/>
                          </w:rPr>
                          <w:t>GENOMICS AND BIOINFORMATICS</w:t>
                        </w:r>
                      </w:p>
                    </w:tc>
                    <w:tc>
                      <w:tcPr>
                        <w:tcW w:w="629" w:type="dxa"/>
                      </w:tcPr>
                      <w:p>
                        <w:pPr>
                          <w:pStyle w:val="TableParagraph"/>
                          <w:ind w:right="196"/>
                          <w:jc w:val="right"/>
                          <w:rPr>
                            <w:sz w:val="20"/>
                          </w:rPr>
                        </w:pPr>
                        <w:r>
                          <w:rPr>
                            <w:w w:val="100"/>
                            <w:sz w:val="20"/>
                          </w:rPr>
                          <w:t>3</w:t>
                        </w:r>
                      </w:p>
                    </w:tc>
                  </w:tr>
                  <w:tr>
                    <w:trPr>
                      <w:trHeight w:val="360" w:hRule="atLeast"/>
                    </w:trPr>
                    <w:tc>
                      <w:tcPr>
                        <w:tcW w:w="1282" w:type="dxa"/>
                      </w:tcPr>
                      <w:p>
                        <w:pPr>
                          <w:pStyle w:val="TableParagraph"/>
                          <w:spacing w:line="219" w:lineRule="exact" w:before="121"/>
                          <w:ind w:left="200"/>
                          <w:rPr>
                            <w:sz w:val="20"/>
                          </w:rPr>
                        </w:pPr>
                        <w:r>
                          <w:rPr>
                            <w:sz w:val="20"/>
                          </w:rPr>
                          <w:t>PREV 619</w:t>
                        </w:r>
                      </w:p>
                    </w:tc>
                    <w:tc>
                      <w:tcPr>
                        <w:tcW w:w="3038" w:type="dxa"/>
                      </w:tcPr>
                      <w:p>
                        <w:pPr>
                          <w:pStyle w:val="TableParagraph"/>
                          <w:spacing w:line="219" w:lineRule="exact" w:before="121"/>
                          <w:ind w:left="175"/>
                          <w:rPr>
                            <w:sz w:val="20"/>
                          </w:rPr>
                        </w:pPr>
                        <w:r>
                          <w:rPr>
                            <w:sz w:val="20"/>
                          </w:rPr>
                          <w:t>INTRODUCTION TO SAS</w:t>
                        </w:r>
                      </w:p>
                    </w:tc>
                    <w:tc>
                      <w:tcPr>
                        <w:tcW w:w="629" w:type="dxa"/>
                      </w:tcPr>
                      <w:p>
                        <w:pPr>
                          <w:pStyle w:val="TableParagraph"/>
                          <w:spacing w:line="219" w:lineRule="exact" w:before="121"/>
                          <w:ind w:right="196"/>
                          <w:jc w:val="right"/>
                          <w:rPr>
                            <w:sz w:val="20"/>
                          </w:rPr>
                        </w:pPr>
                        <w:r>
                          <w:rPr>
                            <w:w w:val="100"/>
                            <w:sz w:val="20"/>
                          </w:rPr>
                          <w:t>1</w:t>
                        </w:r>
                      </w:p>
                    </w:tc>
                  </w:tr>
                  <w:tr>
                    <w:trPr>
                      <w:trHeight w:val="240" w:hRule="atLeast"/>
                    </w:trPr>
                    <w:tc>
                      <w:tcPr>
                        <w:tcW w:w="1282" w:type="dxa"/>
                      </w:tcPr>
                      <w:p>
                        <w:pPr>
                          <w:pStyle w:val="TableParagraph"/>
                          <w:spacing w:before="0"/>
                          <w:rPr>
                            <w:sz w:val="16"/>
                          </w:rPr>
                        </w:pPr>
                      </w:p>
                    </w:tc>
                    <w:tc>
                      <w:tcPr>
                        <w:tcW w:w="3038" w:type="dxa"/>
                      </w:tcPr>
                      <w:p>
                        <w:pPr>
                          <w:pStyle w:val="TableParagraph"/>
                          <w:spacing w:line="219" w:lineRule="exact"/>
                          <w:ind w:left="175"/>
                          <w:rPr>
                            <w:sz w:val="20"/>
                          </w:rPr>
                        </w:pPr>
                        <w:r>
                          <w:rPr>
                            <w:sz w:val="20"/>
                          </w:rPr>
                          <w:t>And</w:t>
                        </w:r>
                      </w:p>
                    </w:tc>
                    <w:tc>
                      <w:tcPr>
                        <w:tcW w:w="629" w:type="dxa"/>
                      </w:tcPr>
                      <w:p>
                        <w:pPr>
                          <w:pStyle w:val="TableParagraph"/>
                          <w:spacing w:before="0"/>
                          <w:rPr>
                            <w:sz w:val="16"/>
                          </w:rPr>
                        </w:pPr>
                      </w:p>
                    </w:tc>
                  </w:tr>
                  <w:tr>
                    <w:trPr>
                      <w:trHeight w:val="480" w:hRule="atLeast"/>
                    </w:trPr>
                    <w:tc>
                      <w:tcPr>
                        <w:tcW w:w="1282" w:type="dxa"/>
                      </w:tcPr>
                      <w:p>
                        <w:pPr>
                          <w:pStyle w:val="TableParagraph"/>
                          <w:ind w:left="200"/>
                          <w:rPr>
                            <w:sz w:val="20"/>
                          </w:rPr>
                        </w:pPr>
                        <w:r>
                          <w:rPr>
                            <w:sz w:val="20"/>
                          </w:rPr>
                          <w:t>PREV 620</w:t>
                        </w:r>
                      </w:p>
                    </w:tc>
                    <w:tc>
                      <w:tcPr>
                        <w:tcW w:w="3038" w:type="dxa"/>
                      </w:tcPr>
                      <w:p>
                        <w:pPr>
                          <w:pStyle w:val="TableParagraph"/>
                          <w:ind w:left="175"/>
                          <w:rPr>
                            <w:sz w:val="20"/>
                          </w:rPr>
                        </w:pPr>
                        <w:r>
                          <w:rPr>
                            <w:sz w:val="20"/>
                          </w:rPr>
                          <w:t>PRINCIPLES</w:t>
                        </w:r>
                        <w:r>
                          <w:rPr>
                            <w:spacing w:val="-8"/>
                            <w:sz w:val="20"/>
                          </w:rPr>
                          <w:t> </w:t>
                        </w:r>
                        <w:r>
                          <w:rPr>
                            <w:sz w:val="20"/>
                          </w:rPr>
                          <w:t>OF</w:t>
                        </w:r>
                      </w:p>
                      <w:p>
                        <w:pPr>
                          <w:pStyle w:val="TableParagraph"/>
                          <w:spacing w:line="219" w:lineRule="exact" w:before="10"/>
                          <w:ind w:left="175"/>
                          <w:rPr>
                            <w:sz w:val="20"/>
                          </w:rPr>
                        </w:pPr>
                        <w:r>
                          <w:rPr>
                            <w:sz w:val="20"/>
                          </w:rPr>
                          <w:t>BIOSTATISTICS</w:t>
                        </w:r>
                      </w:p>
                    </w:tc>
                    <w:tc>
                      <w:tcPr>
                        <w:tcW w:w="629" w:type="dxa"/>
                      </w:tcPr>
                      <w:p>
                        <w:pPr>
                          <w:pStyle w:val="TableParagraph"/>
                          <w:ind w:right="196"/>
                          <w:jc w:val="right"/>
                          <w:rPr>
                            <w:sz w:val="20"/>
                          </w:rPr>
                        </w:pPr>
                        <w:r>
                          <w:rPr>
                            <w:w w:val="100"/>
                            <w:sz w:val="20"/>
                          </w:rPr>
                          <w:t>3</w:t>
                        </w:r>
                      </w:p>
                    </w:tc>
                  </w:tr>
                  <w:tr>
                    <w:trPr>
                      <w:trHeight w:val="240" w:hRule="atLeast"/>
                    </w:trPr>
                    <w:tc>
                      <w:tcPr>
                        <w:tcW w:w="1282" w:type="dxa"/>
                      </w:tcPr>
                      <w:p>
                        <w:pPr>
                          <w:pStyle w:val="TableParagraph"/>
                          <w:spacing w:before="0"/>
                          <w:rPr>
                            <w:sz w:val="16"/>
                          </w:rPr>
                        </w:pPr>
                      </w:p>
                    </w:tc>
                    <w:tc>
                      <w:tcPr>
                        <w:tcW w:w="3038" w:type="dxa"/>
                      </w:tcPr>
                      <w:p>
                        <w:pPr>
                          <w:pStyle w:val="TableParagraph"/>
                          <w:spacing w:line="219" w:lineRule="exact"/>
                          <w:ind w:left="175"/>
                          <w:rPr>
                            <w:sz w:val="20"/>
                          </w:rPr>
                        </w:pPr>
                        <w:r>
                          <w:rPr>
                            <w:sz w:val="20"/>
                          </w:rPr>
                          <w:t>Or</w:t>
                        </w:r>
                      </w:p>
                    </w:tc>
                    <w:tc>
                      <w:tcPr>
                        <w:tcW w:w="629" w:type="dxa"/>
                      </w:tcPr>
                      <w:p>
                        <w:pPr>
                          <w:pStyle w:val="TableParagraph"/>
                          <w:spacing w:before="0"/>
                          <w:rPr>
                            <w:sz w:val="16"/>
                          </w:rPr>
                        </w:pPr>
                      </w:p>
                    </w:tc>
                  </w:tr>
                  <w:tr>
                    <w:trPr>
                      <w:trHeight w:val="471" w:hRule="atLeast"/>
                    </w:trPr>
                    <w:tc>
                      <w:tcPr>
                        <w:tcW w:w="1282" w:type="dxa"/>
                      </w:tcPr>
                      <w:p>
                        <w:pPr>
                          <w:pStyle w:val="TableParagraph"/>
                          <w:ind w:left="200"/>
                          <w:rPr>
                            <w:sz w:val="20"/>
                          </w:rPr>
                        </w:pPr>
                        <w:r>
                          <w:rPr>
                            <w:sz w:val="20"/>
                          </w:rPr>
                          <w:t>PREV 621</w:t>
                        </w:r>
                      </w:p>
                    </w:tc>
                    <w:tc>
                      <w:tcPr>
                        <w:tcW w:w="3038" w:type="dxa"/>
                      </w:tcPr>
                      <w:p>
                        <w:pPr>
                          <w:pStyle w:val="TableParagraph"/>
                          <w:ind w:left="175"/>
                          <w:rPr>
                            <w:sz w:val="20"/>
                          </w:rPr>
                        </w:pPr>
                        <w:r>
                          <w:rPr>
                            <w:sz w:val="20"/>
                          </w:rPr>
                          <w:t>BIOSTATISTICAL</w:t>
                        </w:r>
                      </w:p>
                      <w:p>
                        <w:pPr>
                          <w:pStyle w:val="TableParagraph"/>
                          <w:spacing w:line="210" w:lineRule="exact" w:before="10"/>
                          <w:ind w:left="175"/>
                          <w:rPr>
                            <w:sz w:val="20"/>
                          </w:rPr>
                        </w:pPr>
                        <w:r>
                          <w:rPr>
                            <w:sz w:val="20"/>
                          </w:rPr>
                          <w:t>METHODS</w:t>
                        </w:r>
                      </w:p>
                    </w:tc>
                    <w:tc>
                      <w:tcPr>
                        <w:tcW w:w="629" w:type="dxa"/>
                      </w:tcPr>
                      <w:p>
                        <w:pPr>
                          <w:pStyle w:val="TableParagraph"/>
                          <w:ind w:right="196"/>
                          <w:jc w:val="right"/>
                          <w:rPr>
                            <w:sz w:val="20"/>
                          </w:rPr>
                        </w:pPr>
                        <w:r>
                          <w:rPr>
                            <w:w w:val="100"/>
                            <w:sz w:val="20"/>
                          </w:rPr>
                          <w:t>3</w:t>
                        </w:r>
                      </w:p>
                    </w:tc>
                  </w:tr>
                </w:tbl>
                <w:p>
                  <w:pPr>
                    <w:pStyle w:val="BodyText"/>
                    <w:spacing w:before="0"/>
                    <w:ind w:left="0"/>
                  </w:pPr>
                </w:p>
              </w:txbxContent>
            </v:textbox>
            <w10:wrap type="none"/>
          </v:shape>
        </w:pict>
      </w:r>
      <w:r>
        <w:rPr/>
        <w:t>Required Courses: MS in Human Genetics</w:t>
      </w:r>
    </w:p>
    <w:p>
      <w:pPr>
        <w:pStyle w:val="BodyText"/>
        <w:spacing w:before="0"/>
        <w:ind w:left="0"/>
      </w:pPr>
    </w:p>
    <w:p>
      <w:pPr>
        <w:pStyle w:val="BodyText"/>
        <w:spacing w:before="0"/>
        <w:ind w:left="0"/>
      </w:pPr>
    </w:p>
    <w:p>
      <w:pPr>
        <w:pStyle w:val="BodyText"/>
        <w:spacing w:before="0"/>
        <w:ind w:left="0"/>
      </w:pPr>
    </w:p>
    <w:p>
      <w:pPr>
        <w:spacing w:after="0"/>
        <w:sectPr>
          <w:pgSz w:w="12240" w:h="15840"/>
          <w:pgMar w:header="746" w:footer="0" w:top="1320" w:bottom="280" w:left="880" w:right="300"/>
        </w:sectPr>
      </w:pPr>
    </w:p>
    <w:p>
      <w:pPr>
        <w:pStyle w:val="BodyText"/>
        <w:spacing w:before="4"/>
        <w:ind w:left="0"/>
        <w:rPr>
          <w:sz w:val="23"/>
        </w:rPr>
      </w:pPr>
    </w:p>
    <w:p>
      <w:pPr>
        <w:pStyle w:val="Heading5"/>
        <w:spacing w:before="0"/>
      </w:pPr>
      <w:r>
        <w:rPr/>
        <w:t>Available Track and Elective Courses</w:t>
      </w:r>
    </w:p>
    <w:p>
      <w:pPr>
        <w:pStyle w:val="BodyText"/>
        <w:spacing w:line="249" w:lineRule="auto" w:before="190"/>
        <w:ind w:right="220"/>
      </w:pPr>
      <w:r>
        <w:rPr/>
        <w:t>Track courses and electives are selected from available courses for each track as well as from courses offered on each campus that contribute to the student’s area of research in consultation with the student’s advisor.</w:t>
      </w:r>
    </w:p>
    <w:p>
      <w:pPr>
        <w:pStyle w:val="BodyText"/>
        <w:spacing w:line="249" w:lineRule="auto" w:before="181"/>
        <w:ind w:left="199" w:right="315"/>
      </w:pPr>
      <w:r>
        <w:rPr/>
        <w:t>Details are given in the Course Descriptions part of this catalog.</w:t>
      </w:r>
    </w:p>
    <w:p>
      <w:pPr>
        <w:pStyle w:val="Heading3"/>
        <w:spacing w:before="191"/>
      </w:pPr>
      <w:bookmarkStart w:name="Human Genetics and Genomic Medicine" w:id="37"/>
      <w:bookmarkEnd w:id="37"/>
      <w:r>
        <w:rPr/>
      </w:r>
      <w:bookmarkStart w:name="_bookmark18" w:id="38"/>
      <w:bookmarkEnd w:id="38"/>
      <w:r>
        <w:rPr/>
      </w:r>
      <w:r>
        <w:rPr/>
        <w:t>Human Genetics and Genomic Medicine</w:t>
      </w:r>
    </w:p>
    <w:p>
      <w:pPr>
        <w:pStyle w:val="Heading4"/>
      </w:pPr>
      <w:r>
        <w:rPr/>
        <w:t>Graduate Program in Life Sciences</w:t>
      </w:r>
    </w:p>
    <w:p>
      <w:pPr>
        <w:pStyle w:val="BodyText"/>
        <w:spacing w:line="249" w:lineRule="auto" w:before="188"/>
        <w:ind w:right="68"/>
      </w:pPr>
      <w:hyperlink r:id="rId50">
        <w:r>
          <w:rPr>
            <w:color w:val="0000FF"/>
            <w:u w:val="single" w:color="0000FF"/>
          </w:rPr>
          <w:t>https://lifesciences.umaryland.edu/epidemiology/Masters-</w:t>
        </w:r>
      </w:hyperlink>
      <w:r>
        <w:rPr>
          <w:color w:val="0000FF"/>
        </w:rPr>
        <w:t> </w:t>
      </w:r>
      <w:hyperlink r:id="rId50">
        <w:r>
          <w:rPr>
            <w:color w:val="0000FF"/>
            <w:u w:val="single" w:color="0000FF"/>
          </w:rPr>
          <w:t>Program/MS-in-Human-Genetics-and-Genomic-Medicine/</w:t>
        </w:r>
      </w:hyperlink>
    </w:p>
    <w:p>
      <w:pPr>
        <w:pStyle w:val="Heading6"/>
        <w:spacing w:before="179"/>
      </w:pPr>
      <w:r>
        <w:rPr/>
        <w:t>Degree Offered</w:t>
      </w:r>
    </w:p>
    <w:p>
      <w:pPr>
        <w:pStyle w:val="BodyText"/>
        <w:spacing w:before="193"/>
      </w:pPr>
      <w:r>
        <w:rPr/>
        <w:t>MS</w:t>
      </w:r>
    </w:p>
    <w:p>
      <w:pPr>
        <w:pStyle w:val="Heading6"/>
        <w:spacing w:before="187"/>
      </w:pPr>
      <w:r>
        <w:rPr/>
        <w:t>Program Description</w:t>
      </w:r>
    </w:p>
    <w:p>
      <w:pPr>
        <w:pStyle w:val="BodyText"/>
        <w:spacing w:line="249" w:lineRule="auto" w:before="193"/>
        <w:ind w:right="92" w:hanging="1"/>
      </w:pPr>
      <w:r>
        <w:rPr/>
        <w:t>The </w:t>
      </w:r>
      <w:r>
        <w:rPr>
          <w:b/>
        </w:rPr>
        <w:t>MS in Human Genetics and Genomic Medicine </w:t>
      </w:r>
      <w:r>
        <w:rPr/>
        <w:t>is designed for students contemplating careers in human genetics, especially as it relates to health and disease. This track includes coursework, seminars, and supervised research culminating in a thesis.</w:t>
      </w:r>
    </w:p>
    <w:p>
      <w:pPr>
        <w:pStyle w:val="Heading6"/>
        <w:spacing w:before="181"/>
      </w:pPr>
      <w:r>
        <w:rPr/>
        <w:t>Program Admission</w:t>
      </w:r>
    </w:p>
    <w:p>
      <w:pPr>
        <w:pStyle w:val="BodyText"/>
        <w:spacing w:line="249" w:lineRule="auto" w:before="193"/>
        <w:ind w:right="28"/>
      </w:pPr>
      <w:r>
        <w:rPr>
          <w:color w:val="303030"/>
        </w:rPr>
        <w:t>Degree-seeking students are admitted into the program during the fall semester only. The deadline is February 15 (March 1 for internal candidates) of the year in which the student intends to enroll. Graduate Record Examinations (GREs) are mandatory. In addition to meeting the minimum requirements of the Graduate School and the Graduate Program in Life Sciences (GPILS), applicants should have completed coursework in biology relevant to understanding health and disease processes, and college algebra. The program evaluates each applicant individually with attention to areas of strength that relate to the skills and background necessary to succeed in graduate study in human genetics.</w:t>
      </w:r>
    </w:p>
    <w:p>
      <w:pPr>
        <w:pStyle w:val="Heading6"/>
        <w:spacing w:before="188"/>
      </w:pPr>
      <w:r>
        <w:rPr/>
        <w:t>Degree Requirements</w:t>
      </w:r>
    </w:p>
    <w:p>
      <w:pPr>
        <w:pStyle w:val="BodyText"/>
        <w:spacing w:line="249" w:lineRule="auto" w:before="193"/>
        <w:ind w:right="608"/>
      </w:pPr>
      <w:r>
        <w:rPr/>
        <w:t>Students in the human genetics track are required to develop a thesis project in addition to completing a</w:t>
      </w:r>
    </w:p>
    <w:p>
      <w:pPr>
        <w:pStyle w:val="BodyText"/>
        <w:spacing w:before="0"/>
        <w:ind w:left="0"/>
        <w:rPr>
          <w:sz w:val="22"/>
        </w:rPr>
      </w:pPr>
      <w:r>
        <w:rPr/>
        <w:br w:type="column"/>
      </w:r>
      <w:r>
        <w:rPr>
          <w:sz w:val="22"/>
        </w:rPr>
      </w: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spacing w:before="198"/>
        <w:ind w:left="199" w:right="0" w:firstLine="0"/>
        <w:jc w:val="left"/>
        <w:rPr>
          <w:i/>
          <w:sz w:val="20"/>
        </w:rPr>
      </w:pPr>
      <w:r>
        <w:rPr>
          <w:i/>
          <w:sz w:val="20"/>
        </w:rPr>
        <w:t>HGEN 608: every semester</w:t>
      </w:r>
    </w:p>
    <w:p>
      <w:pPr>
        <w:pStyle w:val="Heading5"/>
        <w:spacing w:before="178"/>
        <w:ind w:left="199"/>
      </w:pPr>
      <w:r>
        <w:rPr/>
        <w:t>Select two or more of the following:</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0"/>
        <w:gridCol w:w="2748"/>
        <w:gridCol w:w="937"/>
      </w:tblGrid>
      <w:tr>
        <w:trPr>
          <w:trHeight w:val="471" w:hRule="atLeast"/>
        </w:trPr>
        <w:tc>
          <w:tcPr>
            <w:tcW w:w="1270" w:type="dxa"/>
          </w:tcPr>
          <w:p>
            <w:pPr>
              <w:pStyle w:val="TableParagraph"/>
              <w:spacing w:line="223" w:lineRule="exact" w:before="0"/>
              <w:ind w:left="200"/>
              <w:rPr>
                <w:sz w:val="20"/>
              </w:rPr>
            </w:pPr>
            <w:r>
              <w:rPr>
                <w:sz w:val="20"/>
              </w:rPr>
              <w:t>PREV 600</w:t>
            </w:r>
          </w:p>
        </w:tc>
        <w:tc>
          <w:tcPr>
            <w:tcW w:w="2748" w:type="dxa"/>
          </w:tcPr>
          <w:p>
            <w:pPr>
              <w:pStyle w:val="TableParagraph"/>
              <w:spacing w:line="223" w:lineRule="exact" w:before="0"/>
              <w:ind w:left="163"/>
              <w:rPr>
                <w:sz w:val="20"/>
              </w:rPr>
            </w:pPr>
            <w:r>
              <w:rPr>
                <w:sz w:val="20"/>
              </w:rPr>
              <w:t>PRINCIPLES OF</w:t>
            </w:r>
          </w:p>
          <w:p>
            <w:pPr>
              <w:pStyle w:val="TableParagraph"/>
              <w:spacing w:line="219" w:lineRule="exact" w:before="10"/>
              <w:ind w:left="163"/>
              <w:rPr>
                <w:sz w:val="20"/>
              </w:rPr>
            </w:pPr>
            <w:r>
              <w:rPr>
                <w:sz w:val="20"/>
              </w:rPr>
              <w:t>EPIDEMIOLOGY</w:t>
            </w:r>
          </w:p>
        </w:tc>
        <w:tc>
          <w:tcPr>
            <w:tcW w:w="937" w:type="dxa"/>
          </w:tcPr>
          <w:p>
            <w:pPr>
              <w:pStyle w:val="TableParagraph"/>
              <w:spacing w:line="223" w:lineRule="exact" w:before="0"/>
              <w:ind w:right="202"/>
              <w:jc w:val="right"/>
              <w:rPr>
                <w:sz w:val="20"/>
              </w:rPr>
            </w:pPr>
            <w:r>
              <w:rPr>
                <w:w w:val="100"/>
                <w:sz w:val="20"/>
              </w:rPr>
              <w:t>3</w:t>
            </w:r>
          </w:p>
        </w:tc>
      </w:tr>
      <w:tr>
        <w:trPr>
          <w:trHeight w:val="240" w:hRule="atLeast"/>
        </w:trPr>
        <w:tc>
          <w:tcPr>
            <w:tcW w:w="1270" w:type="dxa"/>
          </w:tcPr>
          <w:p>
            <w:pPr>
              <w:pStyle w:val="TableParagraph"/>
              <w:spacing w:line="219" w:lineRule="exact"/>
              <w:ind w:left="200"/>
              <w:rPr>
                <w:sz w:val="20"/>
              </w:rPr>
            </w:pPr>
            <w:r>
              <w:rPr>
                <w:sz w:val="20"/>
              </w:rPr>
              <w:t>HGEN 701</w:t>
            </w:r>
          </w:p>
        </w:tc>
        <w:tc>
          <w:tcPr>
            <w:tcW w:w="2748" w:type="dxa"/>
          </w:tcPr>
          <w:p>
            <w:pPr>
              <w:pStyle w:val="TableParagraph"/>
              <w:spacing w:line="219" w:lineRule="exact"/>
              <w:ind w:left="163"/>
              <w:rPr>
                <w:sz w:val="20"/>
              </w:rPr>
            </w:pPr>
            <w:r>
              <w:rPr>
                <w:sz w:val="20"/>
              </w:rPr>
              <w:t>HUMAN CYTOGENETICS</w:t>
            </w:r>
          </w:p>
        </w:tc>
        <w:tc>
          <w:tcPr>
            <w:tcW w:w="937" w:type="dxa"/>
          </w:tcPr>
          <w:p>
            <w:pPr>
              <w:pStyle w:val="TableParagraph"/>
              <w:spacing w:line="219" w:lineRule="exact"/>
              <w:ind w:right="202"/>
              <w:jc w:val="right"/>
              <w:rPr>
                <w:sz w:val="20"/>
              </w:rPr>
            </w:pPr>
            <w:r>
              <w:rPr>
                <w:w w:val="100"/>
                <w:sz w:val="20"/>
              </w:rPr>
              <w:t>2</w:t>
            </w:r>
          </w:p>
        </w:tc>
      </w:tr>
      <w:tr>
        <w:trPr>
          <w:trHeight w:val="240" w:hRule="atLeast"/>
        </w:trPr>
        <w:tc>
          <w:tcPr>
            <w:tcW w:w="1270" w:type="dxa"/>
          </w:tcPr>
          <w:p>
            <w:pPr>
              <w:pStyle w:val="TableParagraph"/>
              <w:spacing w:line="219" w:lineRule="exact"/>
              <w:ind w:left="200"/>
              <w:rPr>
                <w:sz w:val="20"/>
              </w:rPr>
            </w:pPr>
            <w:r>
              <w:rPr>
                <w:sz w:val="20"/>
              </w:rPr>
              <w:t>PREV 711</w:t>
            </w:r>
          </w:p>
        </w:tc>
        <w:tc>
          <w:tcPr>
            <w:tcW w:w="2748" w:type="dxa"/>
          </w:tcPr>
          <w:p>
            <w:pPr>
              <w:pStyle w:val="TableParagraph"/>
              <w:spacing w:line="219" w:lineRule="exact"/>
              <w:ind w:left="163"/>
              <w:rPr>
                <w:sz w:val="20"/>
              </w:rPr>
            </w:pPr>
            <w:r>
              <w:rPr>
                <w:sz w:val="20"/>
              </w:rPr>
              <w:t>GENETIC EPIDEMIOLOGY</w:t>
            </w:r>
          </w:p>
        </w:tc>
        <w:tc>
          <w:tcPr>
            <w:tcW w:w="937" w:type="dxa"/>
          </w:tcPr>
          <w:p>
            <w:pPr>
              <w:pStyle w:val="TableParagraph"/>
              <w:spacing w:line="219" w:lineRule="exact"/>
              <w:ind w:right="202"/>
              <w:jc w:val="right"/>
              <w:rPr>
                <w:sz w:val="20"/>
              </w:rPr>
            </w:pPr>
            <w:r>
              <w:rPr>
                <w:w w:val="100"/>
                <w:sz w:val="20"/>
              </w:rPr>
              <w:t>3</w:t>
            </w:r>
          </w:p>
        </w:tc>
      </w:tr>
      <w:tr>
        <w:trPr>
          <w:trHeight w:val="480" w:hRule="atLeast"/>
        </w:trPr>
        <w:tc>
          <w:tcPr>
            <w:tcW w:w="1270" w:type="dxa"/>
          </w:tcPr>
          <w:p>
            <w:pPr>
              <w:pStyle w:val="TableParagraph"/>
              <w:ind w:left="200"/>
              <w:rPr>
                <w:sz w:val="20"/>
              </w:rPr>
            </w:pPr>
            <w:r>
              <w:rPr>
                <w:sz w:val="20"/>
              </w:rPr>
              <w:t>GPLS 717</w:t>
            </w:r>
          </w:p>
        </w:tc>
        <w:tc>
          <w:tcPr>
            <w:tcW w:w="2748" w:type="dxa"/>
          </w:tcPr>
          <w:p>
            <w:pPr>
              <w:pStyle w:val="TableParagraph"/>
              <w:ind w:left="163"/>
              <w:rPr>
                <w:sz w:val="20"/>
              </w:rPr>
            </w:pPr>
            <w:r>
              <w:rPr>
                <w:sz w:val="20"/>
              </w:rPr>
              <w:t>GENOMICS OF MODEL</w:t>
            </w:r>
          </w:p>
          <w:p>
            <w:pPr>
              <w:pStyle w:val="TableParagraph"/>
              <w:spacing w:line="219" w:lineRule="exact" w:before="10"/>
              <w:ind w:left="163"/>
              <w:rPr>
                <w:sz w:val="20"/>
              </w:rPr>
            </w:pPr>
            <w:r>
              <w:rPr>
                <w:sz w:val="20"/>
              </w:rPr>
              <w:t>SPECIES AND HUMANS</w:t>
            </w:r>
          </w:p>
        </w:tc>
        <w:tc>
          <w:tcPr>
            <w:tcW w:w="937" w:type="dxa"/>
          </w:tcPr>
          <w:p>
            <w:pPr>
              <w:pStyle w:val="TableParagraph"/>
              <w:ind w:right="202"/>
              <w:jc w:val="right"/>
              <w:rPr>
                <w:sz w:val="20"/>
              </w:rPr>
            </w:pPr>
            <w:r>
              <w:rPr>
                <w:w w:val="100"/>
                <w:sz w:val="20"/>
              </w:rPr>
              <w:t>3</w:t>
            </w:r>
          </w:p>
        </w:tc>
      </w:tr>
      <w:tr>
        <w:trPr>
          <w:trHeight w:val="480" w:hRule="atLeast"/>
        </w:trPr>
        <w:tc>
          <w:tcPr>
            <w:tcW w:w="1270" w:type="dxa"/>
          </w:tcPr>
          <w:p>
            <w:pPr>
              <w:pStyle w:val="TableParagraph"/>
              <w:ind w:left="200"/>
              <w:rPr>
                <w:sz w:val="20"/>
              </w:rPr>
            </w:pPr>
            <w:r>
              <w:rPr>
                <w:sz w:val="20"/>
              </w:rPr>
              <w:t>GPLS 718</w:t>
            </w:r>
          </w:p>
        </w:tc>
        <w:tc>
          <w:tcPr>
            <w:tcW w:w="2748" w:type="dxa"/>
          </w:tcPr>
          <w:p>
            <w:pPr>
              <w:pStyle w:val="TableParagraph"/>
              <w:ind w:left="163"/>
              <w:rPr>
                <w:sz w:val="20"/>
              </w:rPr>
            </w:pPr>
            <w:r>
              <w:rPr>
                <w:sz w:val="20"/>
              </w:rPr>
              <w:t>PROGRAMMING FOR</w:t>
            </w:r>
          </w:p>
          <w:p>
            <w:pPr>
              <w:pStyle w:val="TableParagraph"/>
              <w:spacing w:line="219" w:lineRule="exact" w:before="10"/>
              <w:ind w:left="163"/>
              <w:rPr>
                <w:sz w:val="20"/>
              </w:rPr>
            </w:pPr>
            <w:r>
              <w:rPr>
                <w:sz w:val="20"/>
              </w:rPr>
              <w:t>BIOINFORMATICS</w:t>
            </w:r>
          </w:p>
        </w:tc>
        <w:tc>
          <w:tcPr>
            <w:tcW w:w="937" w:type="dxa"/>
          </w:tcPr>
          <w:p>
            <w:pPr>
              <w:pStyle w:val="TableParagraph"/>
              <w:ind w:right="202"/>
              <w:jc w:val="right"/>
              <w:rPr>
                <w:sz w:val="20"/>
              </w:rPr>
            </w:pPr>
            <w:r>
              <w:rPr>
                <w:w w:val="100"/>
                <w:sz w:val="20"/>
              </w:rPr>
              <w:t>2</w:t>
            </w:r>
          </w:p>
        </w:tc>
      </w:tr>
      <w:tr>
        <w:trPr>
          <w:trHeight w:val="480" w:hRule="atLeast"/>
        </w:trPr>
        <w:tc>
          <w:tcPr>
            <w:tcW w:w="1270" w:type="dxa"/>
          </w:tcPr>
          <w:p>
            <w:pPr>
              <w:pStyle w:val="TableParagraph"/>
              <w:ind w:left="200"/>
              <w:rPr>
                <w:sz w:val="20"/>
              </w:rPr>
            </w:pPr>
            <w:r>
              <w:rPr>
                <w:sz w:val="20"/>
              </w:rPr>
              <w:t>GPLS 750</w:t>
            </w:r>
          </w:p>
        </w:tc>
        <w:tc>
          <w:tcPr>
            <w:tcW w:w="2748" w:type="dxa"/>
          </w:tcPr>
          <w:p>
            <w:pPr>
              <w:pStyle w:val="TableParagraph"/>
              <w:ind w:left="163"/>
              <w:rPr>
                <w:sz w:val="20"/>
              </w:rPr>
            </w:pPr>
            <w:r>
              <w:rPr>
                <w:sz w:val="20"/>
              </w:rPr>
              <w:t>TOPICS IN MOLECULAR</w:t>
            </w:r>
          </w:p>
          <w:p>
            <w:pPr>
              <w:pStyle w:val="TableParagraph"/>
              <w:spacing w:line="219" w:lineRule="exact" w:before="10"/>
              <w:ind w:left="163"/>
              <w:rPr>
                <w:sz w:val="20"/>
              </w:rPr>
            </w:pPr>
            <w:r>
              <w:rPr>
                <w:sz w:val="20"/>
              </w:rPr>
              <w:t>MEDICINE</w:t>
            </w:r>
          </w:p>
        </w:tc>
        <w:tc>
          <w:tcPr>
            <w:tcW w:w="937" w:type="dxa"/>
          </w:tcPr>
          <w:p>
            <w:pPr>
              <w:pStyle w:val="TableParagraph"/>
              <w:ind w:right="202"/>
              <w:jc w:val="right"/>
              <w:rPr>
                <w:sz w:val="20"/>
              </w:rPr>
            </w:pPr>
            <w:r>
              <w:rPr>
                <w:w w:val="100"/>
                <w:sz w:val="20"/>
              </w:rPr>
              <w:t>2</w:t>
            </w:r>
          </w:p>
        </w:tc>
      </w:tr>
      <w:tr>
        <w:trPr>
          <w:trHeight w:val="240" w:hRule="atLeast"/>
        </w:trPr>
        <w:tc>
          <w:tcPr>
            <w:tcW w:w="1270" w:type="dxa"/>
          </w:tcPr>
          <w:p>
            <w:pPr>
              <w:pStyle w:val="TableParagraph"/>
              <w:spacing w:line="219" w:lineRule="exact"/>
              <w:ind w:left="200"/>
              <w:rPr>
                <w:sz w:val="20"/>
              </w:rPr>
            </w:pPr>
            <w:r>
              <w:rPr>
                <w:sz w:val="20"/>
              </w:rPr>
              <w:t>HGEN 720</w:t>
            </w:r>
          </w:p>
        </w:tc>
        <w:tc>
          <w:tcPr>
            <w:tcW w:w="2748" w:type="dxa"/>
          </w:tcPr>
          <w:p>
            <w:pPr>
              <w:pStyle w:val="TableParagraph"/>
              <w:spacing w:line="219" w:lineRule="exact"/>
              <w:ind w:left="163"/>
              <w:rPr>
                <w:sz w:val="20"/>
              </w:rPr>
            </w:pPr>
            <w:r>
              <w:rPr>
                <w:sz w:val="20"/>
              </w:rPr>
              <w:t>METABOLIC GENETICS</w:t>
            </w:r>
          </w:p>
        </w:tc>
        <w:tc>
          <w:tcPr>
            <w:tcW w:w="937" w:type="dxa"/>
          </w:tcPr>
          <w:p>
            <w:pPr>
              <w:pStyle w:val="TableParagraph"/>
              <w:spacing w:line="219" w:lineRule="exact"/>
              <w:ind w:right="202"/>
              <w:jc w:val="right"/>
              <w:rPr>
                <w:sz w:val="20"/>
              </w:rPr>
            </w:pPr>
            <w:r>
              <w:rPr>
                <w:w w:val="100"/>
                <w:sz w:val="20"/>
              </w:rPr>
              <w:t>2</w:t>
            </w:r>
          </w:p>
        </w:tc>
      </w:tr>
      <w:tr>
        <w:trPr>
          <w:trHeight w:val="240" w:hRule="atLeast"/>
        </w:trPr>
        <w:tc>
          <w:tcPr>
            <w:tcW w:w="1270" w:type="dxa"/>
          </w:tcPr>
          <w:p>
            <w:pPr>
              <w:pStyle w:val="TableParagraph"/>
              <w:spacing w:line="219" w:lineRule="exact"/>
              <w:ind w:left="200"/>
              <w:rPr>
                <w:sz w:val="20"/>
              </w:rPr>
            </w:pPr>
            <w:r>
              <w:rPr>
                <w:sz w:val="20"/>
              </w:rPr>
              <w:t>HGEN 728</w:t>
            </w:r>
          </w:p>
        </w:tc>
        <w:tc>
          <w:tcPr>
            <w:tcW w:w="2748" w:type="dxa"/>
          </w:tcPr>
          <w:p>
            <w:pPr>
              <w:pStyle w:val="TableParagraph"/>
              <w:spacing w:line="219" w:lineRule="exact"/>
              <w:ind w:left="163"/>
              <w:rPr>
                <w:sz w:val="20"/>
              </w:rPr>
            </w:pPr>
            <w:r>
              <w:rPr>
                <w:sz w:val="20"/>
              </w:rPr>
              <w:t>CLINICAL GENETICS I</w:t>
            </w:r>
          </w:p>
        </w:tc>
        <w:tc>
          <w:tcPr>
            <w:tcW w:w="937" w:type="dxa"/>
          </w:tcPr>
          <w:p>
            <w:pPr>
              <w:pStyle w:val="TableParagraph"/>
              <w:spacing w:line="219" w:lineRule="exact"/>
              <w:ind w:right="197"/>
              <w:jc w:val="right"/>
              <w:rPr>
                <w:sz w:val="20"/>
              </w:rPr>
            </w:pPr>
            <w:r>
              <w:rPr>
                <w:sz w:val="20"/>
              </w:rPr>
              <w:t>2 TO 4</w:t>
            </w:r>
          </w:p>
        </w:tc>
      </w:tr>
      <w:tr>
        <w:trPr>
          <w:trHeight w:val="240" w:hRule="atLeast"/>
        </w:trPr>
        <w:tc>
          <w:tcPr>
            <w:tcW w:w="1270" w:type="dxa"/>
          </w:tcPr>
          <w:p>
            <w:pPr>
              <w:pStyle w:val="TableParagraph"/>
              <w:spacing w:line="219" w:lineRule="exact"/>
              <w:ind w:left="200"/>
              <w:rPr>
                <w:sz w:val="20"/>
              </w:rPr>
            </w:pPr>
            <w:r>
              <w:rPr>
                <w:sz w:val="20"/>
              </w:rPr>
              <w:t>HGEN 731</w:t>
            </w:r>
          </w:p>
        </w:tc>
        <w:tc>
          <w:tcPr>
            <w:tcW w:w="2748" w:type="dxa"/>
          </w:tcPr>
          <w:p>
            <w:pPr>
              <w:pStyle w:val="TableParagraph"/>
              <w:spacing w:line="219" w:lineRule="exact"/>
              <w:ind w:left="163"/>
              <w:rPr>
                <w:sz w:val="20"/>
              </w:rPr>
            </w:pPr>
            <w:r>
              <w:rPr>
                <w:sz w:val="20"/>
              </w:rPr>
              <w:t>CLINICAL GENETICS II</w:t>
            </w:r>
          </w:p>
        </w:tc>
        <w:tc>
          <w:tcPr>
            <w:tcW w:w="937" w:type="dxa"/>
          </w:tcPr>
          <w:p>
            <w:pPr>
              <w:pStyle w:val="TableParagraph"/>
              <w:spacing w:line="219" w:lineRule="exact"/>
              <w:ind w:right="202"/>
              <w:jc w:val="right"/>
              <w:rPr>
                <w:sz w:val="20"/>
              </w:rPr>
            </w:pPr>
            <w:r>
              <w:rPr>
                <w:w w:val="100"/>
                <w:sz w:val="20"/>
              </w:rPr>
              <w:t>2</w:t>
            </w:r>
          </w:p>
        </w:tc>
      </w:tr>
      <w:tr>
        <w:trPr>
          <w:trHeight w:val="480" w:hRule="atLeast"/>
        </w:trPr>
        <w:tc>
          <w:tcPr>
            <w:tcW w:w="1270" w:type="dxa"/>
          </w:tcPr>
          <w:p>
            <w:pPr>
              <w:pStyle w:val="TableParagraph"/>
              <w:ind w:left="200"/>
              <w:rPr>
                <w:sz w:val="20"/>
              </w:rPr>
            </w:pPr>
            <w:r>
              <w:rPr>
                <w:sz w:val="20"/>
              </w:rPr>
              <w:t>HGEN 750</w:t>
            </w:r>
          </w:p>
        </w:tc>
        <w:tc>
          <w:tcPr>
            <w:tcW w:w="2748" w:type="dxa"/>
          </w:tcPr>
          <w:p>
            <w:pPr>
              <w:pStyle w:val="TableParagraph"/>
              <w:ind w:left="163"/>
              <w:rPr>
                <w:sz w:val="20"/>
              </w:rPr>
            </w:pPr>
            <w:r>
              <w:rPr>
                <w:sz w:val="20"/>
              </w:rPr>
              <w:t>ADVANCED TOPICS IN</w:t>
            </w:r>
          </w:p>
          <w:p>
            <w:pPr>
              <w:pStyle w:val="TableParagraph"/>
              <w:spacing w:line="219" w:lineRule="exact" w:before="10"/>
              <w:ind w:left="163"/>
              <w:rPr>
                <w:sz w:val="20"/>
              </w:rPr>
            </w:pPr>
            <w:r>
              <w:rPr>
                <w:sz w:val="20"/>
              </w:rPr>
              <w:t>GENETIC COUNSELING</w:t>
            </w:r>
          </w:p>
        </w:tc>
        <w:tc>
          <w:tcPr>
            <w:tcW w:w="937" w:type="dxa"/>
          </w:tcPr>
          <w:p>
            <w:pPr>
              <w:pStyle w:val="TableParagraph"/>
              <w:ind w:right="202"/>
              <w:jc w:val="right"/>
              <w:rPr>
                <w:sz w:val="20"/>
              </w:rPr>
            </w:pPr>
            <w:r>
              <w:rPr>
                <w:w w:val="100"/>
                <w:sz w:val="20"/>
              </w:rPr>
              <w:t>2</w:t>
            </w:r>
          </w:p>
        </w:tc>
      </w:tr>
      <w:tr>
        <w:trPr>
          <w:trHeight w:val="480" w:hRule="atLeast"/>
        </w:trPr>
        <w:tc>
          <w:tcPr>
            <w:tcW w:w="1270" w:type="dxa"/>
          </w:tcPr>
          <w:p>
            <w:pPr>
              <w:pStyle w:val="TableParagraph"/>
              <w:ind w:left="200"/>
              <w:rPr>
                <w:sz w:val="20"/>
              </w:rPr>
            </w:pPr>
            <w:r>
              <w:rPr>
                <w:sz w:val="20"/>
              </w:rPr>
              <w:t>HGEN 760</w:t>
            </w:r>
          </w:p>
        </w:tc>
        <w:tc>
          <w:tcPr>
            <w:tcW w:w="2748" w:type="dxa"/>
          </w:tcPr>
          <w:p>
            <w:pPr>
              <w:pStyle w:val="TableParagraph"/>
              <w:ind w:left="163"/>
              <w:rPr>
                <w:sz w:val="20"/>
              </w:rPr>
            </w:pPr>
            <w:r>
              <w:rPr>
                <w:sz w:val="20"/>
              </w:rPr>
              <w:t>CLINICAL CANCER</w:t>
            </w:r>
          </w:p>
          <w:p>
            <w:pPr>
              <w:pStyle w:val="TableParagraph"/>
              <w:spacing w:line="219" w:lineRule="exact" w:before="10"/>
              <w:ind w:left="163"/>
              <w:rPr>
                <w:sz w:val="20"/>
              </w:rPr>
            </w:pPr>
            <w:r>
              <w:rPr>
                <w:sz w:val="20"/>
              </w:rPr>
              <w:t>GENETICS</w:t>
            </w:r>
          </w:p>
        </w:tc>
        <w:tc>
          <w:tcPr>
            <w:tcW w:w="937" w:type="dxa"/>
          </w:tcPr>
          <w:p>
            <w:pPr>
              <w:pStyle w:val="TableParagraph"/>
              <w:ind w:right="202"/>
              <w:jc w:val="right"/>
              <w:rPr>
                <w:sz w:val="20"/>
              </w:rPr>
            </w:pPr>
            <w:r>
              <w:rPr>
                <w:w w:val="100"/>
                <w:sz w:val="20"/>
              </w:rPr>
              <w:t>2</w:t>
            </w:r>
          </w:p>
        </w:tc>
      </w:tr>
      <w:tr>
        <w:trPr>
          <w:trHeight w:val="480" w:hRule="atLeast"/>
        </w:trPr>
        <w:tc>
          <w:tcPr>
            <w:tcW w:w="1270" w:type="dxa"/>
          </w:tcPr>
          <w:p>
            <w:pPr>
              <w:pStyle w:val="TableParagraph"/>
              <w:ind w:left="200"/>
              <w:rPr>
                <w:sz w:val="20"/>
              </w:rPr>
            </w:pPr>
            <w:r>
              <w:rPr>
                <w:sz w:val="20"/>
              </w:rPr>
              <w:t>PREV 780</w:t>
            </w:r>
          </w:p>
        </w:tc>
        <w:tc>
          <w:tcPr>
            <w:tcW w:w="2748" w:type="dxa"/>
          </w:tcPr>
          <w:p>
            <w:pPr>
              <w:pStyle w:val="TableParagraph"/>
              <w:ind w:left="163"/>
              <w:rPr>
                <w:sz w:val="20"/>
              </w:rPr>
            </w:pPr>
            <w:r>
              <w:rPr>
                <w:sz w:val="20"/>
              </w:rPr>
              <w:t>MOLECULAR</w:t>
            </w:r>
          </w:p>
          <w:p>
            <w:pPr>
              <w:pStyle w:val="TableParagraph"/>
              <w:spacing w:line="219" w:lineRule="exact" w:before="10"/>
              <w:ind w:left="163"/>
              <w:rPr>
                <w:sz w:val="20"/>
              </w:rPr>
            </w:pPr>
            <w:r>
              <w:rPr>
                <w:sz w:val="20"/>
              </w:rPr>
              <w:t>EPIDEMIOLOGY</w:t>
            </w:r>
          </w:p>
        </w:tc>
        <w:tc>
          <w:tcPr>
            <w:tcW w:w="937" w:type="dxa"/>
          </w:tcPr>
          <w:p>
            <w:pPr>
              <w:pStyle w:val="TableParagraph"/>
              <w:ind w:right="202"/>
              <w:jc w:val="right"/>
              <w:rPr>
                <w:sz w:val="20"/>
              </w:rPr>
            </w:pPr>
            <w:r>
              <w:rPr>
                <w:w w:val="100"/>
                <w:sz w:val="20"/>
              </w:rPr>
              <w:t>3</w:t>
            </w:r>
          </w:p>
        </w:tc>
      </w:tr>
      <w:tr>
        <w:trPr>
          <w:trHeight w:val="240" w:hRule="atLeast"/>
        </w:trPr>
        <w:tc>
          <w:tcPr>
            <w:tcW w:w="1270" w:type="dxa"/>
          </w:tcPr>
          <w:p>
            <w:pPr>
              <w:pStyle w:val="TableParagraph"/>
              <w:spacing w:line="219" w:lineRule="exact"/>
              <w:ind w:left="200"/>
              <w:rPr>
                <w:sz w:val="20"/>
              </w:rPr>
            </w:pPr>
            <w:r>
              <w:rPr>
                <w:sz w:val="20"/>
              </w:rPr>
              <w:t>CIPP 907</w:t>
            </w:r>
          </w:p>
        </w:tc>
        <w:tc>
          <w:tcPr>
            <w:tcW w:w="2748" w:type="dxa"/>
          </w:tcPr>
          <w:p>
            <w:pPr>
              <w:pStyle w:val="TableParagraph"/>
              <w:spacing w:line="219" w:lineRule="exact"/>
              <w:ind w:left="163"/>
              <w:rPr>
                <w:sz w:val="20"/>
              </w:rPr>
            </w:pPr>
            <w:r>
              <w:rPr>
                <w:sz w:val="20"/>
              </w:rPr>
              <w:t>RESEARCH ETHICS</w:t>
            </w:r>
          </w:p>
        </w:tc>
        <w:tc>
          <w:tcPr>
            <w:tcW w:w="937" w:type="dxa"/>
          </w:tcPr>
          <w:p>
            <w:pPr>
              <w:pStyle w:val="TableParagraph"/>
              <w:spacing w:line="219" w:lineRule="exact"/>
              <w:ind w:right="202"/>
              <w:jc w:val="right"/>
              <w:rPr>
                <w:sz w:val="20"/>
              </w:rPr>
            </w:pPr>
            <w:r>
              <w:rPr>
                <w:w w:val="100"/>
                <w:sz w:val="20"/>
              </w:rPr>
              <w:t>1</w:t>
            </w:r>
          </w:p>
        </w:tc>
      </w:tr>
      <w:tr>
        <w:trPr>
          <w:trHeight w:val="471" w:hRule="atLeast"/>
        </w:trPr>
        <w:tc>
          <w:tcPr>
            <w:tcW w:w="1270" w:type="dxa"/>
          </w:tcPr>
          <w:p>
            <w:pPr>
              <w:pStyle w:val="TableParagraph"/>
              <w:ind w:left="200"/>
              <w:rPr>
                <w:sz w:val="20"/>
              </w:rPr>
            </w:pPr>
            <w:r>
              <w:rPr>
                <w:sz w:val="20"/>
              </w:rPr>
              <w:t>PREV 799</w:t>
            </w:r>
          </w:p>
        </w:tc>
        <w:tc>
          <w:tcPr>
            <w:tcW w:w="2748" w:type="dxa"/>
          </w:tcPr>
          <w:p>
            <w:pPr>
              <w:pStyle w:val="TableParagraph"/>
              <w:ind w:left="163"/>
              <w:rPr>
                <w:sz w:val="20"/>
              </w:rPr>
            </w:pPr>
            <w:r>
              <w:rPr>
                <w:sz w:val="20"/>
              </w:rPr>
              <w:t>MASTER'S THESIS</w:t>
            </w:r>
          </w:p>
          <w:p>
            <w:pPr>
              <w:pStyle w:val="TableParagraph"/>
              <w:spacing w:line="210" w:lineRule="exact" w:before="10"/>
              <w:ind w:left="163"/>
              <w:rPr>
                <w:sz w:val="20"/>
              </w:rPr>
            </w:pPr>
            <w:r>
              <w:rPr>
                <w:sz w:val="20"/>
              </w:rPr>
              <w:t>RESEARCH</w:t>
            </w:r>
          </w:p>
        </w:tc>
        <w:tc>
          <w:tcPr>
            <w:tcW w:w="937" w:type="dxa"/>
          </w:tcPr>
          <w:p>
            <w:pPr>
              <w:pStyle w:val="TableParagraph"/>
              <w:ind w:right="197"/>
              <w:jc w:val="right"/>
              <w:rPr>
                <w:sz w:val="20"/>
              </w:rPr>
            </w:pPr>
            <w:r>
              <w:rPr>
                <w:sz w:val="20"/>
              </w:rPr>
              <w:t>1 TO 6</w:t>
            </w:r>
          </w:p>
        </w:tc>
      </w:tr>
    </w:tbl>
    <w:p>
      <w:pPr>
        <w:spacing w:line="309" w:lineRule="auto" w:before="87"/>
        <w:ind w:left="200" w:right="1345" w:hanging="1"/>
        <w:jc w:val="left"/>
        <w:rPr>
          <w:i/>
          <w:sz w:val="20"/>
        </w:rPr>
      </w:pPr>
      <w:r>
        <w:rPr>
          <w:i/>
          <w:sz w:val="20"/>
        </w:rPr>
        <w:t>Electives as needed to meet 30-credit requirement </w:t>
      </w:r>
      <w:r>
        <w:rPr>
          <w:i/>
          <w:sz w:val="20"/>
        </w:rPr>
        <w:t>CIPP 907: or equivalent</w:t>
      </w:r>
    </w:p>
    <w:p>
      <w:pPr>
        <w:spacing w:before="6"/>
        <w:ind w:left="200" w:right="0" w:firstLine="0"/>
        <w:jc w:val="left"/>
        <w:rPr>
          <w:i/>
          <w:sz w:val="20"/>
        </w:rPr>
      </w:pPr>
      <w:r>
        <w:rPr>
          <w:i/>
          <w:sz w:val="20"/>
        </w:rPr>
        <w:t>PREV 799: 6 credits minimum</w:t>
      </w:r>
    </w:p>
    <w:p>
      <w:pPr>
        <w:pStyle w:val="BodyText"/>
        <w:spacing w:line="249" w:lineRule="auto" w:before="188"/>
        <w:ind w:right="905"/>
      </w:pPr>
      <w:r>
        <w:rPr/>
        <w:t>Details are given in the Course Descriptions part of this catalog.</w:t>
      </w:r>
    </w:p>
    <w:p>
      <w:pPr>
        <w:spacing w:after="0" w:line="249" w:lineRule="auto"/>
        <w:sectPr>
          <w:type w:val="continuous"/>
          <w:pgSz w:w="12240" w:h="15840"/>
          <w:pgMar w:top="1500" w:bottom="280" w:left="880" w:right="300"/>
          <w:cols w:num="2" w:equalWidth="0">
            <w:col w:w="4983" w:space="503"/>
            <w:col w:w="5574"/>
          </w:cols>
        </w:sectPr>
      </w:pPr>
    </w:p>
    <w:p>
      <w:pPr>
        <w:pStyle w:val="Heading3"/>
      </w:pPr>
      <w:bookmarkStart w:name="Molecular Medicine" w:id="39"/>
      <w:bookmarkEnd w:id="39"/>
      <w:r>
        <w:rPr/>
      </w:r>
      <w:bookmarkStart w:name="_bookmark19" w:id="40"/>
      <w:bookmarkEnd w:id="40"/>
      <w:r>
        <w:rPr/>
      </w:r>
      <w:r>
        <w:rPr/>
        <w:t>Molecular Medicine</w:t>
      </w:r>
    </w:p>
    <w:p>
      <w:pPr>
        <w:spacing w:line="427" w:lineRule="auto" w:before="171"/>
        <w:ind w:left="200" w:right="422" w:firstLine="0"/>
        <w:jc w:val="left"/>
        <w:rPr>
          <w:b/>
          <w:sz w:val="20"/>
        </w:rPr>
      </w:pPr>
      <w:r>
        <w:rPr>
          <w:b/>
          <w:sz w:val="22"/>
        </w:rPr>
        <w:t>Graduate Program in Life Sciences </w:t>
      </w:r>
      <w:hyperlink r:id="rId51">
        <w:r>
          <w:rPr>
            <w:color w:val="0000FF"/>
            <w:sz w:val="20"/>
            <w:u w:val="single" w:color="0000FF"/>
          </w:rPr>
          <w:t>http://lifesciences.umaryland.edu/molecularmedicine/</w:t>
        </w:r>
      </w:hyperlink>
      <w:r>
        <w:rPr>
          <w:color w:val="0000FF"/>
          <w:sz w:val="20"/>
        </w:rPr>
        <w:t> </w:t>
      </w:r>
      <w:r>
        <w:rPr>
          <w:b/>
          <w:sz w:val="20"/>
        </w:rPr>
        <w:t>Degrees Offered</w:t>
      </w:r>
    </w:p>
    <w:p>
      <w:pPr>
        <w:pStyle w:val="BodyText"/>
        <w:spacing w:before="12"/>
      </w:pPr>
      <w:r>
        <w:rPr/>
        <w:t>PhD, PhD/MD, PhD/DDS</w:t>
      </w:r>
    </w:p>
    <w:p>
      <w:pPr>
        <w:pStyle w:val="Heading6"/>
        <w:spacing w:before="188"/>
      </w:pPr>
      <w:r>
        <w:rPr/>
        <w:t>PhD Program Description</w:t>
      </w:r>
    </w:p>
    <w:p>
      <w:pPr>
        <w:pStyle w:val="BodyText"/>
        <w:spacing w:line="249" w:lineRule="auto" w:before="192"/>
        <w:ind w:left="199" w:right="18"/>
      </w:pPr>
      <w:r>
        <w:rPr/>
        <w:t>Molecular Medicine combines traditional areas of biomedical study – including cancer biology, molecular genetics, genomics and bioinformatics, molecular and cell biology, pathology, toxicology, pharmacology, and physiology – into a unique interdisciplinary research and graduate training program. Specifically designed to develop scientists for the postgenomic era, students gain knowledge, research skills, and familiarity with the state- of-the-art biomedical tools andmethodologies needed to solve important and timely questions in biomedical science. The program is organized into four tracks: Molecular and Cell Physiology; Cancer Biology; Genome Biology; Toxicology and Pharmacology. The more than 170 faculty in the Molecular Medicine graduate program are internationally recognized for their research in genomics and computational biology, cancer, vascular and renal cell biology, evolutionary genomics and genetics, membrane biology, muscle biology, neuroscience and neurotoxicology, molecular and environmental toxicology, pharmacology, reproduction, and cardiovascular disease.</w:t>
      </w:r>
    </w:p>
    <w:p>
      <w:pPr>
        <w:pStyle w:val="Heading6"/>
        <w:spacing w:before="192"/>
        <w:ind w:left="199"/>
      </w:pPr>
      <w:r>
        <w:rPr/>
        <w:t>PhD Program Admissions</w:t>
      </w:r>
    </w:p>
    <w:p>
      <w:pPr>
        <w:pStyle w:val="BodyText"/>
        <w:spacing w:line="249" w:lineRule="auto" w:before="193"/>
        <w:ind w:left="199" w:right="45"/>
      </w:pPr>
      <w:r>
        <w:rPr/>
        <w:t>In addition to meeting the Graduate School’s minimum admission requirements, applicants should have a bachelor’s degree with training in an appropriate major field. The program is particularly interested in applicants with strong undergraduate training in the biological sciences, chemistry, biochemistry, mathematics, and general physics, as well as research experience in the biomedical sciences. Successful applicants have strong letters of recommendation, Graduation Record Examinations scores above the 50th percentile, and high cumulative grade-point averages. Additionally, all international students must meet the Graduate School’s requirements for scores from the Test of English as a Foreign Language or the International English Language Testing System exam. Applications should be received no later than Jan. 10 for fall admission. Applications received by Dec. 1 are reviewed for early decision. Admission to the program is highly competitive and acceptances are made as qualified candidates are identified. Students</w:t>
      </w:r>
    </w:p>
    <w:p>
      <w:pPr>
        <w:pStyle w:val="BodyText"/>
        <w:spacing w:line="249" w:lineRule="auto" w:before="96"/>
        <w:ind w:right="1083"/>
      </w:pPr>
      <w:r>
        <w:rPr/>
        <w:br w:type="column"/>
      </w:r>
      <w:r>
        <w:rPr/>
        <w:t>accepted into the PhD program receive graduate fellowships or assistantships that consist of an annual stipend, tuition remission, and health insurance.</w:t>
      </w:r>
    </w:p>
    <w:p>
      <w:pPr>
        <w:pStyle w:val="Heading6"/>
        <w:spacing w:before="180"/>
      </w:pPr>
      <w:r>
        <w:rPr/>
        <w:t>PhD Degree Requirements</w:t>
      </w:r>
    </w:p>
    <w:p>
      <w:pPr>
        <w:pStyle w:val="BodyText"/>
        <w:spacing w:line="249" w:lineRule="auto" w:before="192"/>
        <w:ind w:right="672"/>
      </w:pPr>
      <w:r>
        <w:rPr/>
        <w:t>In the fall of the first year, students participate in an innovative core course: Mechanisms in Biomedical Sciences: From Genes to Disease (GPLS 601). Students then complete track- specific coursework and three laboratory rotations, tailored to meet each student’s research interests and career goals. A professional development skills course is offered in the second year to address areas such as public speaking and presentations, critical evaluation of scientific data, grant writing, and development of teaching skills. During the second year of study, students prepare for a qualifying examination in which they are tested on their fundamental understanding of topics in molecular medicine and their ability to design a coherent series of experiments addressing an original research question, usually related to the student’s research interests. The qualifying exam consists of a written grant proposal and an oral defense. After successful completion of the exam, students advance to candidacy for the PhD degree. As a PhD candidate, the student’s primary focus is their dissertation research, with participation in advanced elective courses as recommended by the mentor and research track leader and continued attendance and participation in journal clubs and seminars.</w:t>
      </w:r>
    </w:p>
    <w:p>
      <w:pPr>
        <w:pStyle w:val="Heading6"/>
        <w:spacing w:before="194"/>
      </w:pPr>
      <w:r>
        <w:rPr/>
        <w:t>Molecular Medicine Track Descriptions</w:t>
      </w:r>
    </w:p>
    <w:p>
      <w:pPr>
        <w:pStyle w:val="BodyText"/>
        <w:spacing w:before="0"/>
        <w:ind w:left="0"/>
        <w:rPr>
          <w:b/>
          <w:sz w:val="22"/>
        </w:rPr>
      </w:pPr>
    </w:p>
    <w:p>
      <w:pPr>
        <w:pStyle w:val="BodyText"/>
        <w:spacing w:before="1"/>
        <w:ind w:left="0"/>
        <w:rPr>
          <w:b/>
          <w:sz w:val="31"/>
        </w:rPr>
      </w:pPr>
    </w:p>
    <w:p>
      <w:pPr>
        <w:pStyle w:val="Heading6"/>
        <w:spacing w:line="249" w:lineRule="auto" w:before="0"/>
        <w:ind w:right="599"/>
      </w:pPr>
      <w:r>
        <w:rPr/>
        <w:t>Study and Research Focus Areas — Molecular and Cell Physiology</w:t>
      </w:r>
    </w:p>
    <w:p>
      <w:pPr>
        <w:pStyle w:val="ListParagraph"/>
        <w:numPr>
          <w:ilvl w:val="0"/>
          <w:numId w:val="11"/>
        </w:numPr>
        <w:tabs>
          <w:tab w:pos="402" w:val="left" w:leader="none"/>
        </w:tabs>
        <w:spacing w:line="249" w:lineRule="auto" w:before="184" w:after="0"/>
        <w:ind w:left="200" w:right="605" w:firstLine="0"/>
        <w:jc w:val="left"/>
        <w:rPr>
          <w:sz w:val="20"/>
        </w:rPr>
      </w:pPr>
      <w:r>
        <w:rPr>
          <w:b/>
          <w:sz w:val="20"/>
        </w:rPr>
        <w:t>Molecular and Cell Physiology: </w:t>
      </w:r>
      <w:r>
        <w:rPr>
          <w:sz w:val="20"/>
        </w:rPr>
        <w:t>Research in this track seeks to uncover the mechanisms and </w:t>
      </w:r>
      <w:r>
        <w:rPr>
          <w:spacing w:val="-3"/>
          <w:sz w:val="20"/>
        </w:rPr>
        <w:t>develop </w:t>
      </w:r>
      <w:r>
        <w:rPr>
          <w:sz w:val="20"/>
        </w:rPr>
        <w:t>novel therapies </w:t>
      </w:r>
      <w:r>
        <w:rPr>
          <w:spacing w:val="-4"/>
          <w:sz w:val="20"/>
        </w:rPr>
        <w:t>for </w:t>
      </w:r>
      <w:r>
        <w:rPr>
          <w:sz w:val="20"/>
        </w:rPr>
        <w:t>human diseases, including Alzheimer’s, cancer, cystic fibrosis, diabetes, inflammatory bowel disease, cardiovascular disease, kidney disease, infertility, osteoporosis, muscular dystrophy, and brain </w:t>
      </w:r>
      <w:r>
        <w:rPr>
          <w:spacing w:val="-3"/>
          <w:sz w:val="20"/>
        </w:rPr>
        <w:t>injury. </w:t>
      </w:r>
      <w:r>
        <w:rPr>
          <w:sz w:val="20"/>
        </w:rPr>
        <w:t>Faculty interests </w:t>
      </w:r>
      <w:r>
        <w:rPr>
          <w:spacing w:val="-3"/>
          <w:sz w:val="20"/>
        </w:rPr>
        <w:t>focus on systems </w:t>
      </w:r>
      <w:r>
        <w:rPr>
          <w:sz w:val="20"/>
        </w:rPr>
        <w:t>integration </w:t>
      </w:r>
      <w:r>
        <w:rPr>
          <w:spacing w:val="-3"/>
          <w:sz w:val="20"/>
        </w:rPr>
        <w:t>of </w:t>
      </w:r>
      <w:r>
        <w:rPr>
          <w:sz w:val="20"/>
        </w:rPr>
        <w:t>cells and tissues in physiological and pathophysiological states. The diversity of research interests and the availability of sophisticated imaging, electrophysiology, molecular, genomic, and structural analyses allow students to gain expertise in cutting-edge techniques. The track is highly integrative, and collaborations </w:t>
      </w:r>
      <w:r>
        <w:rPr>
          <w:spacing w:val="-3"/>
          <w:sz w:val="20"/>
        </w:rPr>
        <w:t>occur with </w:t>
      </w:r>
      <w:r>
        <w:rPr>
          <w:sz w:val="20"/>
        </w:rPr>
        <w:t>other basic science and clinical faculty at the University of Maryland, many of whom are associated with organized research centers, as well as </w:t>
      </w:r>
      <w:r>
        <w:rPr>
          <w:spacing w:val="-3"/>
          <w:sz w:val="20"/>
        </w:rPr>
        <w:t>with other </w:t>
      </w:r>
      <w:r>
        <w:rPr>
          <w:sz w:val="20"/>
        </w:rPr>
        <w:t>institutions across the United States and around the world. The goal </w:t>
      </w:r>
      <w:r>
        <w:rPr>
          <w:spacing w:val="-3"/>
          <w:sz w:val="20"/>
        </w:rPr>
        <w:t>of </w:t>
      </w:r>
      <w:r>
        <w:rPr>
          <w:sz w:val="20"/>
        </w:rPr>
        <w:t>the Molecular and</w:t>
      </w:r>
      <w:r>
        <w:rPr>
          <w:spacing w:val="-9"/>
          <w:sz w:val="20"/>
        </w:rPr>
        <w:t> </w:t>
      </w:r>
      <w:r>
        <w:rPr>
          <w:sz w:val="20"/>
        </w:rPr>
        <w:t>Cell</w:t>
      </w:r>
    </w:p>
    <w:p>
      <w:pPr>
        <w:spacing w:after="0" w:line="249" w:lineRule="auto"/>
        <w:jc w:val="left"/>
        <w:rPr>
          <w:sz w:val="20"/>
        </w:rPr>
        <w:sectPr>
          <w:pgSz w:w="12240" w:h="15840"/>
          <w:pgMar w:header="746" w:footer="0" w:top="1320" w:bottom="280" w:left="880" w:right="300"/>
          <w:cols w:num="2" w:equalWidth="0">
            <w:col w:w="4941" w:space="544"/>
            <w:col w:w="5575"/>
          </w:cols>
        </w:sectPr>
      </w:pPr>
    </w:p>
    <w:p>
      <w:pPr>
        <w:pStyle w:val="BodyText"/>
        <w:spacing w:line="249" w:lineRule="auto" w:before="100"/>
        <w:ind w:right="59"/>
      </w:pPr>
      <w:r>
        <w:rPr/>
        <w:t>Physiology track is to provide an outstanding intellectual and physical environment that is tailored to each student’s professional goals.</w:t>
      </w:r>
    </w:p>
    <w:p>
      <w:pPr>
        <w:pStyle w:val="ListParagraph"/>
        <w:numPr>
          <w:ilvl w:val="1"/>
          <w:numId w:val="11"/>
        </w:numPr>
        <w:tabs>
          <w:tab w:pos="633" w:val="left" w:leader="none"/>
        </w:tabs>
        <w:spacing w:line="240" w:lineRule="auto" w:before="180" w:after="0"/>
        <w:ind w:left="632" w:right="0" w:hanging="216"/>
        <w:jc w:val="left"/>
        <w:rPr>
          <w:sz w:val="20"/>
        </w:rPr>
      </w:pPr>
      <w:r>
        <w:rPr>
          <w:sz w:val="20"/>
        </w:rPr>
        <w:t>Cardiac and </w:t>
      </w:r>
      <w:r>
        <w:rPr>
          <w:spacing w:val="-3"/>
          <w:sz w:val="20"/>
        </w:rPr>
        <w:t>vascular</w:t>
      </w:r>
      <w:r>
        <w:rPr>
          <w:spacing w:val="3"/>
          <w:sz w:val="20"/>
        </w:rPr>
        <w:t> </w:t>
      </w:r>
      <w:r>
        <w:rPr>
          <w:sz w:val="20"/>
        </w:rPr>
        <w:t>biology</w:t>
      </w:r>
    </w:p>
    <w:p>
      <w:pPr>
        <w:pStyle w:val="ListParagraph"/>
        <w:numPr>
          <w:ilvl w:val="1"/>
          <w:numId w:val="11"/>
        </w:numPr>
        <w:tabs>
          <w:tab w:pos="632" w:val="left" w:leader="none"/>
        </w:tabs>
        <w:spacing w:line="240" w:lineRule="auto" w:before="192" w:after="0"/>
        <w:ind w:left="631" w:right="0" w:hanging="216"/>
        <w:jc w:val="left"/>
        <w:rPr>
          <w:sz w:val="20"/>
        </w:rPr>
      </w:pPr>
      <w:r>
        <w:rPr>
          <w:sz w:val="20"/>
        </w:rPr>
        <w:t>Cellular</w:t>
      </w:r>
      <w:r>
        <w:rPr>
          <w:spacing w:val="1"/>
          <w:sz w:val="20"/>
        </w:rPr>
        <w:t> </w:t>
      </w:r>
      <w:r>
        <w:rPr>
          <w:sz w:val="20"/>
        </w:rPr>
        <w:t>imaging</w:t>
      </w:r>
    </w:p>
    <w:p>
      <w:pPr>
        <w:pStyle w:val="ListParagraph"/>
        <w:numPr>
          <w:ilvl w:val="1"/>
          <w:numId w:val="11"/>
        </w:numPr>
        <w:tabs>
          <w:tab w:pos="632" w:val="left" w:leader="none"/>
        </w:tabs>
        <w:spacing w:line="240" w:lineRule="auto" w:before="187" w:after="0"/>
        <w:ind w:left="631" w:right="0" w:hanging="216"/>
        <w:jc w:val="left"/>
        <w:rPr>
          <w:sz w:val="20"/>
        </w:rPr>
      </w:pPr>
      <w:r>
        <w:rPr>
          <w:sz w:val="20"/>
        </w:rPr>
        <w:t>Developmental</w:t>
      </w:r>
      <w:r>
        <w:rPr>
          <w:spacing w:val="3"/>
          <w:sz w:val="20"/>
        </w:rPr>
        <w:t> </w:t>
      </w:r>
      <w:r>
        <w:rPr>
          <w:sz w:val="20"/>
        </w:rPr>
        <w:t>biology</w:t>
      </w:r>
    </w:p>
    <w:p>
      <w:pPr>
        <w:pStyle w:val="ListParagraph"/>
        <w:numPr>
          <w:ilvl w:val="1"/>
          <w:numId w:val="11"/>
        </w:numPr>
        <w:tabs>
          <w:tab w:pos="632" w:val="left" w:leader="none"/>
        </w:tabs>
        <w:spacing w:line="240" w:lineRule="auto" w:before="193" w:after="0"/>
        <w:ind w:left="631" w:right="0" w:hanging="216"/>
        <w:jc w:val="left"/>
        <w:rPr>
          <w:sz w:val="20"/>
        </w:rPr>
      </w:pPr>
      <w:r>
        <w:rPr>
          <w:sz w:val="20"/>
        </w:rPr>
        <w:t>Metabolism and endocrinology</w:t>
      </w:r>
    </w:p>
    <w:p>
      <w:pPr>
        <w:pStyle w:val="ListParagraph"/>
        <w:numPr>
          <w:ilvl w:val="1"/>
          <w:numId w:val="11"/>
        </w:numPr>
        <w:tabs>
          <w:tab w:pos="632" w:val="left" w:leader="none"/>
        </w:tabs>
        <w:spacing w:line="240" w:lineRule="auto" w:before="187" w:after="0"/>
        <w:ind w:left="631" w:right="0" w:hanging="216"/>
        <w:jc w:val="left"/>
        <w:rPr>
          <w:sz w:val="20"/>
        </w:rPr>
      </w:pPr>
      <w:r>
        <w:rPr>
          <w:sz w:val="20"/>
        </w:rPr>
        <w:t>Mucosal</w:t>
      </w:r>
      <w:r>
        <w:rPr>
          <w:spacing w:val="3"/>
          <w:sz w:val="20"/>
        </w:rPr>
        <w:t> </w:t>
      </w:r>
      <w:r>
        <w:rPr>
          <w:sz w:val="20"/>
        </w:rPr>
        <w:t>biology</w:t>
      </w:r>
    </w:p>
    <w:p>
      <w:pPr>
        <w:pStyle w:val="ListParagraph"/>
        <w:numPr>
          <w:ilvl w:val="1"/>
          <w:numId w:val="11"/>
        </w:numPr>
        <w:tabs>
          <w:tab w:pos="632" w:val="left" w:leader="none"/>
        </w:tabs>
        <w:spacing w:line="240" w:lineRule="auto" w:before="193" w:after="0"/>
        <w:ind w:left="631" w:right="0" w:hanging="216"/>
        <w:jc w:val="left"/>
        <w:rPr>
          <w:sz w:val="20"/>
        </w:rPr>
      </w:pPr>
      <w:r>
        <w:rPr>
          <w:sz w:val="20"/>
        </w:rPr>
        <w:t>Stem cell</w:t>
      </w:r>
      <w:r>
        <w:rPr>
          <w:spacing w:val="7"/>
          <w:sz w:val="20"/>
        </w:rPr>
        <w:t> </w:t>
      </w:r>
      <w:r>
        <w:rPr>
          <w:sz w:val="20"/>
        </w:rPr>
        <w:t>biology</w:t>
      </w:r>
    </w:p>
    <w:p>
      <w:pPr>
        <w:pStyle w:val="ListParagraph"/>
        <w:numPr>
          <w:ilvl w:val="1"/>
          <w:numId w:val="11"/>
        </w:numPr>
        <w:tabs>
          <w:tab w:pos="632" w:val="left" w:leader="none"/>
        </w:tabs>
        <w:spacing w:line="240" w:lineRule="auto" w:before="187" w:after="0"/>
        <w:ind w:left="631" w:right="0" w:hanging="216"/>
        <w:jc w:val="left"/>
        <w:rPr>
          <w:sz w:val="20"/>
        </w:rPr>
      </w:pPr>
      <w:r>
        <w:rPr>
          <w:sz w:val="20"/>
        </w:rPr>
        <w:t>Protein and vesicle</w:t>
      </w:r>
      <w:r>
        <w:rPr>
          <w:spacing w:val="-2"/>
          <w:sz w:val="20"/>
        </w:rPr>
        <w:t> </w:t>
      </w:r>
      <w:r>
        <w:rPr>
          <w:sz w:val="20"/>
        </w:rPr>
        <w:t>trafficking</w:t>
      </w:r>
    </w:p>
    <w:p>
      <w:pPr>
        <w:pStyle w:val="ListParagraph"/>
        <w:numPr>
          <w:ilvl w:val="1"/>
          <w:numId w:val="11"/>
        </w:numPr>
        <w:tabs>
          <w:tab w:pos="632" w:val="left" w:leader="none"/>
        </w:tabs>
        <w:spacing w:line="240" w:lineRule="auto" w:before="193" w:after="0"/>
        <w:ind w:left="631" w:right="0" w:hanging="216"/>
        <w:jc w:val="left"/>
        <w:rPr>
          <w:sz w:val="20"/>
        </w:rPr>
      </w:pPr>
      <w:r>
        <w:rPr>
          <w:sz w:val="20"/>
        </w:rPr>
        <w:t>Cytoskeleton</w:t>
      </w:r>
    </w:p>
    <w:p>
      <w:pPr>
        <w:pStyle w:val="ListParagraph"/>
        <w:numPr>
          <w:ilvl w:val="1"/>
          <w:numId w:val="11"/>
        </w:numPr>
        <w:tabs>
          <w:tab w:pos="632" w:val="left" w:leader="none"/>
        </w:tabs>
        <w:spacing w:line="240" w:lineRule="auto" w:before="187" w:after="0"/>
        <w:ind w:left="631" w:right="0" w:hanging="216"/>
        <w:jc w:val="left"/>
        <w:rPr>
          <w:sz w:val="20"/>
        </w:rPr>
      </w:pPr>
      <w:r>
        <w:rPr>
          <w:sz w:val="20"/>
        </w:rPr>
        <w:t>Protein structure and</w:t>
      </w:r>
      <w:r>
        <w:rPr>
          <w:spacing w:val="-2"/>
          <w:sz w:val="20"/>
        </w:rPr>
        <w:t> </w:t>
      </w:r>
      <w:r>
        <w:rPr>
          <w:sz w:val="20"/>
        </w:rPr>
        <w:t>interactions</w:t>
      </w:r>
    </w:p>
    <w:p>
      <w:pPr>
        <w:pStyle w:val="ListParagraph"/>
        <w:numPr>
          <w:ilvl w:val="1"/>
          <w:numId w:val="11"/>
        </w:numPr>
        <w:tabs>
          <w:tab w:pos="632" w:val="left" w:leader="none"/>
        </w:tabs>
        <w:spacing w:line="240" w:lineRule="auto" w:before="193" w:after="0"/>
        <w:ind w:left="631" w:right="0" w:hanging="216"/>
        <w:jc w:val="left"/>
        <w:rPr>
          <w:sz w:val="20"/>
        </w:rPr>
      </w:pPr>
      <w:r>
        <w:rPr>
          <w:sz w:val="20"/>
        </w:rPr>
        <w:t>Membrane</w:t>
      </w:r>
      <w:r>
        <w:rPr>
          <w:spacing w:val="-2"/>
          <w:sz w:val="20"/>
        </w:rPr>
        <w:t> </w:t>
      </w:r>
      <w:r>
        <w:rPr>
          <w:sz w:val="20"/>
        </w:rPr>
        <w:t>biology</w:t>
      </w:r>
    </w:p>
    <w:p>
      <w:pPr>
        <w:pStyle w:val="ListParagraph"/>
        <w:numPr>
          <w:ilvl w:val="1"/>
          <w:numId w:val="11"/>
        </w:numPr>
        <w:tabs>
          <w:tab w:pos="632" w:val="left" w:leader="none"/>
        </w:tabs>
        <w:spacing w:line="240" w:lineRule="auto" w:before="187" w:after="0"/>
        <w:ind w:left="631" w:right="0" w:hanging="216"/>
        <w:jc w:val="left"/>
        <w:rPr>
          <w:sz w:val="20"/>
        </w:rPr>
      </w:pPr>
      <w:r>
        <w:rPr>
          <w:sz w:val="20"/>
        </w:rPr>
        <w:t>Infectious disease</w:t>
      </w:r>
    </w:p>
    <w:p>
      <w:pPr>
        <w:pStyle w:val="ListParagraph"/>
        <w:numPr>
          <w:ilvl w:val="1"/>
          <w:numId w:val="11"/>
        </w:numPr>
        <w:tabs>
          <w:tab w:pos="631" w:val="left" w:leader="none"/>
        </w:tabs>
        <w:spacing w:line="240" w:lineRule="auto" w:before="192" w:after="0"/>
        <w:ind w:left="630" w:right="0" w:hanging="216"/>
        <w:jc w:val="left"/>
        <w:rPr>
          <w:sz w:val="20"/>
        </w:rPr>
      </w:pPr>
      <w:r>
        <w:rPr>
          <w:sz w:val="20"/>
        </w:rPr>
        <w:t>Functional</w:t>
      </w:r>
      <w:r>
        <w:rPr>
          <w:spacing w:val="-2"/>
          <w:sz w:val="20"/>
        </w:rPr>
        <w:t> </w:t>
      </w:r>
      <w:r>
        <w:rPr>
          <w:sz w:val="20"/>
        </w:rPr>
        <w:t>genomics</w:t>
      </w:r>
    </w:p>
    <w:p>
      <w:pPr>
        <w:pStyle w:val="ListParagraph"/>
        <w:numPr>
          <w:ilvl w:val="1"/>
          <w:numId w:val="11"/>
        </w:numPr>
        <w:tabs>
          <w:tab w:pos="631" w:val="left" w:leader="none"/>
        </w:tabs>
        <w:spacing w:line="240" w:lineRule="auto" w:before="188" w:after="0"/>
        <w:ind w:left="630" w:right="0" w:hanging="216"/>
        <w:jc w:val="left"/>
        <w:rPr>
          <w:sz w:val="20"/>
        </w:rPr>
      </w:pPr>
      <w:r>
        <w:rPr>
          <w:sz w:val="20"/>
        </w:rPr>
        <w:t>Receptor</w:t>
      </w:r>
      <w:r>
        <w:rPr>
          <w:spacing w:val="6"/>
          <w:sz w:val="20"/>
        </w:rPr>
        <w:t> </w:t>
      </w:r>
      <w:r>
        <w:rPr>
          <w:sz w:val="20"/>
        </w:rPr>
        <w:t>biology</w:t>
      </w:r>
    </w:p>
    <w:p>
      <w:pPr>
        <w:pStyle w:val="ListParagraph"/>
        <w:numPr>
          <w:ilvl w:val="1"/>
          <w:numId w:val="11"/>
        </w:numPr>
        <w:tabs>
          <w:tab w:pos="631" w:val="left" w:leader="none"/>
        </w:tabs>
        <w:spacing w:line="240" w:lineRule="auto" w:before="192" w:after="0"/>
        <w:ind w:left="630" w:right="0" w:hanging="216"/>
        <w:jc w:val="left"/>
        <w:rPr>
          <w:sz w:val="20"/>
        </w:rPr>
      </w:pPr>
      <w:r>
        <w:rPr>
          <w:sz w:val="20"/>
        </w:rPr>
        <w:t>Reproductive</w:t>
      </w:r>
      <w:r>
        <w:rPr>
          <w:spacing w:val="3"/>
          <w:sz w:val="20"/>
        </w:rPr>
        <w:t> </w:t>
      </w:r>
      <w:r>
        <w:rPr>
          <w:sz w:val="20"/>
        </w:rPr>
        <w:t>biology</w:t>
      </w:r>
    </w:p>
    <w:p>
      <w:pPr>
        <w:pStyle w:val="ListParagraph"/>
        <w:numPr>
          <w:ilvl w:val="1"/>
          <w:numId w:val="11"/>
        </w:numPr>
        <w:tabs>
          <w:tab w:pos="631" w:val="left" w:leader="none"/>
        </w:tabs>
        <w:spacing w:line="240" w:lineRule="auto" w:before="188" w:after="0"/>
        <w:ind w:left="630" w:right="0" w:hanging="216"/>
        <w:jc w:val="left"/>
        <w:rPr>
          <w:sz w:val="20"/>
        </w:rPr>
      </w:pPr>
      <w:r>
        <w:rPr>
          <w:sz w:val="20"/>
        </w:rPr>
        <w:t>Signal transduction mechanisms</w:t>
      </w:r>
    </w:p>
    <w:p>
      <w:pPr>
        <w:pStyle w:val="ListParagraph"/>
        <w:numPr>
          <w:ilvl w:val="1"/>
          <w:numId w:val="11"/>
        </w:numPr>
        <w:tabs>
          <w:tab w:pos="631" w:val="left" w:leader="none"/>
        </w:tabs>
        <w:spacing w:line="240" w:lineRule="auto" w:before="192" w:after="0"/>
        <w:ind w:left="630" w:right="0" w:hanging="216"/>
        <w:jc w:val="left"/>
        <w:rPr>
          <w:sz w:val="20"/>
        </w:rPr>
      </w:pPr>
      <w:r>
        <w:rPr>
          <w:sz w:val="20"/>
        </w:rPr>
        <w:t>Gene</w:t>
      </w:r>
      <w:r>
        <w:rPr>
          <w:spacing w:val="-7"/>
          <w:sz w:val="20"/>
        </w:rPr>
        <w:t> </w:t>
      </w:r>
      <w:r>
        <w:rPr>
          <w:sz w:val="20"/>
        </w:rPr>
        <w:t>regulation</w:t>
      </w:r>
    </w:p>
    <w:p>
      <w:pPr>
        <w:pStyle w:val="ListParagraph"/>
        <w:numPr>
          <w:ilvl w:val="1"/>
          <w:numId w:val="11"/>
        </w:numPr>
        <w:tabs>
          <w:tab w:pos="631" w:val="left" w:leader="none"/>
        </w:tabs>
        <w:spacing w:line="240" w:lineRule="auto" w:before="188" w:after="0"/>
        <w:ind w:left="630" w:right="0" w:hanging="216"/>
        <w:jc w:val="left"/>
        <w:rPr>
          <w:sz w:val="20"/>
        </w:rPr>
      </w:pPr>
      <w:r>
        <w:rPr>
          <w:sz w:val="20"/>
        </w:rPr>
        <w:t>Synaptic</w:t>
      </w:r>
      <w:r>
        <w:rPr>
          <w:spacing w:val="-2"/>
          <w:sz w:val="20"/>
        </w:rPr>
        <w:t> </w:t>
      </w:r>
      <w:r>
        <w:rPr>
          <w:sz w:val="20"/>
        </w:rPr>
        <w:t>transmission</w:t>
      </w:r>
    </w:p>
    <w:p>
      <w:pPr>
        <w:pStyle w:val="ListParagraph"/>
        <w:numPr>
          <w:ilvl w:val="1"/>
          <w:numId w:val="11"/>
        </w:numPr>
        <w:tabs>
          <w:tab w:pos="631" w:val="left" w:leader="none"/>
        </w:tabs>
        <w:spacing w:line="240" w:lineRule="auto" w:before="192" w:after="0"/>
        <w:ind w:left="630" w:right="0" w:hanging="216"/>
        <w:jc w:val="left"/>
        <w:rPr>
          <w:sz w:val="20"/>
        </w:rPr>
      </w:pPr>
      <w:r>
        <w:rPr>
          <w:sz w:val="20"/>
        </w:rPr>
        <w:t>Epithelial</w:t>
      </w:r>
      <w:r>
        <w:rPr>
          <w:spacing w:val="-8"/>
          <w:sz w:val="20"/>
        </w:rPr>
        <w:t> </w:t>
      </w:r>
      <w:r>
        <w:rPr>
          <w:sz w:val="20"/>
        </w:rPr>
        <w:t>biology</w:t>
      </w:r>
    </w:p>
    <w:p>
      <w:pPr>
        <w:pStyle w:val="ListParagraph"/>
        <w:numPr>
          <w:ilvl w:val="1"/>
          <w:numId w:val="11"/>
        </w:numPr>
        <w:tabs>
          <w:tab w:pos="631" w:val="left" w:leader="none"/>
        </w:tabs>
        <w:spacing w:line="240" w:lineRule="auto" w:before="188" w:after="0"/>
        <w:ind w:left="630" w:right="0" w:hanging="216"/>
        <w:jc w:val="left"/>
        <w:rPr>
          <w:sz w:val="20"/>
        </w:rPr>
      </w:pPr>
      <w:r>
        <w:rPr>
          <w:sz w:val="20"/>
        </w:rPr>
        <w:t>Radiation</w:t>
      </w:r>
      <w:r>
        <w:rPr>
          <w:spacing w:val="-6"/>
          <w:sz w:val="20"/>
        </w:rPr>
        <w:t> </w:t>
      </w:r>
      <w:r>
        <w:rPr>
          <w:sz w:val="20"/>
        </w:rPr>
        <w:t>biology</w:t>
      </w:r>
    </w:p>
    <w:p>
      <w:pPr>
        <w:pStyle w:val="ListParagraph"/>
        <w:numPr>
          <w:ilvl w:val="1"/>
          <w:numId w:val="11"/>
        </w:numPr>
        <w:tabs>
          <w:tab w:pos="631" w:val="left" w:leader="none"/>
        </w:tabs>
        <w:spacing w:line="240" w:lineRule="auto" w:before="192" w:after="0"/>
        <w:ind w:left="630" w:right="0" w:hanging="216"/>
        <w:jc w:val="left"/>
        <w:rPr>
          <w:sz w:val="20"/>
        </w:rPr>
      </w:pPr>
      <w:r>
        <w:rPr>
          <w:sz w:val="20"/>
        </w:rPr>
        <w:t>Integrative</w:t>
      </w:r>
      <w:r>
        <w:rPr>
          <w:spacing w:val="-2"/>
          <w:sz w:val="20"/>
        </w:rPr>
        <w:t> </w:t>
      </w:r>
      <w:r>
        <w:rPr>
          <w:sz w:val="20"/>
        </w:rPr>
        <w:t>physiology</w:t>
      </w:r>
    </w:p>
    <w:p>
      <w:pPr>
        <w:pStyle w:val="ListParagraph"/>
        <w:numPr>
          <w:ilvl w:val="1"/>
          <w:numId w:val="11"/>
        </w:numPr>
        <w:tabs>
          <w:tab w:pos="630" w:val="left" w:leader="none"/>
        </w:tabs>
        <w:spacing w:line="240" w:lineRule="auto" w:before="188" w:after="0"/>
        <w:ind w:left="629" w:right="0" w:hanging="216"/>
        <w:jc w:val="left"/>
        <w:rPr>
          <w:sz w:val="20"/>
        </w:rPr>
      </w:pPr>
      <w:r>
        <w:rPr>
          <w:sz w:val="20"/>
        </w:rPr>
        <w:t>Muscle</w:t>
      </w:r>
      <w:r>
        <w:rPr>
          <w:spacing w:val="-2"/>
          <w:sz w:val="20"/>
        </w:rPr>
        <w:t> </w:t>
      </w:r>
      <w:r>
        <w:rPr>
          <w:sz w:val="20"/>
        </w:rPr>
        <w:t>biology</w:t>
      </w:r>
    </w:p>
    <w:p>
      <w:pPr>
        <w:pStyle w:val="ListParagraph"/>
        <w:numPr>
          <w:ilvl w:val="1"/>
          <w:numId w:val="11"/>
        </w:numPr>
        <w:tabs>
          <w:tab w:pos="630" w:val="left" w:leader="none"/>
        </w:tabs>
        <w:spacing w:line="240" w:lineRule="auto" w:before="192" w:after="0"/>
        <w:ind w:left="629" w:right="0" w:hanging="216"/>
        <w:jc w:val="left"/>
        <w:rPr>
          <w:sz w:val="20"/>
        </w:rPr>
      </w:pPr>
      <w:r>
        <w:rPr>
          <w:sz w:val="20"/>
        </w:rPr>
        <w:t>Physiological</w:t>
      </w:r>
      <w:r>
        <w:rPr>
          <w:spacing w:val="3"/>
          <w:sz w:val="20"/>
        </w:rPr>
        <w:t> </w:t>
      </w:r>
      <w:r>
        <w:rPr>
          <w:sz w:val="20"/>
        </w:rPr>
        <w:t>genomics</w:t>
      </w:r>
    </w:p>
    <w:p>
      <w:pPr>
        <w:pStyle w:val="ListParagraph"/>
        <w:numPr>
          <w:ilvl w:val="1"/>
          <w:numId w:val="11"/>
        </w:numPr>
        <w:tabs>
          <w:tab w:pos="630" w:val="left" w:leader="none"/>
        </w:tabs>
        <w:spacing w:line="240" w:lineRule="auto" w:before="187" w:after="0"/>
        <w:ind w:left="629" w:right="0" w:hanging="216"/>
        <w:jc w:val="left"/>
        <w:rPr>
          <w:sz w:val="20"/>
        </w:rPr>
      </w:pPr>
      <w:r>
        <w:rPr>
          <w:sz w:val="20"/>
        </w:rPr>
        <w:t>Ion channels and</w:t>
      </w:r>
      <w:r>
        <w:rPr>
          <w:spacing w:val="8"/>
          <w:sz w:val="20"/>
        </w:rPr>
        <w:t> </w:t>
      </w:r>
      <w:r>
        <w:rPr>
          <w:sz w:val="20"/>
        </w:rPr>
        <w:t>electrophysiology</w:t>
      </w:r>
    </w:p>
    <w:p>
      <w:pPr>
        <w:pStyle w:val="ListParagraph"/>
        <w:numPr>
          <w:ilvl w:val="1"/>
          <w:numId w:val="11"/>
        </w:numPr>
        <w:tabs>
          <w:tab w:pos="630" w:val="left" w:leader="none"/>
        </w:tabs>
        <w:spacing w:line="240" w:lineRule="auto" w:before="193" w:after="0"/>
        <w:ind w:left="629" w:right="0" w:hanging="216"/>
        <w:jc w:val="left"/>
        <w:rPr>
          <w:sz w:val="20"/>
        </w:rPr>
      </w:pPr>
      <w:r>
        <w:rPr>
          <w:sz w:val="20"/>
        </w:rPr>
        <w:t>Molecular</w:t>
      </w:r>
      <w:r>
        <w:rPr>
          <w:spacing w:val="1"/>
          <w:sz w:val="20"/>
        </w:rPr>
        <w:t> </w:t>
      </w:r>
      <w:r>
        <w:rPr>
          <w:sz w:val="20"/>
        </w:rPr>
        <w:t>imaging</w:t>
      </w:r>
    </w:p>
    <w:p>
      <w:pPr>
        <w:pStyle w:val="BodyText"/>
        <w:spacing w:before="0"/>
        <w:ind w:left="0"/>
        <w:rPr>
          <w:sz w:val="22"/>
        </w:rPr>
      </w:pPr>
    </w:p>
    <w:p>
      <w:pPr>
        <w:pStyle w:val="BodyText"/>
        <w:spacing w:before="0"/>
        <w:ind w:left="0"/>
        <w:rPr>
          <w:sz w:val="31"/>
        </w:rPr>
      </w:pPr>
    </w:p>
    <w:p>
      <w:pPr>
        <w:pStyle w:val="Heading6"/>
        <w:spacing w:before="0"/>
        <w:ind w:left="197"/>
      </w:pPr>
      <w:r>
        <w:rPr/>
        <w:t>Study and Research Focus Areas — Cancer Biology</w:t>
      </w:r>
    </w:p>
    <w:p>
      <w:pPr>
        <w:pStyle w:val="ListParagraph"/>
        <w:numPr>
          <w:ilvl w:val="0"/>
          <w:numId w:val="11"/>
        </w:numPr>
        <w:tabs>
          <w:tab w:pos="404" w:val="left" w:leader="none"/>
        </w:tabs>
        <w:spacing w:line="249" w:lineRule="auto" w:before="188" w:after="0"/>
        <w:ind w:left="197" w:right="38" w:firstLine="0"/>
        <w:jc w:val="left"/>
        <w:rPr>
          <w:sz w:val="20"/>
        </w:rPr>
      </w:pPr>
      <w:r>
        <w:rPr>
          <w:b/>
          <w:sz w:val="20"/>
        </w:rPr>
        <w:t>Cancer Biology: </w:t>
      </w:r>
      <w:r>
        <w:rPr>
          <w:sz w:val="20"/>
        </w:rPr>
        <w:t>Cancer is a complex group </w:t>
      </w:r>
      <w:r>
        <w:rPr>
          <w:spacing w:val="-3"/>
          <w:sz w:val="20"/>
        </w:rPr>
        <w:t>of </w:t>
      </w:r>
      <w:r>
        <w:rPr>
          <w:sz w:val="20"/>
        </w:rPr>
        <w:t>diseases that cause more than 600,000 deaths in the United </w:t>
      </w:r>
      <w:r>
        <w:rPr>
          <w:spacing w:val="-3"/>
          <w:sz w:val="20"/>
        </w:rPr>
        <w:t>States </w:t>
      </w:r>
      <w:r>
        <w:rPr>
          <w:sz w:val="20"/>
        </w:rPr>
        <w:t>each year. </w:t>
      </w:r>
      <w:r>
        <w:rPr>
          <w:spacing w:val="-3"/>
          <w:sz w:val="20"/>
        </w:rPr>
        <w:t>Our </w:t>
      </w:r>
      <w:r>
        <w:rPr>
          <w:sz w:val="20"/>
        </w:rPr>
        <w:t>understanding </w:t>
      </w:r>
      <w:r>
        <w:rPr>
          <w:spacing w:val="-3"/>
          <w:sz w:val="20"/>
        </w:rPr>
        <w:t>of </w:t>
      </w:r>
      <w:r>
        <w:rPr>
          <w:sz w:val="20"/>
        </w:rPr>
        <w:t>cancer has reached</w:t>
      </w:r>
      <w:r>
        <w:rPr>
          <w:spacing w:val="3"/>
          <w:sz w:val="20"/>
        </w:rPr>
        <w:t> </w:t>
      </w:r>
      <w:r>
        <w:rPr>
          <w:sz w:val="20"/>
        </w:rPr>
        <w:t>new</w:t>
      </w:r>
    </w:p>
    <w:p>
      <w:pPr>
        <w:pStyle w:val="BodyText"/>
        <w:spacing w:line="249" w:lineRule="auto" w:before="98"/>
        <w:ind w:left="197" w:right="644"/>
      </w:pPr>
      <w:r>
        <w:rPr/>
        <w:br w:type="column"/>
      </w:r>
      <w:r>
        <w:rPr/>
        <w:t>heights </w:t>
      </w:r>
      <w:r>
        <w:rPr>
          <w:spacing w:val="-3"/>
        </w:rPr>
        <w:t>with </w:t>
      </w:r>
      <w:r>
        <w:rPr/>
        <w:t>the discovery of fundamental aspects </w:t>
      </w:r>
      <w:r>
        <w:rPr>
          <w:spacing w:val="-3"/>
        </w:rPr>
        <w:t>of </w:t>
      </w:r>
      <w:r>
        <w:rPr/>
        <w:t>cell and molecular biology combined </w:t>
      </w:r>
      <w:r>
        <w:rPr>
          <w:spacing w:val="-3"/>
        </w:rPr>
        <w:t>with </w:t>
      </w:r>
      <w:r>
        <w:rPr/>
        <w:t>significant advances in </w:t>
      </w:r>
      <w:r>
        <w:rPr>
          <w:spacing w:val="-4"/>
        </w:rPr>
        <w:t>our </w:t>
      </w:r>
      <w:r>
        <w:rPr/>
        <w:t>understanding </w:t>
      </w:r>
      <w:r>
        <w:rPr>
          <w:spacing w:val="-3"/>
        </w:rPr>
        <w:t>of </w:t>
      </w:r>
      <w:r>
        <w:rPr/>
        <w:t>the process of tumorigenesis. The identification </w:t>
      </w:r>
      <w:r>
        <w:rPr>
          <w:spacing w:val="-3"/>
        </w:rPr>
        <w:t>of </w:t>
      </w:r>
      <w:r>
        <w:rPr/>
        <w:t>oncogenes, tumor suppressor </w:t>
      </w:r>
      <w:r>
        <w:rPr>
          <w:spacing w:val="-2"/>
        </w:rPr>
        <w:t>genes, </w:t>
      </w:r>
      <w:r>
        <w:rPr/>
        <w:t>pathways </w:t>
      </w:r>
      <w:r>
        <w:rPr>
          <w:spacing w:val="-3"/>
        </w:rPr>
        <w:t>of </w:t>
      </w:r>
      <w:r>
        <w:rPr/>
        <w:t>DNA damage and repair, growth and cell cycle regulatory factors, and cellular responses to tissue hypoxia have provided exciting new insights into the development and progression </w:t>
      </w:r>
      <w:r>
        <w:rPr>
          <w:spacing w:val="-3"/>
        </w:rPr>
        <w:t>of </w:t>
      </w:r>
      <w:r>
        <w:rPr/>
        <w:t>cancer. Technological advancements in genomics, proteomics, and tissue arrays have refined cancer diagnoses and led to the development of successful cancer therapies that target specific molecules driving tumor growth and metastasis. The Cancer Biology graduate track offers an exciting and stimulating academic environment to pursue interdisciplinary cancer research. The primary objective </w:t>
      </w:r>
      <w:r>
        <w:rPr>
          <w:spacing w:val="-3"/>
        </w:rPr>
        <w:t>of </w:t>
      </w:r>
      <w:r>
        <w:rPr/>
        <w:t>the </w:t>
      </w:r>
      <w:r>
        <w:rPr>
          <w:spacing w:val="-3"/>
        </w:rPr>
        <w:t>Cancer </w:t>
      </w:r>
      <w:r>
        <w:rPr/>
        <w:t>Biology track is to provide students </w:t>
      </w:r>
      <w:r>
        <w:rPr>
          <w:spacing w:val="-3"/>
        </w:rPr>
        <w:t>with </w:t>
      </w:r>
      <w:r>
        <w:rPr/>
        <w:t>a strong educational experience combined with modern research training that will enable them to make significant contributions to our understanding </w:t>
      </w:r>
      <w:r>
        <w:rPr>
          <w:spacing w:val="-3"/>
        </w:rPr>
        <w:t>of </w:t>
      </w:r>
      <w:r>
        <w:rPr/>
        <w:t>this complex disease. The University of Maryland Marlene and Stewart Greenebaum Comprehensive Cancer Center, a National Cancer Institute-designated center, and its core facilities, researchers, and physicians provide a state-of-the-art environment </w:t>
      </w:r>
      <w:r>
        <w:rPr>
          <w:spacing w:val="-4"/>
        </w:rPr>
        <w:t>for </w:t>
      </w:r>
      <w:r>
        <w:rPr/>
        <w:t>conducting basic and clinical </w:t>
      </w:r>
      <w:r>
        <w:rPr>
          <w:spacing w:val="-3"/>
        </w:rPr>
        <w:t>cancer </w:t>
      </w:r>
      <w:r>
        <w:rPr/>
        <w:t>research.</w:t>
      </w:r>
    </w:p>
    <w:p>
      <w:pPr>
        <w:pStyle w:val="ListParagraph"/>
        <w:numPr>
          <w:ilvl w:val="1"/>
          <w:numId w:val="11"/>
        </w:numPr>
        <w:tabs>
          <w:tab w:pos="630" w:val="left" w:leader="none"/>
        </w:tabs>
        <w:spacing w:line="240" w:lineRule="auto" w:before="195" w:after="0"/>
        <w:ind w:left="629" w:right="0" w:hanging="216"/>
        <w:jc w:val="left"/>
        <w:rPr>
          <w:sz w:val="20"/>
        </w:rPr>
      </w:pPr>
      <w:r>
        <w:rPr>
          <w:sz w:val="20"/>
        </w:rPr>
        <w:t>Breast and prostate</w:t>
      </w:r>
      <w:r>
        <w:rPr>
          <w:spacing w:val="-4"/>
          <w:sz w:val="20"/>
        </w:rPr>
        <w:t> </w:t>
      </w:r>
      <w:r>
        <w:rPr>
          <w:spacing w:val="-3"/>
          <w:sz w:val="20"/>
        </w:rPr>
        <w:t>cancer</w:t>
      </w:r>
    </w:p>
    <w:p>
      <w:pPr>
        <w:pStyle w:val="ListParagraph"/>
        <w:numPr>
          <w:ilvl w:val="1"/>
          <w:numId w:val="11"/>
        </w:numPr>
        <w:tabs>
          <w:tab w:pos="630" w:val="left" w:leader="none"/>
        </w:tabs>
        <w:spacing w:line="240" w:lineRule="auto" w:before="193" w:after="0"/>
        <w:ind w:left="629" w:right="0" w:hanging="216"/>
        <w:jc w:val="left"/>
        <w:rPr>
          <w:sz w:val="20"/>
        </w:rPr>
      </w:pPr>
      <w:r>
        <w:rPr>
          <w:sz w:val="20"/>
        </w:rPr>
        <w:t>Leukemia and</w:t>
      </w:r>
      <w:r>
        <w:rPr>
          <w:spacing w:val="-5"/>
          <w:sz w:val="20"/>
        </w:rPr>
        <w:t> </w:t>
      </w:r>
      <w:r>
        <w:rPr>
          <w:sz w:val="20"/>
        </w:rPr>
        <w:t>lymphoma</w:t>
      </w:r>
    </w:p>
    <w:p>
      <w:pPr>
        <w:pStyle w:val="ListParagraph"/>
        <w:numPr>
          <w:ilvl w:val="1"/>
          <w:numId w:val="11"/>
        </w:numPr>
        <w:tabs>
          <w:tab w:pos="630" w:val="left" w:leader="none"/>
        </w:tabs>
        <w:spacing w:line="240" w:lineRule="auto" w:before="187" w:after="0"/>
        <w:ind w:left="629" w:right="0" w:hanging="216"/>
        <w:jc w:val="left"/>
        <w:rPr>
          <w:sz w:val="20"/>
        </w:rPr>
      </w:pPr>
      <w:r>
        <w:rPr>
          <w:sz w:val="20"/>
        </w:rPr>
        <w:t>Cytokine and growth </w:t>
      </w:r>
      <w:r>
        <w:rPr>
          <w:spacing w:val="-2"/>
          <w:sz w:val="20"/>
        </w:rPr>
        <w:t>factor</w:t>
      </w:r>
      <w:r>
        <w:rPr>
          <w:spacing w:val="9"/>
          <w:sz w:val="20"/>
        </w:rPr>
        <w:t> </w:t>
      </w:r>
      <w:r>
        <w:rPr>
          <w:sz w:val="20"/>
        </w:rPr>
        <w:t>biology</w:t>
      </w:r>
    </w:p>
    <w:p>
      <w:pPr>
        <w:pStyle w:val="ListParagraph"/>
        <w:numPr>
          <w:ilvl w:val="1"/>
          <w:numId w:val="11"/>
        </w:numPr>
        <w:tabs>
          <w:tab w:pos="630" w:val="left" w:leader="none"/>
        </w:tabs>
        <w:spacing w:line="240" w:lineRule="auto" w:before="193" w:after="0"/>
        <w:ind w:left="629" w:right="0" w:hanging="216"/>
        <w:jc w:val="left"/>
        <w:rPr>
          <w:sz w:val="20"/>
        </w:rPr>
      </w:pPr>
      <w:r>
        <w:rPr>
          <w:sz w:val="20"/>
        </w:rPr>
        <w:t>Hormonal control </w:t>
      </w:r>
      <w:r>
        <w:rPr>
          <w:spacing w:val="-3"/>
          <w:sz w:val="20"/>
        </w:rPr>
        <w:t>of </w:t>
      </w:r>
      <w:r>
        <w:rPr>
          <w:sz w:val="20"/>
        </w:rPr>
        <w:t>tumor</w:t>
      </w:r>
      <w:r>
        <w:rPr>
          <w:spacing w:val="8"/>
          <w:sz w:val="20"/>
        </w:rPr>
        <w:t> </w:t>
      </w:r>
      <w:r>
        <w:rPr>
          <w:sz w:val="20"/>
        </w:rPr>
        <w:t>growth</w:t>
      </w:r>
    </w:p>
    <w:p>
      <w:pPr>
        <w:pStyle w:val="ListParagraph"/>
        <w:numPr>
          <w:ilvl w:val="1"/>
          <w:numId w:val="11"/>
        </w:numPr>
        <w:tabs>
          <w:tab w:pos="630" w:val="left" w:leader="none"/>
        </w:tabs>
        <w:spacing w:line="240" w:lineRule="auto" w:before="187" w:after="0"/>
        <w:ind w:left="629" w:right="0" w:hanging="216"/>
        <w:jc w:val="left"/>
        <w:rPr>
          <w:sz w:val="20"/>
        </w:rPr>
      </w:pPr>
      <w:r>
        <w:rPr>
          <w:sz w:val="20"/>
        </w:rPr>
        <w:t>Molecular and structural</w:t>
      </w:r>
      <w:r>
        <w:rPr>
          <w:spacing w:val="-3"/>
          <w:sz w:val="20"/>
        </w:rPr>
        <w:t> </w:t>
      </w:r>
      <w:r>
        <w:rPr>
          <w:sz w:val="20"/>
        </w:rPr>
        <w:t>biology</w:t>
      </w:r>
    </w:p>
    <w:p>
      <w:pPr>
        <w:pStyle w:val="ListParagraph"/>
        <w:numPr>
          <w:ilvl w:val="1"/>
          <w:numId w:val="11"/>
        </w:numPr>
        <w:tabs>
          <w:tab w:pos="630" w:val="left" w:leader="none"/>
        </w:tabs>
        <w:spacing w:line="240" w:lineRule="auto" w:before="192" w:after="0"/>
        <w:ind w:left="629" w:right="0" w:hanging="216"/>
        <w:jc w:val="left"/>
        <w:rPr>
          <w:sz w:val="20"/>
        </w:rPr>
      </w:pPr>
      <w:r>
        <w:rPr>
          <w:sz w:val="20"/>
        </w:rPr>
        <w:t>Mechanisms </w:t>
      </w:r>
      <w:r>
        <w:rPr>
          <w:spacing w:val="-3"/>
          <w:sz w:val="20"/>
        </w:rPr>
        <w:t>of </w:t>
      </w:r>
      <w:r>
        <w:rPr>
          <w:sz w:val="20"/>
        </w:rPr>
        <w:t>signal transduction</w:t>
      </w:r>
    </w:p>
    <w:p>
      <w:pPr>
        <w:pStyle w:val="ListParagraph"/>
        <w:numPr>
          <w:ilvl w:val="1"/>
          <w:numId w:val="11"/>
        </w:numPr>
        <w:tabs>
          <w:tab w:pos="630" w:val="left" w:leader="none"/>
        </w:tabs>
        <w:spacing w:line="240" w:lineRule="auto" w:before="188" w:after="0"/>
        <w:ind w:left="629" w:right="0" w:hanging="216"/>
        <w:jc w:val="left"/>
        <w:rPr>
          <w:sz w:val="20"/>
        </w:rPr>
      </w:pPr>
      <w:r>
        <w:rPr>
          <w:sz w:val="20"/>
        </w:rPr>
        <w:t>Tumor immunology and</w:t>
      </w:r>
      <w:r>
        <w:rPr>
          <w:spacing w:val="-9"/>
          <w:sz w:val="20"/>
        </w:rPr>
        <w:t> </w:t>
      </w:r>
      <w:r>
        <w:rPr>
          <w:sz w:val="20"/>
        </w:rPr>
        <w:t>immunotherapy</w:t>
      </w:r>
    </w:p>
    <w:p>
      <w:pPr>
        <w:pStyle w:val="ListParagraph"/>
        <w:numPr>
          <w:ilvl w:val="1"/>
          <w:numId w:val="11"/>
        </w:numPr>
        <w:tabs>
          <w:tab w:pos="629" w:val="left" w:leader="none"/>
        </w:tabs>
        <w:spacing w:line="240" w:lineRule="auto" w:before="192" w:after="0"/>
        <w:ind w:left="629" w:right="0" w:hanging="216"/>
        <w:jc w:val="left"/>
        <w:rPr>
          <w:sz w:val="20"/>
        </w:rPr>
      </w:pPr>
      <w:r>
        <w:rPr>
          <w:sz w:val="20"/>
        </w:rPr>
        <w:t>DNA replication, damage, and</w:t>
      </w:r>
      <w:r>
        <w:rPr>
          <w:spacing w:val="-8"/>
          <w:sz w:val="20"/>
        </w:rPr>
        <w:t> </w:t>
      </w:r>
      <w:r>
        <w:rPr>
          <w:sz w:val="20"/>
        </w:rPr>
        <w:t>repair</w:t>
      </w:r>
    </w:p>
    <w:p>
      <w:pPr>
        <w:pStyle w:val="ListParagraph"/>
        <w:numPr>
          <w:ilvl w:val="1"/>
          <w:numId w:val="11"/>
        </w:numPr>
        <w:tabs>
          <w:tab w:pos="629" w:val="left" w:leader="none"/>
        </w:tabs>
        <w:spacing w:line="240" w:lineRule="auto" w:before="188" w:after="0"/>
        <w:ind w:left="628" w:right="0" w:hanging="216"/>
        <w:jc w:val="left"/>
        <w:rPr>
          <w:sz w:val="20"/>
        </w:rPr>
      </w:pPr>
      <w:r>
        <w:rPr>
          <w:sz w:val="20"/>
        </w:rPr>
        <w:t>Carcinogenesis</w:t>
      </w:r>
    </w:p>
    <w:p>
      <w:pPr>
        <w:pStyle w:val="ListParagraph"/>
        <w:numPr>
          <w:ilvl w:val="1"/>
          <w:numId w:val="11"/>
        </w:numPr>
        <w:tabs>
          <w:tab w:pos="629" w:val="left" w:leader="none"/>
        </w:tabs>
        <w:spacing w:line="240" w:lineRule="auto" w:before="192" w:after="0"/>
        <w:ind w:left="628" w:right="0" w:hanging="216"/>
        <w:jc w:val="left"/>
        <w:rPr>
          <w:sz w:val="20"/>
        </w:rPr>
      </w:pPr>
      <w:r>
        <w:rPr>
          <w:sz w:val="20"/>
        </w:rPr>
        <w:t>Cancer</w:t>
      </w:r>
      <w:r>
        <w:rPr>
          <w:spacing w:val="1"/>
          <w:sz w:val="20"/>
        </w:rPr>
        <w:t> </w:t>
      </w:r>
      <w:r>
        <w:rPr>
          <w:sz w:val="20"/>
        </w:rPr>
        <w:t>genetics</w:t>
      </w:r>
    </w:p>
    <w:p>
      <w:pPr>
        <w:pStyle w:val="ListParagraph"/>
        <w:numPr>
          <w:ilvl w:val="1"/>
          <w:numId w:val="11"/>
        </w:numPr>
        <w:tabs>
          <w:tab w:pos="629" w:val="left" w:leader="none"/>
        </w:tabs>
        <w:spacing w:line="240" w:lineRule="auto" w:before="188" w:after="0"/>
        <w:ind w:left="628" w:right="0" w:hanging="216"/>
        <w:jc w:val="left"/>
        <w:rPr>
          <w:sz w:val="20"/>
        </w:rPr>
      </w:pPr>
      <w:r>
        <w:rPr>
          <w:sz w:val="20"/>
        </w:rPr>
        <w:t>Viral and cellular</w:t>
      </w:r>
      <w:r>
        <w:rPr>
          <w:spacing w:val="2"/>
          <w:sz w:val="20"/>
        </w:rPr>
        <w:t> </w:t>
      </w:r>
      <w:r>
        <w:rPr>
          <w:sz w:val="20"/>
        </w:rPr>
        <w:t>oncogenes</w:t>
      </w:r>
    </w:p>
    <w:p>
      <w:pPr>
        <w:pStyle w:val="ListParagraph"/>
        <w:numPr>
          <w:ilvl w:val="1"/>
          <w:numId w:val="11"/>
        </w:numPr>
        <w:tabs>
          <w:tab w:pos="629" w:val="left" w:leader="none"/>
        </w:tabs>
        <w:spacing w:line="240" w:lineRule="auto" w:before="192" w:after="0"/>
        <w:ind w:left="628" w:right="0" w:hanging="216"/>
        <w:jc w:val="left"/>
        <w:rPr>
          <w:sz w:val="20"/>
        </w:rPr>
      </w:pPr>
      <w:r>
        <w:rPr>
          <w:sz w:val="20"/>
        </w:rPr>
        <w:t>Tumor suppressor</w:t>
      </w:r>
      <w:r>
        <w:rPr>
          <w:spacing w:val="8"/>
          <w:sz w:val="20"/>
        </w:rPr>
        <w:t> </w:t>
      </w:r>
      <w:r>
        <w:rPr>
          <w:sz w:val="20"/>
        </w:rPr>
        <w:t>genes</w:t>
      </w:r>
    </w:p>
    <w:p>
      <w:pPr>
        <w:pStyle w:val="ListParagraph"/>
        <w:numPr>
          <w:ilvl w:val="1"/>
          <w:numId w:val="11"/>
        </w:numPr>
        <w:tabs>
          <w:tab w:pos="629" w:val="left" w:leader="none"/>
        </w:tabs>
        <w:spacing w:line="240" w:lineRule="auto" w:before="188" w:after="0"/>
        <w:ind w:left="628" w:right="0" w:hanging="216"/>
        <w:jc w:val="left"/>
        <w:rPr>
          <w:sz w:val="20"/>
        </w:rPr>
      </w:pPr>
      <w:r>
        <w:rPr>
          <w:sz w:val="20"/>
        </w:rPr>
        <w:t>Genome instability and genetic</w:t>
      </w:r>
      <w:r>
        <w:rPr>
          <w:spacing w:val="-16"/>
          <w:sz w:val="20"/>
        </w:rPr>
        <w:t> </w:t>
      </w:r>
      <w:r>
        <w:rPr>
          <w:sz w:val="20"/>
        </w:rPr>
        <w:t>mutations</w:t>
      </w:r>
    </w:p>
    <w:p>
      <w:pPr>
        <w:pStyle w:val="ListParagraph"/>
        <w:numPr>
          <w:ilvl w:val="1"/>
          <w:numId w:val="11"/>
        </w:numPr>
        <w:tabs>
          <w:tab w:pos="629" w:val="left" w:leader="none"/>
        </w:tabs>
        <w:spacing w:line="240" w:lineRule="auto" w:before="192" w:after="0"/>
        <w:ind w:left="628" w:right="0" w:hanging="216"/>
        <w:jc w:val="left"/>
        <w:rPr>
          <w:sz w:val="20"/>
        </w:rPr>
      </w:pPr>
      <w:r>
        <w:rPr>
          <w:sz w:val="20"/>
        </w:rPr>
        <w:t>Apoptotic cell</w:t>
      </w:r>
      <w:r>
        <w:rPr>
          <w:spacing w:val="3"/>
          <w:sz w:val="20"/>
        </w:rPr>
        <w:t> </w:t>
      </w:r>
      <w:r>
        <w:rPr>
          <w:spacing w:val="-3"/>
          <w:sz w:val="20"/>
        </w:rPr>
        <w:t>death</w:t>
      </w:r>
    </w:p>
    <w:p>
      <w:pPr>
        <w:pStyle w:val="ListParagraph"/>
        <w:numPr>
          <w:ilvl w:val="1"/>
          <w:numId w:val="11"/>
        </w:numPr>
        <w:tabs>
          <w:tab w:pos="629" w:val="left" w:leader="none"/>
        </w:tabs>
        <w:spacing w:line="240" w:lineRule="auto" w:before="188" w:after="0"/>
        <w:ind w:left="628" w:right="0" w:hanging="216"/>
        <w:jc w:val="left"/>
        <w:rPr>
          <w:sz w:val="20"/>
        </w:rPr>
      </w:pPr>
      <w:r>
        <w:rPr>
          <w:sz w:val="20"/>
        </w:rPr>
        <w:t>Tumor invasion and</w:t>
      </w:r>
      <w:r>
        <w:rPr>
          <w:spacing w:val="-4"/>
          <w:sz w:val="20"/>
        </w:rPr>
        <w:t> </w:t>
      </w:r>
      <w:r>
        <w:rPr>
          <w:sz w:val="20"/>
        </w:rPr>
        <w:t>metastasis</w:t>
      </w:r>
    </w:p>
    <w:p>
      <w:pPr>
        <w:pStyle w:val="ListParagraph"/>
        <w:numPr>
          <w:ilvl w:val="1"/>
          <w:numId w:val="11"/>
        </w:numPr>
        <w:tabs>
          <w:tab w:pos="629" w:val="left" w:leader="none"/>
        </w:tabs>
        <w:spacing w:line="240" w:lineRule="auto" w:before="192" w:after="0"/>
        <w:ind w:left="628" w:right="0" w:hanging="216"/>
        <w:jc w:val="left"/>
        <w:rPr>
          <w:sz w:val="20"/>
        </w:rPr>
      </w:pPr>
      <w:r>
        <w:rPr>
          <w:sz w:val="20"/>
        </w:rPr>
        <w:t>Proteases and tumor</w:t>
      </w:r>
      <w:r>
        <w:rPr>
          <w:spacing w:val="-1"/>
          <w:sz w:val="20"/>
        </w:rPr>
        <w:t> </w:t>
      </w:r>
      <w:r>
        <w:rPr>
          <w:sz w:val="20"/>
        </w:rPr>
        <w:t>biology</w:t>
      </w:r>
    </w:p>
    <w:p>
      <w:pPr>
        <w:spacing w:after="0" w:line="240" w:lineRule="auto"/>
        <w:jc w:val="left"/>
        <w:rPr>
          <w:sz w:val="20"/>
        </w:rPr>
        <w:sectPr>
          <w:pgSz w:w="12240" w:h="15840"/>
          <w:pgMar w:header="746" w:footer="0" w:top="1320" w:bottom="280" w:left="880" w:right="300"/>
          <w:cols w:num="2" w:equalWidth="0">
            <w:col w:w="4934" w:space="552"/>
            <w:col w:w="5574"/>
          </w:cols>
        </w:sectPr>
      </w:pPr>
    </w:p>
    <w:p>
      <w:pPr>
        <w:pStyle w:val="ListParagraph"/>
        <w:numPr>
          <w:ilvl w:val="1"/>
          <w:numId w:val="11"/>
        </w:numPr>
        <w:tabs>
          <w:tab w:pos="632" w:val="left" w:leader="none"/>
        </w:tabs>
        <w:spacing w:line="240" w:lineRule="auto" w:before="100" w:after="0"/>
        <w:ind w:left="631" w:right="0" w:hanging="215"/>
        <w:jc w:val="left"/>
        <w:rPr>
          <w:sz w:val="20"/>
        </w:rPr>
      </w:pPr>
      <w:r>
        <w:rPr>
          <w:sz w:val="20"/>
        </w:rPr>
        <w:t>Cytoskeleton and cell</w:t>
      </w:r>
      <w:r>
        <w:rPr>
          <w:spacing w:val="6"/>
          <w:sz w:val="20"/>
        </w:rPr>
        <w:t> </w:t>
      </w:r>
      <w:r>
        <w:rPr>
          <w:sz w:val="20"/>
        </w:rPr>
        <w:t>motility</w:t>
      </w:r>
    </w:p>
    <w:p>
      <w:pPr>
        <w:pStyle w:val="ListParagraph"/>
        <w:numPr>
          <w:ilvl w:val="1"/>
          <w:numId w:val="11"/>
        </w:numPr>
        <w:tabs>
          <w:tab w:pos="632" w:val="left" w:leader="none"/>
        </w:tabs>
        <w:spacing w:line="240" w:lineRule="auto" w:before="187" w:after="0"/>
        <w:ind w:left="631" w:right="0" w:hanging="216"/>
        <w:jc w:val="left"/>
        <w:rPr>
          <w:sz w:val="20"/>
        </w:rPr>
      </w:pPr>
      <w:r>
        <w:rPr>
          <w:sz w:val="20"/>
        </w:rPr>
        <w:t>Angiogenesis and </w:t>
      </w:r>
      <w:r>
        <w:rPr>
          <w:spacing w:val="-3"/>
          <w:sz w:val="20"/>
        </w:rPr>
        <w:t>blood </w:t>
      </w:r>
      <w:r>
        <w:rPr>
          <w:spacing w:val="-2"/>
          <w:sz w:val="20"/>
        </w:rPr>
        <w:t>vessel</w:t>
      </w:r>
      <w:r>
        <w:rPr>
          <w:spacing w:val="11"/>
          <w:sz w:val="20"/>
        </w:rPr>
        <w:t> </w:t>
      </w:r>
      <w:r>
        <w:rPr>
          <w:sz w:val="20"/>
        </w:rPr>
        <w:t>formation</w:t>
      </w:r>
    </w:p>
    <w:p>
      <w:pPr>
        <w:pStyle w:val="ListParagraph"/>
        <w:numPr>
          <w:ilvl w:val="1"/>
          <w:numId w:val="11"/>
        </w:numPr>
        <w:tabs>
          <w:tab w:pos="632" w:val="left" w:leader="none"/>
        </w:tabs>
        <w:spacing w:line="240" w:lineRule="auto" w:before="193" w:after="0"/>
        <w:ind w:left="631" w:right="0" w:hanging="216"/>
        <w:jc w:val="left"/>
        <w:rPr>
          <w:sz w:val="20"/>
        </w:rPr>
      </w:pPr>
      <w:r>
        <w:rPr>
          <w:sz w:val="20"/>
        </w:rPr>
        <w:t>Cancer drug</w:t>
      </w:r>
      <w:r>
        <w:rPr>
          <w:spacing w:val="-6"/>
          <w:sz w:val="20"/>
        </w:rPr>
        <w:t> </w:t>
      </w:r>
      <w:r>
        <w:rPr>
          <w:sz w:val="20"/>
        </w:rPr>
        <w:t>resistance</w:t>
      </w:r>
    </w:p>
    <w:p>
      <w:pPr>
        <w:pStyle w:val="ListParagraph"/>
        <w:numPr>
          <w:ilvl w:val="1"/>
          <w:numId w:val="11"/>
        </w:numPr>
        <w:tabs>
          <w:tab w:pos="632" w:val="left" w:leader="none"/>
        </w:tabs>
        <w:spacing w:line="240" w:lineRule="auto" w:before="187" w:after="0"/>
        <w:ind w:left="631" w:right="0" w:hanging="216"/>
        <w:jc w:val="left"/>
        <w:rPr>
          <w:sz w:val="20"/>
        </w:rPr>
      </w:pPr>
      <w:r>
        <w:rPr>
          <w:sz w:val="20"/>
        </w:rPr>
        <w:t>Cancer stem cells</w:t>
      </w:r>
    </w:p>
    <w:p>
      <w:pPr>
        <w:pStyle w:val="ListParagraph"/>
        <w:numPr>
          <w:ilvl w:val="1"/>
          <w:numId w:val="11"/>
        </w:numPr>
        <w:tabs>
          <w:tab w:pos="632" w:val="left" w:leader="none"/>
        </w:tabs>
        <w:spacing w:line="240" w:lineRule="auto" w:before="193" w:after="0"/>
        <w:ind w:left="631" w:right="0" w:hanging="216"/>
        <w:jc w:val="left"/>
        <w:rPr>
          <w:sz w:val="20"/>
        </w:rPr>
      </w:pPr>
      <w:r>
        <w:rPr>
          <w:sz w:val="20"/>
        </w:rPr>
        <w:t>Diagnostic and prognostic</w:t>
      </w:r>
      <w:r>
        <w:rPr>
          <w:spacing w:val="-15"/>
          <w:sz w:val="20"/>
        </w:rPr>
        <w:t> </w:t>
      </w:r>
      <w:r>
        <w:rPr>
          <w:sz w:val="20"/>
        </w:rPr>
        <w:t>markers</w:t>
      </w:r>
    </w:p>
    <w:p>
      <w:pPr>
        <w:pStyle w:val="ListParagraph"/>
        <w:numPr>
          <w:ilvl w:val="1"/>
          <w:numId w:val="11"/>
        </w:numPr>
        <w:tabs>
          <w:tab w:pos="632" w:val="left" w:leader="none"/>
        </w:tabs>
        <w:spacing w:line="240" w:lineRule="auto" w:before="187" w:after="0"/>
        <w:ind w:left="631" w:right="0" w:hanging="216"/>
        <w:jc w:val="left"/>
        <w:rPr>
          <w:sz w:val="20"/>
        </w:rPr>
      </w:pPr>
      <w:r>
        <w:rPr>
          <w:sz w:val="20"/>
        </w:rPr>
        <w:t>Experimental</w:t>
      </w:r>
      <w:r>
        <w:rPr>
          <w:spacing w:val="-2"/>
          <w:sz w:val="20"/>
        </w:rPr>
        <w:t> </w:t>
      </w:r>
      <w:r>
        <w:rPr>
          <w:sz w:val="20"/>
        </w:rPr>
        <w:t>therapeutics</w:t>
      </w:r>
    </w:p>
    <w:p>
      <w:pPr>
        <w:pStyle w:val="BodyText"/>
        <w:spacing w:before="0"/>
        <w:ind w:left="0"/>
        <w:rPr>
          <w:sz w:val="22"/>
        </w:rPr>
      </w:pPr>
    </w:p>
    <w:p>
      <w:pPr>
        <w:pStyle w:val="BodyText"/>
        <w:spacing w:before="0"/>
        <w:ind w:left="0"/>
        <w:rPr>
          <w:sz w:val="31"/>
        </w:rPr>
      </w:pPr>
    </w:p>
    <w:p>
      <w:pPr>
        <w:pStyle w:val="Heading6"/>
        <w:spacing w:before="1"/>
        <w:ind w:left="199"/>
      </w:pPr>
      <w:r>
        <w:rPr/>
        <w:t>Study and Research Focus Areas — Genome Biology</w:t>
      </w:r>
    </w:p>
    <w:p>
      <w:pPr>
        <w:pStyle w:val="ListParagraph"/>
        <w:numPr>
          <w:ilvl w:val="0"/>
          <w:numId w:val="11"/>
        </w:numPr>
        <w:tabs>
          <w:tab w:pos="401" w:val="left" w:leader="none"/>
        </w:tabs>
        <w:spacing w:line="249" w:lineRule="auto" w:before="192" w:after="0"/>
        <w:ind w:left="199" w:right="38" w:firstLine="0"/>
        <w:jc w:val="left"/>
        <w:rPr>
          <w:sz w:val="20"/>
        </w:rPr>
      </w:pPr>
      <w:r>
        <w:rPr>
          <w:b/>
          <w:sz w:val="20"/>
        </w:rPr>
        <w:t>Genome Biology: </w:t>
      </w:r>
      <w:r>
        <w:rPr>
          <w:sz w:val="20"/>
        </w:rPr>
        <w:t>Recent advances in next-generation DNA sequencing and bioinformatics are transforming the biomedical sciences. These technologies are being used to sequence and analyze genomes at unprecedented rates, and we are rapidly approaching an era in which human genome sequences will </w:t>
      </w:r>
      <w:r>
        <w:rPr>
          <w:spacing w:val="-3"/>
          <w:sz w:val="20"/>
        </w:rPr>
        <w:t>be </w:t>
      </w:r>
      <w:r>
        <w:rPr>
          <w:sz w:val="20"/>
        </w:rPr>
        <w:t>used routinely to diagnose diseases and predict the future health </w:t>
      </w:r>
      <w:r>
        <w:rPr>
          <w:spacing w:val="-3"/>
          <w:sz w:val="20"/>
        </w:rPr>
        <w:t>of </w:t>
      </w:r>
      <w:r>
        <w:rPr>
          <w:sz w:val="20"/>
        </w:rPr>
        <w:t>individuals. The Genome Biology track offers doctoral and postdoctoral training in this rapidly evolving area. This track is part </w:t>
      </w:r>
      <w:r>
        <w:rPr>
          <w:spacing w:val="-3"/>
          <w:sz w:val="20"/>
        </w:rPr>
        <w:t>of </w:t>
      </w:r>
      <w:r>
        <w:rPr>
          <w:sz w:val="20"/>
        </w:rPr>
        <w:t>a Universitywide graduate program, </w:t>
      </w:r>
      <w:r>
        <w:rPr>
          <w:spacing w:val="-3"/>
          <w:sz w:val="20"/>
        </w:rPr>
        <w:t>with </w:t>
      </w:r>
      <w:r>
        <w:rPr>
          <w:sz w:val="20"/>
        </w:rPr>
        <w:t>participating faculty drawn </w:t>
      </w:r>
      <w:r>
        <w:rPr>
          <w:spacing w:val="-3"/>
          <w:sz w:val="20"/>
        </w:rPr>
        <w:t>from </w:t>
      </w:r>
      <w:r>
        <w:rPr>
          <w:sz w:val="20"/>
        </w:rPr>
        <w:t>diverse departments, centers, and institutes at the University of Maryland, Baltimore. The track is affiliated </w:t>
      </w:r>
      <w:r>
        <w:rPr>
          <w:spacing w:val="-3"/>
          <w:sz w:val="20"/>
        </w:rPr>
        <w:t>with </w:t>
      </w:r>
      <w:r>
        <w:rPr>
          <w:sz w:val="20"/>
        </w:rPr>
        <w:t>the Institute </w:t>
      </w:r>
      <w:r>
        <w:rPr>
          <w:spacing w:val="-4"/>
          <w:sz w:val="20"/>
        </w:rPr>
        <w:t>for </w:t>
      </w:r>
      <w:r>
        <w:rPr>
          <w:sz w:val="20"/>
        </w:rPr>
        <w:t>Genome </w:t>
      </w:r>
      <w:r>
        <w:rPr>
          <w:spacing w:val="-3"/>
          <w:sz w:val="20"/>
        </w:rPr>
        <w:t>Sciences </w:t>
      </w:r>
      <w:r>
        <w:rPr>
          <w:sz w:val="20"/>
        </w:rPr>
        <w:t>(IGS), which has established an exceptional environment for conducting genomics and computational biology studies </w:t>
      </w:r>
      <w:r>
        <w:rPr>
          <w:spacing w:val="-3"/>
          <w:sz w:val="20"/>
        </w:rPr>
        <w:t>on </w:t>
      </w:r>
      <w:r>
        <w:rPr>
          <w:sz w:val="20"/>
        </w:rPr>
        <w:t>campus. The IGS has made significant investments in genome sequencing platforms (Sanger, 454, Illumina </w:t>
      </w:r>
      <w:r>
        <w:rPr>
          <w:spacing w:val="-2"/>
          <w:sz w:val="20"/>
        </w:rPr>
        <w:t>HiSeq, </w:t>
      </w:r>
      <w:r>
        <w:rPr>
          <w:sz w:val="20"/>
        </w:rPr>
        <w:t>and </w:t>
      </w:r>
      <w:r>
        <w:rPr>
          <w:spacing w:val="-3"/>
          <w:sz w:val="20"/>
        </w:rPr>
        <w:t>PacBioRS) </w:t>
      </w:r>
      <w:r>
        <w:rPr>
          <w:sz w:val="20"/>
        </w:rPr>
        <w:t>and an </w:t>
      </w:r>
      <w:r>
        <w:rPr>
          <w:spacing w:val="-2"/>
          <w:sz w:val="20"/>
        </w:rPr>
        <w:t>extensive </w:t>
      </w:r>
      <w:r>
        <w:rPr>
          <w:sz w:val="20"/>
        </w:rPr>
        <w:t>computational grid. Students </w:t>
      </w:r>
      <w:r>
        <w:rPr>
          <w:spacing w:val="-3"/>
          <w:sz w:val="20"/>
        </w:rPr>
        <w:t>can </w:t>
      </w:r>
      <w:r>
        <w:rPr>
          <w:sz w:val="20"/>
        </w:rPr>
        <w:t>gain hands-on experience with these tools and learn how to apply these platforms to biological questions. Affiliated faculty study a range </w:t>
      </w:r>
      <w:r>
        <w:rPr>
          <w:spacing w:val="-3"/>
          <w:sz w:val="20"/>
        </w:rPr>
        <w:t>of </w:t>
      </w:r>
      <w:r>
        <w:rPr>
          <w:sz w:val="20"/>
        </w:rPr>
        <w:t>research topics </w:t>
      </w:r>
      <w:r>
        <w:rPr>
          <w:spacing w:val="-3"/>
          <w:sz w:val="20"/>
        </w:rPr>
        <w:t>with </w:t>
      </w:r>
      <w:r>
        <w:rPr>
          <w:sz w:val="20"/>
        </w:rPr>
        <w:t>an emphasis </w:t>
      </w:r>
      <w:r>
        <w:rPr>
          <w:spacing w:val="-5"/>
          <w:sz w:val="20"/>
        </w:rPr>
        <w:t>on </w:t>
      </w:r>
      <w:r>
        <w:rPr>
          <w:sz w:val="20"/>
        </w:rPr>
        <w:t>exploring questions related to human health and disease. Researchers use model systems such as mouse, zebra fish, fruit </w:t>
      </w:r>
      <w:r>
        <w:rPr>
          <w:spacing w:val="-3"/>
          <w:sz w:val="20"/>
        </w:rPr>
        <w:t>fly, </w:t>
      </w:r>
      <w:r>
        <w:rPr>
          <w:sz w:val="20"/>
        </w:rPr>
        <w:t>worm, mustard plant, and microorganisms that are instrumental in understanding the mechanistic bases </w:t>
      </w:r>
      <w:r>
        <w:rPr>
          <w:spacing w:val="-3"/>
          <w:sz w:val="20"/>
        </w:rPr>
        <w:t>of </w:t>
      </w:r>
      <w:r>
        <w:rPr>
          <w:sz w:val="20"/>
        </w:rPr>
        <w:t>diseases and fundamental processes in </w:t>
      </w:r>
      <w:r>
        <w:rPr>
          <w:spacing w:val="-3"/>
          <w:sz w:val="20"/>
        </w:rPr>
        <w:t>biology. </w:t>
      </w:r>
      <w:r>
        <w:rPr>
          <w:sz w:val="20"/>
        </w:rPr>
        <w:t>The up-to-date curriculum incorporates many cutting-edge tools </w:t>
      </w:r>
      <w:r>
        <w:rPr>
          <w:spacing w:val="-5"/>
          <w:sz w:val="20"/>
        </w:rPr>
        <w:t>of </w:t>
      </w:r>
      <w:r>
        <w:rPr>
          <w:sz w:val="20"/>
        </w:rPr>
        <w:t>genetics, genomics, bioinformatics, and </w:t>
      </w:r>
      <w:r>
        <w:rPr>
          <w:spacing w:val="-3"/>
          <w:sz w:val="20"/>
        </w:rPr>
        <w:t>systems </w:t>
      </w:r>
      <w:r>
        <w:rPr>
          <w:sz w:val="20"/>
        </w:rPr>
        <w:t>biology. Dissertation research projects may employ technologies such as genetic knockouts, high-throughput DNA sequencing, and postgenomic approaches to address problems central to molecular medicine. Thesis topics include microbial pathogenesis and the human microbiome, tumor genetics, diseases </w:t>
      </w:r>
      <w:r>
        <w:rPr>
          <w:spacing w:val="-3"/>
          <w:sz w:val="20"/>
        </w:rPr>
        <w:t>of </w:t>
      </w:r>
      <w:r>
        <w:rPr>
          <w:sz w:val="20"/>
        </w:rPr>
        <w:t>hematopoiesis and the cardiovascular </w:t>
      </w:r>
      <w:r>
        <w:rPr>
          <w:spacing w:val="-3"/>
          <w:sz w:val="20"/>
        </w:rPr>
        <w:t>system, </w:t>
      </w:r>
      <w:r>
        <w:rPr>
          <w:sz w:val="20"/>
        </w:rPr>
        <w:t>muscular dystrophies, skeletal diseases, neurodegenerative diseases, DNA replication and cell division, DNA repair and mutation, and gene regulation and development, which are </w:t>
      </w:r>
      <w:r>
        <w:rPr>
          <w:spacing w:val="-3"/>
          <w:sz w:val="20"/>
        </w:rPr>
        <w:t>of</w:t>
      </w:r>
      <w:r>
        <w:rPr>
          <w:spacing w:val="-5"/>
          <w:sz w:val="20"/>
        </w:rPr>
        <w:t> </w:t>
      </w:r>
      <w:r>
        <w:rPr>
          <w:sz w:val="20"/>
        </w:rPr>
        <w:t>fundamental</w:t>
      </w:r>
    </w:p>
    <w:p>
      <w:pPr>
        <w:pStyle w:val="BodyText"/>
        <w:spacing w:line="249" w:lineRule="auto" w:before="96"/>
        <w:ind w:left="199" w:right="772"/>
      </w:pPr>
      <w:r>
        <w:rPr/>
        <w:br w:type="column"/>
      </w:r>
      <w:r>
        <w:rPr/>
        <w:t>biological importance. The approaches used in genome biology laboratories are broad in terms of systems, organisms, and technologies employed. The genome biology track leads to outstanding PhD-level training and employment opportunities in leading academic, government, and industrial settings.</w:t>
      </w:r>
    </w:p>
    <w:p>
      <w:pPr>
        <w:pStyle w:val="ListParagraph"/>
        <w:numPr>
          <w:ilvl w:val="1"/>
          <w:numId w:val="11"/>
        </w:numPr>
        <w:tabs>
          <w:tab w:pos="632" w:val="left" w:leader="none"/>
        </w:tabs>
        <w:spacing w:line="249" w:lineRule="auto" w:before="181" w:after="0"/>
        <w:ind w:left="631" w:right="1059" w:hanging="216"/>
        <w:jc w:val="left"/>
        <w:rPr>
          <w:sz w:val="20"/>
        </w:rPr>
      </w:pPr>
      <w:r>
        <w:rPr>
          <w:b/>
          <w:sz w:val="20"/>
        </w:rPr>
        <w:t>Cancer genomics: </w:t>
      </w:r>
      <w:r>
        <w:rPr>
          <w:sz w:val="20"/>
        </w:rPr>
        <w:t>Tumor genome and transcriptome sequencing; genome mutagenesis, instability, and repair; tumor suppressors and oncogenes; gene networks; signaling </w:t>
      </w:r>
      <w:r>
        <w:rPr>
          <w:spacing w:val="-3"/>
          <w:sz w:val="20"/>
        </w:rPr>
        <w:t>pathways; </w:t>
      </w:r>
      <w:r>
        <w:rPr>
          <w:sz w:val="20"/>
        </w:rPr>
        <w:t>genomics-based drug discovery and</w:t>
      </w:r>
      <w:r>
        <w:rPr>
          <w:spacing w:val="-16"/>
          <w:sz w:val="20"/>
        </w:rPr>
        <w:t> </w:t>
      </w:r>
      <w:r>
        <w:rPr>
          <w:sz w:val="20"/>
        </w:rPr>
        <w:t>treatment.</w:t>
      </w:r>
    </w:p>
    <w:p>
      <w:pPr>
        <w:pStyle w:val="ListParagraph"/>
        <w:numPr>
          <w:ilvl w:val="1"/>
          <w:numId w:val="11"/>
        </w:numPr>
        <w:tabs>
          <w:tab w:pos="632" w:val="left" w:leader="none"/>
        </w:tabs>
        <w:spacing w:line="249" w:lineRule="auto" w:before="187" w:after="0"/>
        <w:ind w:left="631" w:right="709" w:hanging="216"/>
        <w:jc w:val="left"/>
        <w:rPr>
          <w:sz w:val="20"/>
        </w:rPr>
      </w:pPr>
      <w:r>
        <w:rPr>
          <w:b/>
          <w:spacing w:val="-3"/>
          <w:sz w:val="20"/>
        </w:rPr>
        <w:t>Human </w:t>
      </w:r>
      <w:r>
        <w:rPr>
          <w:b/>
          <w:sz w:val="20"/>
        </w:rPr>
        <w:t>genomics: </w:t>
      </w:r>
      <w:r>
        <w:rPr>
          <w:sz w:val="20"/>
        </w:rPr>
        <w:t>Human genome and transcriptome sequencing; genetic variation; GWAS studies; predictive health and personalized</w:t>
      </w:r>
      <w:r>
        <w:rPr>
          <w:spacing w:val="-22"/>
          <w:sz w:val="20"/>
        </w:rPr>
        <w:t> </w:t>
      </w:r>
      <w:r>
        <w:rPr>
          <w:sz w:val="20"/>
        </w:rPr>
        <w:t>medicine.</w:t>
      </w:r>
    </w:p>
    <w:p>
      <w:pPr>
        <w:pStyle w:val="ListParagraph"/>
        <w:numPr>
          <w:ilvl w:val="1"/>
          <w:numId w:val="11"/>
        </w:numPr>
        <w:tabs>
          <w:tab w:pos="632" w:val="left" w:leader="none"/>
        </w:tabs>
        <w:spacing w:line="249" w:lineRule="auto" w:before="179" w:after="0"/>
        <w:ind w:left="631" w:right="969" w:hanging="216"/>
        <w:jc w:val="left"/>
        <w:rPr>
          <w:sz w:val="20"/>
        </w:rPr>
      </w:pPr>
      <w:r>
        <w:rPr>
          <w:b/>
          <w:sz w:val="20"/>
        </w:rPr>
        <w:t>Microbial genomics: </w:t>
      </w:r>
      <w:r>
        <w:rPr>
          <w:sz w:val="20"/>
        </w:rPr>
        <w:t>The human microbiome </w:t>
      </w:r>
      <w:r>
        <w:rPr>
          <w:spacing w:val="-4"/>
          <w:sz w:val="20"/>
        </w:rPr>
        <w:t>in </w:t>
      </w:r>
      <w:r>
        <w:rPr>
          <w:sz w:val="20"/>
        </w:rPr>
        <w:t>health and disease; pathogenic microorganisms (including </w:t>
      </w:r>
      <w:r>
        <w:rPr>
          <w:spacing w:val="-3"/>
          <w:sz w:val="20"/>
        </w:rPr>
        <w:t>yeast </w:t>
      </w:r>
      <w:r>
        <w:rPr>
          <w:sz w:val="20"/>
        </w:rPr>
        <w:t>and bacteria); host/pathogen interactions; archaea; extremophiles; viruses and phages;</w:t>
      </w:r>
      <w:r>
        <w:rPr>
          <w:spacing w:val="3"/>
          <w:sz w:val="20"/>
        </w:rPr>
        <w:t> </w:t>
      </w:r>
      <w:r>
        <w:rPr>
          <w:sz w:val="20"/>
        </w:rPr>
        <w:t>bioterrorism.</w:t>
      </w:r>
    </w:p>
    <w:p>
      <w:pPr>
        <w:pStyle w:val="ListParagraph"/>
        <w:numPr>
          <w:ilvl w:val="1"/>
          <w:numId w:val="11"/>
        </w:numPr>
        <w:tabs>
          <w:tab w:pos="632" w:val="left" w:leader="none"/>
        </w:tabs>
        <w:spacing w:line="249" w:lineRule="auto" w:before="186" w:after="0"/>
        <w:ind w:left="631" w:right="664" w:hanging="216"/>
        <w:jc w:val="left"/>
        <w:rPr>
          <w:sz w:val="20"/>
        </w:rPr>
      </w:pPr>
      <w:r>
        <w:rPr>
          <w:b/>
          <w:sz w:val="20"/>
        </w:rPr>
        <w:t>Model organism genomics: </w:t>
      </w:r>
      <w:r>
        <w:rPr>
          <w:sz w:val="20"/>
        </w:rPr>
        <w:t>Studies conducted in yeast, flies, worms, and mice exploiting the outstanding genomics resources that have </w:t>
      </w:r>
      <w:r>
        <w:rPr>
          <w:spacing w:val="-4"/>
          <w:sz w:val="20"/>
        </w:rPr>
        <w:t>been </w:t>
      </w:r>
      <w:r>
        <w:rPr>
          <w:sz w:val="20"/>
        </w:rPr>
        <w:t>developed for these organisms (genome sequences, gene annotations, gene knockout collections, plasmid collections,</w:t>
      </w:r>
      <w:r>
        <w:rPr>
          <w:spacing w:val="4"/>
          <w:sz w:val="20"/>
        </w:rPr>
        <w:t> </w:t>
      </w:r>
      <w:r>
        <w:rPr>
          <w:sz w:val="20"/>
        </w:rPr>
        <w:t>etc.).</w:t>
      </w:r>
    </w:p>
    <w:p>
      <w:pPr>
        <w:pStyle w:val="ListParagraph"/>
        <w:numPr>
          <w:ilvl w:val="1"/>
          <w:numId w:val="11"/>
        </w:numPr>
        <w:tabs>
          <w:tab w:pos="632" w:val="left" w:leader="none"/>
        </w:tabs>
        <w:spacing w:line="249" w:lineRule="auto" w:before="182" w:after="0"/>
        <w:ind w:left="631" w:right="774" w:hanging="216"/>
        <w:jc w:val="left"/>
        <w:rPr>
          <w:sz w:val="20"/>
        </w:rPr>
      </w:pPr>
      <w:r>
        <w:rPr>
          <w:b/>
          <w:sz w:val="20"/>
        </w:rPr>
        <w:t>Evolutionary and comparative genomics: </w:t>
      </w:r>
      <w:r>
        <w:rPr>
          <w:sz w:val="20"/>
        </w:rPr>
        <w:t>Sequence comparisons across species to study</w:t>
      </w:r>
      <w:r>
        <w:rPr>
          <w:spacing w:val="-19"/>
          <w:sz w:val="20"/>
        </w:rPr>
        <w:t> </w:t>
      </w:r>
      <w:r>
        <w:rPr>
          <w:sz w:val="20"/>
        </w:rPr>
        <w:t>gene, protein, and genome</w:t>
      </w:r>
      <w:r>
        <w:rPr>
          <w:spacing w:val="-5"/>
          <w:sz w:val="20"/>
        </w:rPr>
        <w:t> </w:t>
      </w:r>
      <w:r>
        <w:rPr>
          <w:sz w:val="20"/>
        </w:rPr>
        <w:t>evolution.</w:t>
      </w:r>
    </w:p>
    <w:p>
      <w:pPr>
        <w:pStyle w:val="ListParagraph"/>
        <w:numPr>
          <w:ilvl w:val="1"/>
          <w:numId w:val="11"/>
        </w:numPr>
        <w:tabs>
          <w:tab w:pos="632" w:val="left" w:leader="none"/>
        </w:tabs>
        <w:spacing w:line="249" w:lineRule="auto" w:before="185" w:after="0"/>
        <w:ind w:left="631" w:right="666" w:hanging="216"/>
        <w:jc w:val="left"/>
        <w:rPr>
          <w:sz w:val="20"/>
        </w:rPr>
      </w:pPr>
      <w:r>
        <w:rPr>
          <w:b/>
          <w:sz w:val="20"/>
        </w:rPr>
        <w:t>Genetics, molecular biology, biochemistry: </w:t>
      </w:r>
      <w:r>
        <w:rPr>
          <w:sz w:val="20"/>
        </w:rPr>
        <w:t>Basic molecular processes surrounding gene and genome function, </w:t>
      </w:r>
      <w:r>
        <w:rPr>
          <w:spacing w:val="-3"/>
          <w:sz w:val="20"/>
        </w:rPr>
        <w:t>such </w:t>
      </w:r>
      <w:r>
        <w:rPr>
          <w:sz w:val="20"/>
        </w:rPr>
        <w:t>as </w:t>
      </w:r>
      <w:r>
        <w:rPr>
          <w:spacing w:val="-3"/>
          <w:sz w:val="20"/>
        </w:rPr>
        <w:t>RNA </w:t>
      </w:r>
      <w:r>
        <w:rPr>
          <w:sz w:val="20"/>
        </w:rPr>
        <w:t>transcription, gene regulation, DNA damage and repair, DNA folding/packaging, and chromosome function.</w:t>
      </w:r>
    </w:p>
    <w:p>
      <w:pPr>
        <w:pStyle w:val="BodyText"/>
        <w:spacing w:before="0"/>
        <w:ind w:left="0"/>
        <w:rPr>
          <w:sz w:val="22"/>
        </w:rPr>
      </w:pPr>
    </w:p>
    <w:p>
      <w:pPr>
        <w:pStyle w:val="BodyText"/>
        <w:spacing w:before="5"/>
        <w:ind w:left="0"/>
        <w:rPr>
          <w:sz w:val="30"/>
        </w:rPr>
      </w:pPr>
    </w:p>
    <w:p>
      <w:pPr>
        <w:pStyle w:val="Heading6"/>
        <w:spacing w:line="249" w:lineRule="auto" w:before="1"/>
        <w:ind w:left="199" w:right="1565"/>
      </w:pPr>
      <w:r>
        <w:rPr/>
        <w:t>Study and Research Focus Areas — Applied Pharmacology and Toxicology</w:t>
      </w:r>
    </w:p>
    <w:p>
      <w:pPr>
        <w:pStyle w:val="ListParagraph"/>
        <w:numPr>
          <w:ilvl w:val="0"/>
          <w:numId w:val="11"/>
        </w:numPr>
        <w:tabs>
          <w:tab w:pos="406" w:val="left" w:leader="none"/>
        </w:tabs>
        <w:spacing w:line="249" w:lineRule="auto" w:before="179" w:after="0"/>
        <w:ind w:left="199" w:right="734" w:firstLine="0"/>
        <w:jc w:val="left"/>
        <w:rPr>
          <w:sz w:val="20"/>
        </w:rPr>
      </w:pPr>
      <w:r>
        <w:rPr>
          <w:b/>
          <w:sz w:val="20"/>
        </w:rPr>
        <w:t>Applied Pharmacology and Toxicology: </w:t>
      </w:r>
      <w:r>
        <w:rPr>
          <w:sz w:val="20"/>
        </w:rPr>
        <w:t>The</w:t>
      </w:r>
      <w:r>
        <w:rPr>
          <w:spacing w:val="-22"/>
          <w:sz w:val="20"/>
        </w:rPr>
        <w:t> </w:t>
      </w:r>
      <w:r>
        <w:rPr>
          <w:sz w:val="20"/>
        </w:rPr>
        <w:t>Applied Pharmacology and Toxicology track offers a unique interdisciplinary graduate education, which provides training in the following areas: neuropharmacology, oncopharmacology, drug development, statistics, and molecular and mechanistic</w:t>
      </w:r>
      <w:r>
        <w:rPr>
          <w:spacing w:val="-13"/>
          <w:sz w:val="20"/>
        </w:rPr>
        <w:t> </w:t>
      </w:r>
      <w:r>
        <w:rPr>
          <w:sz w:val="20"/>
        </w:rPr>
        <w:t>toxicology.</w:t>
      </w:r>
    </w:p>
    <w:p>
      <w:pPr>
        <w:pStyle w:val="BodyText"/>
        <w:spacing w:line="249" w:lineRule="auto" w:before="186"/>
        <w:ind w:left="199" w:right="807"/>
      </w:pPr>
      <w:r>
        <w:rPr/>
        <w:t>Applied pharmacology leverages cutting-edge pharmacological tools to gain a deeper understanding of receptors and their cognate endogenous or exogenous</w:t>
      </w:r>
    </w:p>
    <w:p>
      <w:pPr>
        <w:spacing w:after="0" w:line="249" w:lineRule="auto"/>
        <w:sectPr>
          <w:pgSz w:w="12240" w:h="15840"/>
          <w:pgMar w:header="746" w:footer="0" w:top="1320" w:bottom="280" w:left="880" w:right="300"/>
          <w:cols w:num="2" w:equalWidth="0">
            <w:col w:w="4997" w:space="489"/>
            <w:col w:w="5574"/>
          </w:cols>
        </w:sectPr>
      </w:pPr>
    </w:p>
    <w:p>
      <w:pPr>
        <w:pStyle w:val="BodyText"/>
        <w:spacing w:line="249" w:lineRule="auto" w:before="100"/>
        <w:ind w:right="6302"/>
      </w:pPr>
      <w:r>
        <w:rPr/>
        <w:t>effectors in the context of biological systems. Within the context of disease states this research is directly geared toward drug development. Research largely focuses on elucidating disease mechanisms in brain and all other systems in cancerous states with the ultimate goal of developing novel therapeutic strategies.</w:t>
      </w:r>
    </w:p>
    <w:p>
      <w:pPr>
        <w:pStyle w:val="BodyText"/>
        <w:spacing w:line="249" w:lineRule="auto" w:before="182"/>
        <w:ind w:right="6152"/>
      </w:pPr>
      <w:r>
        <w:rPr/>
        <w:t>Research in molecular and mechanistic toxicology focuses on mechanisms of cellular responses to drugs, environmental chemicals, and radiation in mammalian systems. Research in toxicology and environmental health focuses on health effects of ambient air particulate matter in urban and rural areas, toxicology of marine and estuary waters, and the role of genetic polymorphisms in individual susceptibility to adverse health effects of environmental and occupational chemicals.</w:t>
      </w:r>
    </w:p>
    <w:p>
      <w:pPr>
        <w:pStyle w:val="BodyText"/>
        <w:spacing w:before="0"/>
        <w:ind w:left="0"/>
        <w:rPr>
          <w:sz w:val="22"/>
        </w:rPr>
      </w:pPr>
    </w:p>
    <w:p>
      <w:pPr>
        <w:pStyle w:val="BodyText"/>
        <w:spacing w:before="8"/>
        <w:ind w:left="0"/>
        <w:rPr>
          <w:sz w:val="30"/>
        </w:rPr>
      </w:pPr>
    </w:p>
    <w:p>
      <w:pPr>
        <w:pStyle w:val="ListParagraph"/>
        <w:numPr>
          <w:ilvl w:val="0"/>
          <w:numId w:val="12"/>
        </w:numPr>
        <w:tabs>
          <w:tab w:pos="924" w:val="left" w:leader="none"/>
          <w:tab w:pos="925" w:val="left" w:leader="none"/>
        </w:tabs>
        <w:spacing w:line="240" w:lineRule="auto" w:before="0" w:after="0"/>
        <w:ind w:left="924" w:right="0" w:hanging="724"/>
        <w:jc w:val="left"/>
        <w:rPr>
          <w:sz w:val="20"/>
        </w:rPr>
      </w:pPr>
      <w:r>
        <w:rPr>
          <w:sz w:val="20"/>
        </w:rPr>
        <w:t>Neuropharmacology</w:t>
      </w:r>
    </w:p>
    <w:p>
      <w:pPr>
        <w:pStyle w:val="ListParagraph"/>
        <w:numPr>
          <w:ilvl w:val="0"/>
          <w:numId w:val="12"/>
        </w:numPr>
        <w:tabs>
          <w:tab w:pos="924" w:val="left" w:leader="none"/>
          <w:tab w:pos="925" w:val="left" w:leader="none"/>
        </w:tabs>
        <w:spacing w:line="240" w:lineRule="auto" w:before="193" w:after="0"/>
        <w:ind w:left="924" w:right="0" w:hanging="724"/>
        <w:jc w:val="left"/>
        <w:rPr>
          <w:sz w:val="20"/>
        </w:rPr>
      </w:pPr>
      <w:r>
        <w:rPr>
          <w:sz w:val="20"/>
        </w:rPr>
        <w:t>Oncopharmacology</w:t>
      </w:r>
    </w:p>
    <w:p>
      <w:pPr>
        <w:pStyle w:val="ListParagraph"/>
        <w:numPr>
          <w:ilvl w:val="0"/>
          <w:numId w:val="12"/>
        </w:numPr>
        <w:tabs>
          <w:tab w:pos="924" w:val="left" w:leader="none"/>
          <w:tab w:pos="925" w:val="left" w:leader="none"/>
        </w:tabs>
        <w:spacing w:line="240" w:lineRule="auto" w:before="187" w:after="0"/>
        <w:ind w:left="924" w:right="0" w:hanging="724"/>
        <w:jc w:val="left"/>
        <w:rPr>
          <w:sz w:val="20"/>
        </w:rPr>
      </w:pPr>
      <w:r>
        <w:rPr>
          <w:sz w:val="20"/>
        </w:rPr>
        <w:t>Apoptosis</w:t>
      </w:r>
    </w:p>
    <w:p>
      <w:pPr>
        <w:pStyle w:val="ListParagraph"/>
        <w:numPr>
          <w:ilvl w:val="0"/>
          <w:numId w:val="12"/>
        </w:numPr>
        <w:tabs>
          <w:tab w:pos="924" w:val="left" w:leader="none"/>
          <w:tab w:pos="925" w:val="left" w:leader="none"/>
        </w:tabs>
        <w:spacing w:line="240" w:lineRule="auto" w:before="193" w:after="0"/>
        <w:ind w:left="924" w:right="0" w:hanging="724"/>
        <w:jc w:val="left"/>
        <w:rPr>
          <w:sz w:val="20"/>
        </w:rPr>
      </w:pPr>
      <w:r>
        <w:rPr>
          <w:sz w:val="20"/>
        </w:rPr>
        <w:t>Clinical chemistry and</w:t>
      </w:r>
      <w:r>
        <w:rPr>
          <w:spacing w:val="-11"/>
          <w:sz w:val="20"/>
        </w:rPr>
        <w:t> </w:t>
      </w:r>
      <w:r>
        <w:rPr>
          <w:sz w:val="20"/>
        </w:rPr>
        <w:t>pharmacology</w:t>
      </w:r>
    </w:p>
    <w:p>
      <w:pPr>
        <w:pStyle w:val="ListParagraph"/>
        <w:numPr>
          <w:ilvl w:val="0"/>
          <w:numId w:val="12"/>
        </w:numPr>
        <w:tabs>
          <w:tab w:pos="924" w:val="left" w:leader="none"/>
          <w:tab w:pos="925" w:val="left" w:leader="none"/>
        </w:tabs>
        <w:spacing w:line="240" w:lineRule="auto" w:before="187" w:after="0"/>
        <w:ind w:left="924" w:right="0" w:hanging="724"/>
        <w:jc w:val="left"/>
        <w:rPr>
          <w:sz w:val="20"/>
        </w:rPr>
      </w:pPr>
      <w:r>
        <w:rPr>
          <w:sz w:val="20"/>
        </w:rPr>
        <w:t>Splicing and post-transcriptional</w:t>
      </w:r>
      <w:r>
        <w:rPr>
          <w:spacing w:val="-2"/>
          <w:sz w:val="20"/>
        </w:rPr>
        <w:t> </w:t>
      </w:r>
      <w:r>
        <w:rPr>
          <w:spacing w:val="-3"/>
          <w:sz w:val="20"/>
        </w:rPr>
        <w:t>control</w:t>
      </w:r>
    </w:p>
    <w:p>
      <w:pPr>
        <w:pStyle w:val="ListParagraph"/>
        <w:numPr>
          <w:ilvl w:val="0"/>
          <w:numId w:val="12"/>
        </w:numPr>
        <w:tabs>
          <w:tab w:pos="924" w:val="left" w:leader="none"/>
          <w:tab w:pos="925" w:val="left" w:leader="none"/>
        </w:tabs>
        <w:spacing w:line="240" w:lineRule="auto" w:before="192" w:after="0"/>
        <w:ind w:left="924" w:right="0" w:hanging="724"/>
        <w:jc w:val="left"/>
        <w:rPr>
          <w:sz w:val="20"/>
        </w:rPr>
      </w:pPr>
      <w:r>
        <w:rPr>
          <w:sz w:val="20"/>
        </w:rPr>
        <w:t>Brain development and</w:t>
      </w:r>
      <w:r>
        <w:rPr>
          <w:spacing w:val="-2"/>
          <w:sz w:val="20"/>
        </w:rPr>
        <w:t> </w:t>
      </w:r>
      <w:r>
        <w:rPr>
          <w:spacing w:val="-3"/>
          <w:sz w:val="20"/>
        </w:rPr>
        <w:t>behavior</w:t>
      </w:r>
    </w:p>
    <w:p>
      <w:pPr>
        <w:pStyle w:val="ListParagraph"/>
        <w:numPr>
          <w:ilvl w:val="0"/>
          <w:numId w:val="12"/>
        </w:numPr>
        <w:tabs>
          <w:tab w:pos="924" w:val="left" w:leader="none"/>
          <w:tab w:pos="925" w:val="left" w:leader="none"/>
        </w:tabs>
        <w:spacing w:line="240" w:lineRule="auto" w:before="188" w:after="0"/>
        <w:ind w:left="924" w:right="0" w:hanging="725"/>
        <w:jc w:val="left"/>
        <w:rPr>
          <w:sz w:val="20"/>
        </w:rPr>
      </w:pPr>
      <w:r>
        <w:rPr>
          <w:sz w:val="20"/>
        </w:rPr>
        <w:t>Modulation </w:t>
      </w:r>
      <w:r>
        <w:rPr>
          <w:spacing w:val="-3"/>
          <w:sz w:val="20"/>
        </w:rPr>
        <w:t>of </w:t>
      </w:r>
      <w:r>
        <w:rPr>
          <w:sz w:val="20"/>
        </w:rPr>
        <w:t>neuronal</w:t>
      </w:r>
      <w:r>
        <w:rPr>
          <w:spacing w:val="6"/>
          <w:sz w:val="20"/>
        </w:rPr>
        <w:t> </w:t>
      </w:r>
      <w:r>
        <w:rPr>
          <w:sz w:val="20"/>
        </w:rPr>
        <w:t>plasticity</w:t>
      </w:r>
    </w:p>
    <w:p>
      <w:pPr>
        <w:pStyle w:val="ListParagraph"/>
        <w:numPr>
          <w:ilvl w:val="0"/>
          <w:numId w:val="12"/>
        </w:numPr>
        <w:tabs>
          <w:tab w:pos="924" w:val="left" w:leader="none"/>
          <w:tab w:pos="925" w:val="left" w:leader="none"/>
        </w:tabs>
        <w:spacing w:line="240" w:lineRule="auto" w:before="192" w:after="0"/>
        <w:ind w:left="924" w:right="0" w:hanging="725"/>
        <w:jc w:val="left"/>
        <w:rPr>
          <w:sz w:val="20"/>
        </w:rPr>
      </w:pPr>
      <w:r>
        <w:rPr>
          <w:sz w:val="20"/>
        </w:rPr>
        <w:t>Pharmacology of ion</w:t>
      </w:r>
      <w:r>
        <w:rPr>
          <w:spacing w:val="1"/>
          <w:sz w:val="20"/>
        </w:rPr>
        <w:t> </w:t>
      </w:r>
      <w:r>
        <w:rPr>
          <w:sz w:val="20"/>
        </w:rPr>
        <w:t>channels</w:t>
      </w:r>
    </w:p>
    <w:p>
      <w:pPr>
        <w:pStyle w:val="ListParagraph"/>
        <w:numPr>
          <w:ilvl w:val="0"/>
          <w:numId w:val="12"/>
        </w:numPr>
        <w:tabs>
          <w:tab w:pos="924" w:val="left" w:leader="none"/>
          <w:tab w:pos="925" w:val="left" w:leader="none"/>
        </w:tabs>
        <w:spacing w:line="240" w:lineRule="auto" w:before="188" w:after="0"/>
        <w:ind w:left="924" w:right="0" w:hanging="725"/>
        <w:jc w:val="left"/>
        <w:rPr>
          <w:sz w:val="20"/>
        </w:rPr>
      </w:pPr>
      <w:r>
        <w:rPr>
          <w:sz w:val="20"/>
        </w:rPr>
        <w:t>Glial cell function and endocrine</w:t>
      </w:r>
      <w:r>
        <w:rPr>
          <w:spacing w:val="1"/>
          <w:sz w:val="20"/>
        </w:rPr>
        <w:t> </w:t>
      </w:r>
      <w:r>
        <w:rPr>
          <w:sz w:val="20"/>
        </w:rPr>
        <w:t>disruptors</w:t>
      </w:r>
    </w:p>
    <w:p>
      <w:pPr>
        <w:pStyle w:val="ListParagraph"/>
        <w:numPr>
          <w:ilvl w:val="0"/>
          <w:numId w:val="12"/>
        </w:numPr>
        <w:tabs>
          <w:tab w:pos="924" w:val="left" w:leader="none"/>
          <w:tab w:pos="925" w:val="left" w:leader="none"/>
        </w:tabs>
        <w:spacing w:line="240" w:lineRule="auto" w:before="192" w:after="0"/>
        <w:ind w:left="924" w:right="0" w:hanging="725"/>
        <w:jc w:val="left"/>
        <w:rPr>
          <w:sz w:val="20"/>
        </w:rPr>
      </w:pPr>
      <w:r>
        <w:rPr>
          <w:sz w:val="20"/>
        </w:rPr>
        <w:t>Neurotoxicology</w:t>
      </w:r>
    </w:p>
    <w:p>
      <w:pPr>
        <w:pStyle w:val="ListParagraph"/>
        <w:numPr>
          <w:ilvl w:val="0"/>
          <w:numId w:val="12"/>
        </w:numPr>
        <w:tabs>
          <w:tab w:pos="924" w:val="left" w:leader="none"/>
          <w:tab w:pos="925" w:val="left" w:leader="none"/>
        </w:tabs>
        <w:spacing w:line="240" w:lineRule="auto" w:before="188" w:after="0"/>
        <w:ind w:left="924" w:right="0" w:hanging="725"/>
        <w:jc w:val="left"/>
        <w:rPr>
          <w:sz w:val="20"/>
        </w:rPr>
      </w:pPr>
      <w:r>
        <w:rPr>
          <w:spacing w:val="-3"/>
          <w:sz w:val="20"/>
        </w:rPr>
        <w:t>Cancer</w:t>
      </w:r>
      <w:r>
        <w:rPr>
          <w:spacing w:val="2"/>
          <w:sz w:val="20"/>
        </w:rPr>
        <w:t> </w:t>
      </w:r>
      <w:r>
        <w:rPr>
          <w:sz w:val="20"/>
        </w:rPr>
        <w:t>toxicology</w:t>
      </w:r>
    </w:p>
    <w:p>
      <w:pPr>
        <w:pStyle w:val="ListParagraph"/>
        <w:numPr>
          <w:ilvl w:val="0"/>
          <w:numId w:val="12"/>
        </w:numPr>
        <w:tabs>
          <w:tab w:pos="924" w:val="left" w:leader="none"/>
          <w:tab w:pos="925" w:val="left" w:leader="none"/>
        </w:tabs>
        <w:spacing w:line="240" w:lineRule="auto" w:before="192" w:after="0"/>
        <w:ind w:left="924" w:right="0" w:hanging="725"/>
        <w:jc w:val="left"/>
        <w:rPr>
          <w:sz w:val="20"/>
        </w:rPr>
      </w:pPr>
      <w:r>
        <w:rPr>
          <w:sz w:val="20"/>
        </w:rPr>
        <w:t>Developmental</w:t>
      </w:r>
      <w:r>
        <w:rPr>
          <w:spacing w:val="-2"/>
          <w:sz w:val="20"/>
        </w:rPr>
        <w:t> </w:t>
      </w:r>
      <w:r>
        <w:rPr>
          <w:sz w:val="20"/>
        </w:rPr>
        <w:t>toxicology</w:t>
      </w:r>
    </w:p>
    <w:p>
      <w:pPr>
        <w:pStyle w:val="ListParagraph"/>
        <w:numPr>
          <w:ilvl w:val="0"/>
          <w:numId w:val="12"/>
        </w:numPr>
        <w:tabs>
          <w:tab w:pos="924" w:val="left" w:leader="none"/>
          <w:tab w:pos="925" w:val="left" w:leader="none"/>
        </w:tabs>
        <w:spacing w:line="240" w:lineRule="auto" w:before="188" w:after="0"/>
        <w:ind w:left="924" w:right="0" w:hanging="725"/>
        <w:jc w:val="left"/>
        <w:rPr>
          <w:sz w:val="20"/>
        </w:rPr>
      </w:pPr>
      <w:r>
        <w:rPr>
          <w:sz w:val="20"/>
        </w:rPr>
        <w:t>Molecular mechanisms </w:t>
      </w:r>
      <w:r>
        <w:rPr>
          <w:spacing w:val="-3"/>
          <w:sz w:val="20"/>
        </w:rPr>
        <w:t>of </w:t>
      </w:r>
      <w:r>
        <w:rPr>
          <w:sz w:val="20"/>
        </w:rPr>
        <w:t>cell</w:t>
      </w:r>
      <w:r>
        <w:rPr>
          <w:spacing w:val="7"/>
          <w:sz w:val="20"/>
        </w:rPr>
        <w:t> </w:t>
      </w:r>
      <w:r>
        <w:rPr>
          <w:sz w:val="20"/>
        </w:rPr>
        <w:t>injury</w:t>
      </w:r>
    </w:p>
    <w:p>
      <w:pPr>
        <w:pStyle w:val="ListParagraph"/>
        <w:numPr>
          <w:ilvl w:val="0"/>
          <w:numId w:val="12"/>
        </w:numPr>
        <w:tabs>
          <w:tab w:pos="919" w:val="left" w:leader="none"/>
          <w:tab w:pos="920" w:val="left" w:leader="none"/>
        </w:tabs>
        <w:spacing w:line="240" w:lineRule="auto" w:before="192" w:after="0"/>
        <w:ind w:left="919" w:right="0" w:hanging="720"/>
        <w:jc w:val="left"/>
        <w:rPr>
          <w:sz w:val="20"/>
        </w:rPr>
      </w:pPr>
      <w:r>
        <w:rPr>
          <w:sz w:val="20"/>
        </w:rPr>
        <w:t>Environmental</w:t>
      </w:r>
      <w:r>
        <w:rPr>
          <w:spacing w:val="-2"/>
          <w:sz w:val="20"/>
        </w:rPr>
        <w:t> </w:t>
      </w:r>
      <w:r>
        <w:rPr>
          <w:sz w:val="20"/>
        </w:rPr>
        <w:t>toxicology</w:t>
      </w:r>
    </w:p>
    <w:p>
      <w:pPr>
        <w:pStyle w:val="ListParagraph"/>
        <w:numPr>
          <w:ilvl w:val="0"/>
          <w:numId w:val="12"/>
        </w:numPr>
        <w:tabs>
          <w:tab w:pos="924" w:val="left" w:leader="none"/>
          <w:tab w:pos="925" w:val="left" w:leader="none"/>
        </w:tabs>
        <w:spacing w:line="240" w:lineRule="auto" w:before="188" w:after="0"/>
        <w:ind w:left="924" w:right="0" w:hanging="725"/>
        <w:jc w:val="left"/>
        <w:rPr>
          <w:sz w:val="20"/>
        </w:rPr>
      </w:pPr>
      <w:r>
        <w:rPr>
          <w:sz w:val="20"/>
        </w:rPr>
        <w:t>Oxidative stress and</w:t>
      </w:r>
      <w:r>
        <w:rPr>
          <w:spacing w:val="-3"/>
          <w:sz w:val="20"/>
        </w:rPr>
        <w:t> </w:t>
      </w:r>
      <w:r>
        <w:rPr>
          <w:sz w:val="20"/>
        </w:rPr>
        <w:t>signaling</w:t>
      </w:r>
    </w:p>
    <w:p>
      <w:pPr>
        <w:pStyle w:val="ListParagraph"/>
        <w:numPr>
          <w:ilvl w:val="0"/>
          <w:numId w:val="12"/>
        </w:numPr>
        <w:tabs>
          <w:tab w:pos="924" w:val="left" w:leader="none"/>
          <w:tab w:pos="925" w:val="left" w:leader="none"/>
        </w:tabs>
        <w:spacing w:line="240" w:lineRule="auto" w:before="192" w:after="0"/>
        <w:ind w:left="924" w:right="0" w:hanging="725"/>
        <w:jc w:val="left"/>
        <w:rPr>
          <w:sz w:val="20"/>
        </w:rPr>
      </w:pPr>
      <w:r>
        <w:rPr>
          <w:sz w:val="20"/>
        </w:rPr>
        <w:t>Aquatic</w:t>
      </w:r>
      <w:r>
        <w:rPr>
          <w:spacing w:val="-2"/>
          <w:sz w:val="20"/>
        </w:rPr>
        <w:t> </w:t>
      </w:r>
      <w:r>
        <w:rPr>
          <w:sz w:val="20"/>
        </w:rPr>
        <w:t>toxicology</w:t>
      </w:r>
    </w:p>
    <w:p>
      <w:pPr>
        <w:pStyle w:val="BodyText"/>
        <w:spacing w:line="249" w:lineRule="auto" w:before="187"/>
        <w:ind w:left="199" w:right="6392"/>
      </w:pPr>
      <w:r>
        <w:rPr/>
        <w:t>Details are given in the Course Descriptions part of this catalog.</w:t>
      </w:r>
    </w:p>
    <w:p>
      <w:pPr>
        <w:spacing w:after="0" w:line="249" w:lineRule="auto"/>
        <w:sectPr>
          <w:pgSz w:w="12240" w:h="15840"/>
          <w:pgMar w:header="746" w:footer="0" w:top="1320" w:bottom="280" w:left="880" w:right="300"/>
        </w:sectPr>
      </w:pPr>
    </w:p>
    <w:p>
      <w:pPr>
        <w:pStyle w:val="Heading3"/>
      </w:pPr>
      <w:bookmarkStart w:name="Molecular Microbiology and Immunology" w:id="41"/>
      <w:bookmarkEnd w:id="41"/>
      <w:r>
        <w:rPr/>
      </w:r>
      <w:bookmarkStart w:name="_bookmark20" w:id="42"/>
      <w:bookmarkEnd w:id="42"/>
      <w:r>
        <w:rPr/>
      </w:r>
      <w:r>
        <w:rPr/>
        <w:t>Molecular Microbiology and Immunology</w:t>
      </w:r>
    </w:p>
    <w:p>
      <w:pPr>
        <w:spacing w:line="427" w:lineRule="auto" w:before="171"/>
        <w:ind w:left="200" w:right="291" w:firstLine="0"/>
        <w:jc w:val="left"/>
        <w:rPr>
          <w:b/>
          <w:sz w:val="20"/>
        </w:rPr>
      </w:pPr>
      <w:r>
        <w:rPr>
          <w:b/>
          <w:sz w:val="22"/>
        </w:rPr>
        <w:t>Graduate Program in Life Sciences </w:t>
      </w:r>
      <w:hyperlink r:id="rId52">
        <w:r>
          <w:rPr>
            <w:color w:val="0000FF"/>
            <w:sz w:val="20"/>
            <w:u w:val="single" w:color="0000FF"/>
          </w:rPr>
          <w:t>http://lifesciences.umaryland.edu/microbiology/</w:t>
        </w:r>
      </w:hyperlink>
      <w:r>
        <w:rPr>
          <w:color w:val="0000FF"/>
          <w:sz w:val="20"/>
        </w:rPr>
        <w:t> </w:t>
      </w:r>
      <w:r>
        <w:rPr>
          <w:b/>
          <w:sz w:val="20"/>
        </w:rPr>
        <w:t>Degrees Offered</w:t>
      </w:r>
    </w:p>
    <w:p>
      <w:pPr>
        <w:pStyle w:val="BodyText"/>
        <w:spacing w:before="12"/>
      </w:pPr>
      <w:r>
        <w:rPr/>
        <w:t>PhD, PhD/MD, PhD/DDS</w:t>
      </w:r>
    </w:p>
    <w:p>
      <w:pPr>
        <w:pStyle w:val="Heading6"/>
        <w:spacing w:before="188"/>
      </w:pPr>
      <w:r>
        <w:rPr/>
        <w:t>Program Description</w:t>
      </w:r>
    </w:p>
    <w:p>
      <w:pPr>
        <w:pStyle w:val="BodyText"/>
        <w:spacing w:line="249" w:lineRule="auto" w:before="192"/>
        <w:ind w:left="199" w:right="48"/>
      </w:pPr>
      <w:r>
        <w:rPr/>
        <w:t>The </w:t>
      </w:r>
      <w:r>
        <w:rPr>
          <w:spacing w:val="-3"/>
        </w:rPr>
        <w:t>Doctor of </w:t>
      </w:r>
      <w:r>
        <w:rPr/>
        <w:t>Philosophy program in molecular microbiology and immunology provides training opportunities in a variety of subdisciplines, including tracks in immunology, cancer immunology, bacteriology, virology, parasitology, fungal pathogenesis, microbial genomics, and cell </w:t>
      </w:r>
      <w:r>
        <w:rPr>
          <w:spacing w:val="-3"/>
        </w:rPr>
        <w:t>biology. </w:t>
      </w:r>
      <w:r>
        <w:rPr/>
        <w:t>The program emphasizes molecular aspects </w:t>
      </w:r>
      <w:r>
        <w:rPr>
          <w:spacing w:val="-3"/>
        </w:rPr>
        <w:t>of </w:t>
      </w:r>
      <w:r>
        <w:rPr/>
        <w:t>host defense and host-pathogen relationships. A rigorous curriculum and advanced research training prepare students </w:t>
      </w:r>
      <w:r>
        <w:rPr>
          <w:spacing w:val="-4"/>
        </w:rPr>
        <w:t>for </w:t>
      </w:r>
      <w:r>
        <w:rPr/>
        <w:t>careers in biomedical research. Students accepted into the program receive graduate fellowships </w:t>
      </w:r>
      <w:r>
        <w:rPr>
          <w:spacing w:val="-3"/>
        </w:rPr>
        <w:t>or </w:t>
      </w:r>
      <w:r>
        <w:rPr/>
        <w:t>assistantships that consist </w:t>
      </w:r>
      <w:r>
        <w:rPr>
          <w:spacing w:val="-3"/>
        </w:rPr>
        <w:t>of </w:t>
      </w:r>
      <w:r>
        <w:rPr/>
        <w:t>an annual stipend, tuition remission, and health</w:t>
      </w:r>
      <w:r>
        <w:rPr>
          <w:spacing w:val="-15"/>
        </w:rPr>
        <w:t> </w:t>
      </w:r>
      <w:r>
        <w:rPr/>
        <w:t>insurance.</w:t>
      </w:r>
    </w:p>
    <w:p>
      <w:pPr>
        <w:pStyle w:val="Heading6"/>
        <w:spacing w:before="186"/>
      </w:pPr>
      <w:r>
        <w:rPr/>
        <w:t>Program Admission</w:t>
      </w:r>
    </w:p>
    <w:p>
      <w:pPr>
        <w:pStyle w:val="BodyText"/>
        <w:spacing w:line="249" w:lineRule="auto" w:before="193"/>
        <w:ind w:left="199" w:right="113"/>
      </w:pPr>
      <w:r>
        <w:rPr/>
        <w:t>In addition to meeting the Graduate School’s minimum admission requirements, applicants generally have strong undergraduate training in the biological sciences, chemistry, mathematics, and general physics. Applicants should have A or B grades in undergraduate science courses. Strong preference goes to applicants with combined verbal and quantitative Graduate Record Examinations scores of 310 or above. The program encourages the application of women and candidates from racial and ethnic minorities under-represented in the sciences. Applications are due by Jan. 15 for the fall semester. The program only admits students for the fall semester.</w:t>
      </w:r>
    </w:p>
    <w:p>
      <w:pPr>
        <w:pStyle w:val="BodyText"/>
        <w:spacing w:line="249" w:lineRule="auto" w:before="187"/>
        <w:ind w:left="199" w:right="19"/>
      </w:pPr>
      <w:r>
        <w:rPr/>
        <w:t>International applicants must score at least 100 on the Test of English as a Foreign Language or a comparable score on the International English Language Testing System exam assessment to be considered for admission.</w:t>
      </w:r>
    </w:p>
    <w:p>
      <w:pPr>
        <w:pStyle w:val="Heading6"/>
        <w:spacing w:before="185"/>
        <w:ind w:left="199"/>
      </w:pPr>
      <w:r>
        <w:rPr/>
        <w:t>Degree Requirements</w:t>
      </w:r>
    </w:p>
    <w:p>
      <w:pPr>
        <w:pStyle w:val="BodyText"/>
        <w:spacing w:line="249" w:lineRule="auto" w:before="188"/>
        <w:ind w:left="199"/>
      </w:pPr>
      <w:r>
        <w:rPr/>
        <w:t>First-year students participate in an innovative core course, Mechanisms in Biomedical Sciences: From Genes to Disease (GPLS 601), in the first semester. Students then take required, program-specific courses that include: immunology; microbial pathogenesis; virology; an elective advanced course (several options available); and research ethics. Additional elective courses may be added. Students</w:t>
      </w:r>
    </w:p>
    <w:p>
      <w:pPr>
        <w:pStyle w:val="BodyText"/>
        <w:spacing w:line="249" w:lineRule="auto" w:before="96"/>
        <w:ind w:left="199" w:right="625"/>
      </w:pPr>
      <w:r>
        <w:rPr/>
        <w:br w:type="column"/>
      </w:r>
      <w:r>
        <w:rPr/>
        <w:t>must maintain a 3.0 GPA to remain in </w:t>
      </w:r>
      <w:r>
        <w:rPr>
          <w:spacing w:val="-3"/>
        </w:rPr>
        <w:t>good </w:t>
      </w:r>
      <w:r>
        <w:rPr/>
        <w:t>academic standing. Averages below this </w:t>
      </w:r>
      <w:r>
        <w:rPr>
          <w:spacing w:val="-3"/>
        </w:rPr>
        <w:t>will </w:t>
      </w:r>
      <w:r>
        <w:rPr/>
        <w:t>lead to academic probation during which the student must raise their GPA </w:t>
      </w:r>
      <w:r>
        <w:rPr>
          <w:spacing w:val="-5"/>
        </w:rPr>
        <w:t>or </w:t>
      </w:r>
      <w:r>
        <w:rPr>
          <w:spacing w:val="-3"/>
        </w:rPr>
        <w:t>be </w:t>
      </w:r>
      <w:r>
        <w:rPr/>
        <w:t>dismissed. As a complement to the coursework, all students participate in program </w:t>
      </w:r>
      <w:r>
        <w:rPr>
          <w:spacing w:val="-5"/>
        </w:rPr>
        <w:t>or </w:t>
      </w:r>
      <w:r>
        <w:rPr/>
        <w:t>schoolwide seminars, career development workshops, discipline-specific journal clubs, and a research-in-progress student presentation series throughout their time in the</w:t>
      </w:r>
      <w:r>
        <w:rPr>
          <w:spacing w:val="-7"/>
        </w:rPr>
        <w:t> </w:t>
      </w:r>
      <w:r>
        <w:rPr/>
        <w:t>program.</w:t>
      </w:r>
    </w:p>
    <w:p>
      <w:pPr>
        <w:pStyle w:val="BodyText"/>
        <w:spacing w:line="249" w:lineRule="auto" w:before="183"/>
        <w:ind w:right="660"/>
      </w:pPr>
      <w:r>
        <w:rPr/>
        <w:t>During the first semester, students are introduced to potential thesis mentors through faculty presentations and each student conducts three laboratory rotations to familiarize themselves with prospective research labs. By the end </w:t>
      </w:r>
      <w:r>
        <w:rPr>
          <w:spacing w:val="-3"/>
        </w:rPr>
        <w:t>of </w:t>
      </w:r>
      <w:r>
        <w:rPr/>
        <w:t>the first year, students should select a dissertation mentor. Students take an oral qualifying exam in the spring </w:t>
      </w:r>
      <w:r>
        <w:rPr>
          <w:spacing w:val="-3"/>
        </w:rPr>
        <w:t>semester of </w:t>
      </w:r>
      <w:r>
        <w:rPr/>
        <w:t>their second year. They must also pass a thesis proposal defense by the end </w:t>
      </w:r>
      <w:r>
        <w:rPr>
          <w:spacing w:val="-3"/>
        </w:rPr>
        <w:t>of </w:t>
      </w:r>
      <w:r>
        <w:rPr/>
        <w:t>their third year, then continue </w:t>
      </w:r>
      <w:r>
        <w:rPr>
          <w:spacing w:val="-3"/>
        </w:rPr>
        <w:t>with </w:t>
      </w:r>
      <w:r>
        <w:rPr/>
        <w:t>full-time thesis research. PhD candidates must successfully complete 12 credits </w:t>
      </w:r>
      <w:r>
        <w:rPr>
          <w:spacing w:val="-3"/>
        </w:rPr>
        <w:t>of </w:t>
      </w:r>
      <w:r>
        <w:rPr/>
        <w:t>doctoral dissertation research in order to</w:t>
      </w:r>
      <w:r>
        <w:rPr>
          <w:spacing w:val="-5"/>
        </w:rPr>
        <w:t> </w:t>
      </w:r>
      <w:r>
        <w:rPr/>
        <w:t>graduate.</w:t>
      </w:r>
    </w:p>
    <w:p>
      <w:pPr>
        <w:pStyle w:val="Heading5"/>
        <w:spacing w:before="187"/>
      </w:pPr>
      <w:r>
        <w:rPr/>
        <w:t>Required Courses</w:t>
      </w:r>
    </w:p>
    <w:p>
      <w:pPr>
        <w:pStyle w:val="BodyText"/>
      </w:pPr>
      <w:r>
        <w:rPr/>
        <w:t>(In addition to GPLS 601)</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9"/>
        <w:gridCol w:w="2720"/>
        <w:gridCol w:w="996"/>
      </w:tblGrid>
      <w:tr>
        <w:trPr>
          <w:trHeight w:val="951" w:hRule="atLeast"/>
        </w:trPr>
        <w:tc>
          <w:tcPr>
            <w:tcW w:w="1239" w:type="dxa"/>
          </w:tcPr>
          <w:p>
            <w:pPr>
              <w:pStyle w:val="TableParagraph"/>
              <w:spacing w:line="223" w:lineRule="exact" w:before="0"/>
              <w:ind w:left="200"/>
              <w:rPr>
                <w:sz w:val="20"/>
              </w:rPr>
            </w:pPr>
            <w:r>
              <w:rPr>
                <w:sz w:val="20"/>
              </w:rPr>
              <w:t>GPLS 601</w:t>
            </w:r>
          </w:p>
        </w:tc>
        <w:tc>
          <w:tcPr>
            <w:tcW w:w="2720" w:type="dxa"/>
          </w:tcPr>
          <w:p>
            <w:pPr>
              <w:pStyle w:val="TableParagraph"/>
              <w:spacing w:line="249" w:lineRule="auto" w:before="0"/>
              <w:ind w:left="199" w:right="195"/>
              <w:rPr>
                <w:sz w:val="20"/>
              </w:rPr>
            </w:pPr>
            <w:r>
              <w:rPr>
                <w:sz w:val="20"/>
              </w:rPr>
              <w:t>MECHANISMS IN BIOMEDICAL SCIENCES: FROM GENES TO</w:t>
            </w:r>
          </w:p>
          <w:p>
            <w:pPr>
              <w:pStyle w:val="TableParagraph"/>
              <w:spacing w:line="219" w:lineRule="exact" w:before="0"/>
              <w:ind w:left="199"/>
              <w:rPr>
                <w:sz w:val="20"/>
              </w:rPr>
            </w:pPr>
            <w:r>
              <w:rPr>
                <w:sz w:val="20"/>
              </w:rPr>
              <w:t>DISEASE</w:t>
            </w:r>
          </w:p>
        </w:tc>
        <w:tc>
          <w:tcPr>
            <w:tcW w:w="996" w:type="dxa"/>
          </w:tcPr>
          <w:p>
            <w:pPr>
              <w:pStyle w:val="TableParagraph"/>
              <w:spacing w:line="223" w:lineRule="exact" w:before="0"/>
              <w:ind w:right="202"/>
              <w:jc w:val="right"/>
              <w:rPr>
                <w:sz w:val="20"/>
              </w:rPr>
            </w:pPr>
            <w:r>
              <w:rPr>
                <w:w w:val="100"/>
                <w:sz w:val="20"/>
              </w:rPr>
              <w:t>8</w:t>
            </w:r>
          </w:p>
        </w:tc>
      </w:tr>
      <w:tr>
        <w:trPr>
          <w:trHeight w:val="480" w:hRule="atLeast"/>
        </w:trPr>
        <w:tc>
          <w:tcPr>
            <w:tcW w:w="1239" w:type="dxa"/>
          </w:tcPr>
          <w:p>
            <w:pPr>
              <w:pStyle w:val="TableParagraph"/>
              <w:ind w:left="200"/>
              <w:rPr>
                <w:sz w:val="20"/>
              </w:rPr>
            </w:pPr>
            <w:r>
              <w:rPr>
                <w:sz w:val="20"/>
              </w:rPr>
              <w:t>GPLS 710</w:t>
            </w:r>
          </w:p>
        </w:tc>
        <w:tc>
          <w:tcPr>
            <w:tcW w:w="2720" w:type="dxa"/>
          </w:tcPr>
          <w:p>
            <w:pPr>
              <w:pStyle w:val="TableParagraph"/>
              <w:ind w:left="199"/>
              <w:rPr>
                <w:sz w:val="20"/>
              </w:rPr>
            </w:pPr>
            <w:r>
              <w:rPr>
                <w:sz w:val="20"/>
              </w:rPr>
              <w:t>MICROBIAL</w:t>
            </w:r>
          </w:p>
          <w:p>
            <w:pPr>
              <w:pStyle w:val="TableParagraph"/>
              <w:spacing w:line="219" w:lineRule="exact" w:before="10"/>
              <w:ind w:left="199"/>
              <w:rPr>
                <w:sz w:val="20"/>
              </w:rPr>
            </w:pPr>
            <w:r>
              <w:rPr>
                <w:sz w:val="20"/>
              </w:rPr>
              <w:t>PATHOGENESIS</w:t>
            </w:r>
          </w:p>
        </w:tc>
        <w:tc>
          <w:tcPr>
            <w:tcW w:w="996" w:type="dxa"/>
          </w:tcPr>
          <w:p>
            <w:pPr>
              <w:pStyle w:val="TableParagraph"/>
              <w:ind w:right="202"/>
              <w:jc w:val="right"/>
              <w:rPr>
                <w:sz w:val="20"/>
              </w:rPr>
            </w:pPr>
            <w:r>
              <w:rPr>
                <w:w w:val="100"/>
                <w:sz w:val="20"/>
              </w:rPr>
              <w:t>3</w:t>
            </w:r>
          </w:p>
        </w:tc>
      </w:tr>
      <w:tr>
        <w:trPr>
          <w:trHeight w:val="240" w:hRule="atLeast"/>
        </w:trPr>
        <w:tc>
          <w:tcPr>
            <w:tcW w:w="1239" w:type="dxa"/>
          </w:tcPr>
          <w:p>
            <w:pPr>
              <w:pStyle w:val="TableParagraph"/>
              <w:spacing w:line="219" w:lineRule="exact"/>
              <w:ind w:left="200"/>
              <w:rPr>
                <w:sz w:val="20"/>
              </w:rPr>
            </w:pPr>
            <w:r>
              <w:rPr>
                <w:sz w:val="20"/>
              </w:rPr>
              <w:t>GPLS 702</w:t>
            </w:r>
          </w:p>
        </w:tc>
        <w:tc>
          <w:tcPr>
            <w:tcW w:w="2720" w:type="dxa"/>
          </w:tcPr>
          <w:p>
            <w:pPr>
              <w:pStyle w:val="TableParagraph"/>
              <w:spacing w:line="219" w:lineRule="exact"/>
              <w:ind w:left="199"/>
              <w:rPr>
                <w:sz w:val="20"/>
              </w:rPr>
            </w:pPr>
            <w:r>
              <w:rPr>
                <w:sz w:val="20"/>
              </w:rPr>
              <w:t>BASIC IMMUNOLOGY</w:t>
            </w:r>
          </w:p>
        </w:tc>
        <w:tc>
          <w:tcPr>
            <w:tcW w:w="996" w:type="dxa"/>
          </w:tcPr>
          <w:p>
            <w:pPr>
              <w:pStyle w:val="TableParagraph"/>
              <w:spacing w:line="219" w:lineRule="exact"/>
              <w:ind w:right="202"/>
              <w:jc w:val="right"/>
              <w:rPr>
                <w:sz w:val="20"/>
              </w:rPr>
            </w:pPr>
            <w:r>
              <w:rPr>
                <w:w w:val="100"/>
                <w:sz w:val="20"/>
              </w:rPr>
              <w:t>4</w:t>
            </w:r>
          </w:p>
        </w:tc>
      </w:tr>
      <w:tr>
        <w:trPr>
          <w:trHeight w:val="480" w:hRule="atLeast"/>
        </w:trPr>
        <w:tc>
          <w:tcPr>
            <w:tcW w:w="1239" w:type="dxa"/>
          </w:tcPr>
          <w:p>
            <w:pPr>
              <w:pStyle w:val="TableParagraph"/>
              <w:ind w:left="200"/>
              <w:rPr>
                <w:sz w:val="20"/>
              </w:rPr>
            </w:pPr>
            <w:r>
              <w:rPr>
                <w:sz w:val="20"/>
              </w:rPr>
              <w:t>GPLS 704</w:t>
            </w:r>
          </w:p>
        </w:tc>
        <w:tc>
          <w:tcPr>
            <w:tcW w:w="2720" w:type="dxa"/>
          </w:tcPr>
          <w:p>
            <w:pPr>
              <w:pStyle w:val="TableParagraph"/>
              <w:ind w:left="199"/>
              <w:rPr>
                <w:sz w:val="20"/>
              </w:rPr>
            </w:pPr>
            <w:r>
              <w:rPr>
                <w:sz w:val="20"/>
              </w:rPr>
              <w:t>PRINCIPLES OF</w:t>
            </w:r>
          </w:p>
          <w:p>
            <w:pPr>
              <w:pStyle w:val="TableParagraph"/>
              <w:spacing w:line="219" w:lineRule="exact" w:before="10"/>
              <w:ind w:left="199"/>
              <w:rPr>
                <w:sz w:val="20"/>
              </w:rPr>
            </w:pPr>
            <w:r>
              <w:rPr>
                <w:sz w:val="20"/>
              </w:rPr>
              <w:t>VIROLOGY</w:t>
            </w:r>
          </w:p>
        </w:tc>
        <w:tc>
          <w:tcPr>
            <w:tcW w:w="996" w:type="dxa"/>
          </w:tcPr>
          <w:p>
            <w:pPr>
              <w:pStyle w:val="TableParagraph"/>
              <w:ind w:right="202"/>
              <w:jc w:val="right"/>
              <w:rPr>
                <w:sz w:val="20"/>
              </w:rPr>
            </w:pPr>
            <w:r>
              <w:rPr>
                <w:w w:val="100"/>
                <w:sz w:val="20"/>
              </w:rPr>
              <w:t>3</w:t>
            </w:r>
          </w:p>
        </w:tc>
      </w:tr>
      <w:tr>
        <w:trPr>
          <w:trHeight w:val="240" w:hRule="atLeast"/>
        </w:trPr>
        <w:tc>
          <w:tcPr>
            <w:tcW w:w="1239" w:type="dxa"/>
          </w:tcPr>
          <w:p>
            <w:pPr>
              <w:pStyle w:val="TableParagraph"/>
              <w:spacing w:line="219" w:lineRule="exact"/>
              <w:ind w:left="200"/>
              <w:rPr>
                <w:sz w:val="20"/>
              </w:rPr>
            </w:pPr>
            <w:r>
              <w:rPr>
                <w:sz w:val="20"/>
              </w:rPr>
              <w:t>GPLS 608</w:t>
            </w:r>
          </w:p>
        </w:tc>
        <w:tc>
          <w:tcPr>
            <w:tcW w:w="2720" w:type="dxa"/>
          </w:tcPr>
          <w:p>
            <w:pPr>
              <w:pStyle w:val="TableParagraph"/>
              <w:spacing w:line="219" w:lineRule="exact"/>
              <w:ind w:left="199"/>
              <w:rPr>
                <w:sz w:val="20"/>
              </w:rPr>
            </w:pPr>
            <w:r>
              <w:rPr>
                <w:sz w:val="20"/>
              </w:rPr>
              <w:t>SEMINAR</w:t>
            </w:r>
          </w:p>
        </w:tc>
        <w:tc>
          <w:tcPr>
            <w:tcW w:w="996" w:type="dxa"/>
          </w:tcPr>
          <w:p>
            <w:pPr>
              <w:pStyle w:val="TableParagraph"/>
              <w:spacing w:line="219" w:lineRule="exact"/>
              <w:ind w:right="197"/>
              <w:jc w:val="right"/>
              <w:rPr>
                <w:sz w:val="20"/>
              </w:rPr>
            </w:pPr>
            <w:r>
              <w:rPr>
                <w:sz w:val="20"/>
              </w:rPr>
              <w:t>1 OR 2</w:t>
            </w:r>
          </w:p>
        </w:tc>
      </w:tr>
      <w:tr>
        <w:trPr>
          <w:trHeight w:val="240" w:hRule="atLeast"/>
        </w:trPr>
        <w:tc>
          <w:tcPr>
            <w:tcW w:w="1239" w:type="dxa"/>
          </w:tcPr>
          <w:p>
            <w:pPr>
              <w:pStyle w:val="TableParagraph"/>
              <w:spacing w:line="219" w:lineRule="exact"/>
              <w:ind w:left="200"/>
              <w:rPr>
                <w:sz w:val="20"/>
              </w:rPr>
            </w:pPr>
            <w:r>
              <w:rPr>
                <w:sz w:val="20"/>
              </w:rPr>
              <w:t>CIPP 907</w:t>
            </w:r>
          </w:p>
        </w:tc>
        <w:tc>
          <w:tcPr>
            <w:tcW w:w="2720" w:type="dxa"/>
          </w:tcPr>
          <w:p>
            <w:pPr>
              <w:pStyle w:val="TableParagraph"/>
              <w:spacing w:line="219" w:lineRule="exact"/>
              <w:ind w:left="199"/>
              <w:rPr>
                <w:sz w:val="20"/>
              </w:rPr>
            </w:pPr>
            <w:r>
              <w:rPr>
                <w:sz w:val="20"/>
              </w:rPr>
              <w:t>RESEARCH ETHICS</w:t>
            </w:r>
          </w:p>
        </w:tc>
        <w:tc>
          <w:tcPr>
            <w:tcW w:w="996" w:type="dxa"/>
          </w:tcPr>
          <w:p>
            <w:pPr>
              <w:pStyle w:val="TableParagraph"/>
              <w:spacing w:line="219" w:lineRule="exact"/>
              <w:ind w:right="202"/>
              <w:jc w:val="right"/>
              <w:rPr>
                <w:sz w:val="20"/>
              </w:rPr>
            </w:pPr>
            <w:r>
              <w:rPr>
                <w:w w:val="100"/>
                <w:sz w:val="20"/>
              </w:rPr>
              <w:t>1</w:t>
            </w:r>
          </w:p>
        </w:tc>
      </w:tr>
      <w:tr>
        <w:trPr>
          <w:trHeight w:val="480" w:hRule="atLeast"/>
        </w:trPr>
        <w:tc>
          <w:tcPr>
            <w:tcW w:w="1239" w:type="dxa"/>
          </w:tcPr>
          <w:p>
            <w:pPr>
              <w:pStyle w:val="TableParagraph"/>
              <w:ind w:left="200"/>
              <w:rPr>
                <w:sz w:val="20"/>
              </w:rPr>
            </w:pPr>
            <w:r>
              <w:rPr>
                <w:sz w:val="20"/>
              </w:rPr>
              <w:t>GPLS 609</w:t>
            </w:r>
          </w:p>
        </w:tc>
        <w:tc>
          <w:tcPr>
            <w:tcW w:w="2720" w:type="dxa"/>
          </w:tcPr>
          <w:p>
            <w:pPr>
              <w:pStyle w:val="TableParagraph"/>
              <w:ind w:left="199"/>
              <w:rPr>
                <w:sz w:val="20"/>
              </w:rPr>
            </w:pPr>
            <w:r>
              <w:rPr>
                <w:sz w:val="20"/>
              </w:rPr>
              <w:t>LABORATORY</w:t>
            </w:r>
          </w:p>
          <w:p>
            <w:pPr>
              <w:pStyle w:val="TableParagraph"/>
              <w:spacing w:line="219" w:lineRule="exact" w:before="10"/>
              <w:ind w:left="199"/>
              <w:rPr>
                <w:sz w:val="20"/>
              </w:rPr>
            </w:pPr>
            <w:r>
              <w:rPr>
                <w:sz w:val="20"/>
              </w:rPr>
              <w:t>ROTATIONS</w:t>
            </w:r>
          </w:p>
        </w:tc>
        <w:tc>
          <w:tcPr>
            <w:tcW w:w="996" w:type="dxa"/>
          </w:tcPr>
          <w:p>
            <w:pPr>
              <w:pStyle w:val="TableParagraph"/>
              <w:ind w:right="197"/>
              <w:jc w:val="right"/>
              <w:rPr>
                <w:sz w:val="20"/>
              </w:rPr>
            </w:pPr>
            <w:r>
              <w:rPr>
                <w:sz w:val="20"/>
              </w:rPr>
              <w:t>1 TO 3</w:t>
            </w:r>
          </w:p>
        </w:tc>
      </w:tr>
      <w:tr>
        <w:trPr>
          <w:trHeight w:val="711" w:hRule="atLeast"/>
        </w:trPr>
        <w:tc>
          <w:tcPr>
            <w:tcW w:w="1239" w:type="dxa"/>
          </w:tcPr>
          <w:p>
            <w:pPr>
              <w:pStyle w:val="TableParagraph"/>
              <w:ind w:left="200"/>
              <w:rPr>
                <w:sz w:val="20"/>
              </w:rPr>
            </w:pPr>
            <w:r>
              <w:rPr>
                <w:sz w:val="20"/>
              </w:rPr>
              <w:t>GPLS 899</w:t>
            </w:r>
          </w:p>
        </w:tc>
        <w:tc>
          <w:tcPr>
            <w:tcW w:w="2720" w:type="dxa"/>
          </w:tcPr>
          <w:p>
            <w:pPr>
              <w:pStyle w:val="TableParagraph"/>
              <w:spacing w:line="249" w:lineRule="auto"/>
              <w:ind w:left="199" w:right="1067"/>
              <w:rPr>
                <w:sz w:val="20"/>
              </w:rPr>
            </w:pPr>
            <w:r>
              <w:rPr>
                <w:sz w:val="20"/>
              </w:rPr>
              <w:t>DOCTORAL DISSERTATION</w:t>
            </w:r>
          </w:p>
          <w:p>
            <w:pPr>
              <w:pStyle w:val="TableParagraph"/>
              <w:spacing w:line="210" w:lineRule="exact" w:before="2"/>
              <w:ind w:left="199"/>
              <w:rPr>
                <w:sz w:val="20"/>
              </w:rPr>
            </w:pPr>
            <w:r>
              <w:rPr>
                <w:sz w:val="20"/>
              </w:rPr>
              <w:t>RESEARCH</w:t>
            </w:r>
          </w:p>
        </w:tc>
        <w:tc>
          <w:tcPr>
            <w:tcW w:w="996" w:type="dxa"/>
          </w:tcPr>
          <w:p>
            <w:pPr>
              <w:pStyle w:val="TableParagraph"/>
              <w:ind w:left="373"/>
              <w:rPr>
                <w:sz w:val="20"/>
              </w:rPr>
            </w:pPr>
            <w:r>
              <w:rPr>
                <w:sz w:val="20"/>
              </w:rPr>
              <w:t>1</w:t>
            </w:r>
            <w:r>
              <w:rPr>
                <w:spacing w:val="5"/>
                <w:sz w:val="20"/>
              </w:rPr>
              <w:t> </w:t>
            </w:r>
            <w:r>
              <w:rPr>
                <w:sz w:val="20"/>
              </w:rPr>
              <w:t>TO</w:t>
            </w:r>
          </w:p>
          <w:p>
            <w:pPr>
              <w:pStyle w:val="TableParagraph"/>
              <w:spacing w:before="10"/>
              <w:ind w:left="589"/>
              <w:rPr>
                <w:sz w:val="20"/>
              </w:rPr>
            </w:pPr>
            <w:r>
              <w:rPr>
                <w:sz w:val="20"/>
              </w:rPr>
              <w:t>12</w:t>
            </w:r>
          </w:p>
        </w:tc>
      </w:tr>
    </w:tbl>
    <w:p>
      <w:pPr>
        <w:pStyle w:val="BodyText"/>
        <w:spacing w:before="5"/>
        <w:ind w:left="0"/>
        <w:rPr>
          <w:sz w:val="17"/>
        </w:rPr>
      </w:pPr>
    </w:p>
    <w:p>
      <w:pPr>
        <w:pStyle w:val="Heading5"/>
        <w:spacing w:before="0"/>
        <w:ind w:right="694"/>
      </w:pPr>
      <w:r>
        <w:rPr/>
        <w:t>One elective from the courses below or others (listed in GPILS Program Description):</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2950"/>
        <w:gridCol w:w="751"/>
      </w:tblGrid>
      <w:tr>
        <w:trPr>
          <w:trHeight w:val="471" w:hRule="atLeast"/>
        </w:trPr>
        <w:tc>
          <w:tcPr>
            <w:tcW w:w="1249" w:type="dxa"/>
          </w:tcPr>
          <w:p>
            <w:pPr>
              <w:pStyle w:val="TableParagraph"/>
              <w:spacing w:line="223" w:lineRule="exact" w:before="0"/>
              <w:ind w:left="200"/>
              <w:rPr>
                <w:sz w:val="20"/>
              </w:rPr>
            </w:pPr>
            <w:r>
              <w:rPr>
                <w:sz w:val="20"/>
              </w:rPr>
              <w:t>GPLS 769</w:t>
            </w:r>
          </w:p>
        </w:tc>
        <w:tc>
          <w:tcPr>
            <w:tcW w:w="2950" w:type="dxa"/>
          </w:tcPr>
          <w:p>
            <w:pPr>
              <w:pStyle w:val="TableParagraph"/>
              <w:spacing w:line="223" w:lineRule="exact" w:before="0"/>
              <w:ind w:left="208"/>
              <w:rPr>
                <w:sz w:val="20"/>
              </w:rPr>
            </w:pPr>
            <w:r>
              <w:rPr>
                <w:sz w:val="20"/>
              </w:rPr>
              <w:t>ADVANCES IN</w:t>
            </w:r>
          </w:p>
          <w:p>
            <w:pPr>
              <w:pStyle w:val="TableParagraph"/>
              <w:spacing w:line="219" w:lineRule="exact" w:before="10"/>
              <w:ind w:left="208"/>
              <w:rPr>
                <w:sz w:val="20"/>
              </w:rPr>
            </w:pPr>
            <w:r>
              <w:rPr>
                <w:sz w:val="20"/>
              </w:rPr>
              <w:t>IMMUNOLOGY</w:t>
            </w:r>
          </w:p>
        </w:tc>
        <w:tc>
          <w:tcPr>
            <w:tcW w:w="751" w:type="dxa"/>
          </w:tcPr>
          <w:p>
            <w:pPr>
              <w:pStyle w:val="TableParagraph"/>
              <w:spacing w:line="223" w:lineRule="exact" w:before="0"/>
              <w:ind w:right="197"/>
              <w:jc w:val="right"/>
              <w:rPr>
                <w:sz w:val="20"/>
              </w:rPr>
            </w:pPr>
            <w:r>
              <w:rPr>
                <w:w w:val="100"/>
                <w:sz w:val="20"/>
              </w:rPr>
              <w:t>2</w:t>
            </w:r>
          </w:p>
        </w:tc>
      </w:tr>
      <w:tr>
        <w:trPr>
          <w:trHeight w:val="480" w:hRule="atLeast"/>
        </w:trPr>
        <w:tc>
          <w:tcPr>
            <w:tcW w:w="1249" w:type="dxa"/>
          </w:tcPr>
          <w:p>
            <w:pPr>
              <w:pStyle w:val="TableParagraph"/>
              <w:ind w:left="200"/>
              <w:rPr>
                <w:sz w:val="20"/>
              </w:rPr>
            </w:pPr>
            <w:r>
              <w:rPr>
                <w:sz w:val="20"/>
              </w:rPr>
              <w:t>GPLS 725</w:t>
            </w:r>
          </w:p>
        </w:tc>
        <w:tc>
          <w:tcPr>
            <w:tcW w:w="2950" w:type="dxa"/>
          </w:tcPr>
          <w:p>
            <w:pPr>
              <w:pStyle w:val="TableParagraph"/>
              <w:ind w:left="208"/>
              <w:rPr>
                <w:sz w:val="20"/>
              </w:rPr>
            </w:pPr>
            <w:r>
              <w:rPr>
                <w:sz w:val="20"/>
              </w:rPr>
              <w:t>ADVANCED MICROBIAL</w:t>
            </w:r>
          </w:p>
          <w:p>
            <w:pPr>
              <w:pStyle w:val="TableParagraph"/>
              <w:spacing w:line="219" w:lineRule="exact" w:before="10"/>
              <w:ind w:left="208"/>
              <w:rPr>
                <w:sz w:val="20"/>
              </w:rPr>
            </w:pPr>
            <w:r>
              <w:rPr>
                <w:sz w:val="20"/>
              </w:rPr>
              <w:t>PATHOGENESIS</w:t>
            </w:r>
          </w:p>
        </w:tc>
        <w:tc>
          <w:tcPr>
            <w:tcW w:w="751" w:type="dxa"/>
          </w:tcPr>
          <w:p>
            <w:pPr>
              <w:pStyle w:val="TableParagraph"/>
              <w:ind w:right="197"/>
              <w:jc w:val="right"/>
              <w:rPr>
                <w:sz w:val="20"/>
              </w:rPr>
            </w:pPr>
            <w:r>
              <w:rPr>
                <w:w w:val="100"/>
                <w:sz w:val="20"/>
              </w:rPr>
              <w:t>3</w:t>
            </w:r>
          </w:p>
        </w:tc>
      </w:tr>
      <w:tr>
        <w:trPr>
          <w:trHeight w:val="471" w:hRule="atLeast"/>
        </w:trPr>
        <w:tc>
          <w:tcPr>
            <w:tcW w:w="1249" w:type="dxa"/>
          </w:tcPr>
          <w:p>
            <w:pPr>
              <w:pStyle w:val="TableParagraph"/>
              <w:ind w:left="200"/>
              <w:rPr>
                <w:sz w:val="20"/>
              </w:rPr>
            </w:pPr>
            <w:r>
              <w:rPr>
                <w:sz w:val="20"/>
              </w:rPr>
              <w:t>GPLS 719</w:t>
            </w:r>
          </w:p>
        </w:tc>
        <w:tc>
          <w:tcPr>
            <w:tcW w:w="2950" w:type="dxa"/>
          </w:tcPr>
          <w:p>
            <w:pPr>
              <w:pStyle w:val="TableParagraph"/>
              <w:ind w:left="208"/>
              <w:rPr>
                <w:sz w:val="20"/>
              </w:rPr>
            </w:pPr>
            <w:r>
              <w:rPr>
                <w:sz w:val="20"/>
              </w:rPr>
              <w:t>ADVANCED</w:t>
            </w:r>
          </w:p>
          <w:p>
            <w:pPr>
              <w:pStyle w:val="TableParagraph"/>
              <w:spacing w:line="210" w:lineRule="exact" w:before="10"/>
              <w:ind w:left="208"/>
              <w:rPr>
                <w:sz w:val="20"/>
              </w:rPr>
            </w:pPr>
            <w:r>
              <w:rPr>
                <w:sz w:val="20"/>
              </w:rPr>
              <w:t>PARASITOLOGY</w:t>
            </w:r>
          </w:p>
        </w:tc>
        <w:tc>
          <w:tcPr>
            <w:tcW w:w="751" w:type="dxa"/>
          </w:tcPr>
          <w:p>
            <w:pPr>
              <w:pStyle w:val="TableParagraph"/>
              <w:ind w:right="197"/>
              <w:jc w:val="right"/>
              <w:rPr>
                <w:sz w:val="20"/>
              </w:rPr>
            </w:pPr>
            <w:r>
              <w:rPr>
                <w:w w:val="100"/>
                <w:sz w:val="20"/>
              </w:rPr>
              <w:t>3</w:t>
            </w:r>
          </w:p>
        </w:tc>
      </w:tr>
    </w:tbl>
    <w:p>
      <w:pPr>
        <w:pStyle w:val="BodyText"/>
        <w:spacing w:before="5"/>
        <w:ind w:left="0"/>
        <w:rPr>
          <w:sz w:val="17"/>
        </w:rPr>
      </w:pPr>
    </w:p>
    <w:p>
      <w:pPr>
        <w:pStyle w:val="BodyText"/>
        <w:spacing w:line="249" w:lineRule="auto" w:before="0"/>
        <w:ind w:right="905"/>
      </w:pPr>
      <w:r>
        <w:rPr/>
        <w:t>Details are given in the Course Descriptions part of this catalog.</w:t>
      </w:r>
    </w:p>
    <w:p>
      <w:pPr>
        <w:spacing w:after="0" w:line="249" w:lineRule="auto"/>
        <w:sectPr>
          <w:pgSz w:w="12240" w:h="15840"/>
          <w:pgMar w:header="746" w:footer="0" w:top="1320" w:bottom="280" w:left="880" w:right="300"/>
          <w:cols w:num="2" w:equalWidth="0">
            <w:col w:w="4992" w:space="494"/>
            <w:col w:w="5574"/>
          </w:cols>
        </w:sectPr>
      </w:pPr>
    </w:p>
    <w:p>
      <w:pPr>
        <w:pStyle w:val="Heading3"/>
      </w:pPr>
      <w:bookmarkStart w:name="Neuroscience" w:id="43"/>
      <w:bookmarkEnd w:id="43"/>
      <w:r>
        <w:rPr/>
      </w:r>
      <w:bookmarkStart w:name="_bookmark21" w:id="44"/>
      <w:bookmarkEnd w:id="44"/>
      <w:r>
        <w:rPr/>
      </w:r>
      <w:r>
        <w:rPr/>
        <w:t>Neuroscience</w:t>
      </w:r>
    </w:p>
    <w:p>
      <w:pPr>
        <w:spacing w:line="427" w:lineRule="auto" w:before="171"/>
        <w:ind w:left="200" w:right="975" w:firstLine="0"/>
        <w:jc w:val="left"/>
        <w:rPr>
          <w:b/>
          <w:sz w:val="20"/>
        </w:rPr>
      </w:pPr>
      <w:r>
        <w:rPr>
          <w:b/>
          <w:sz w:val="22"/>
        </w:rPr>
        <w:t>Graduate Program in Life Sciences </w:t>
      </w:r>
      <w:hyperlink r:id="rId53">
        <w:r>
          <w:rPr>
            <w:color w:val="0000FF"/>
            <w:sz w:val="20"/>
            <w:u w:val="single" w:color="0000FF"/>
          </w:rPr>
          <w:t>http://lifesciences.umaryland.edu/neuroscience/</w:t>
        </w:r>
      </w:hyperlink>
      <w:r>
        <w:rPr>
          <w:color w:val="0000FF"/>
          <w:sz w:val="20"/>
        </w:rPr>
        <w:t> </w:t>
      </w:r>
      <w:r>
        <w:rPr>
          <w:b/>
          <w:sz w:val="20"/>
        </w:rPr>
        <w:t>Degrees Offered</w:t>
      </w:r>
    </w:p>
    <w:p>
      <w:pPr>
        <w:pStyle w:val="BodyText"/>
        <w:spacing w:before="12"/>
      </w:pPr>
      <w:r>
        <w:rPr/>
        <w:t>PhD, PhD/MD, PhD/DDS</w:t>
      </w:r>
    </w:p>
    <w:p>
      <w:pPr>
        <w:pStyle w:val="Heading6"/>
        <w:spacing w:before="188"/>
      </w:pPr>
      <w:r>
        <w:rPr/>
        <w:t>Program Description</w:t>
      </w:r>
    </w:p>
    <w:p>
      <w:pPr>
        <w:pStyle w:val="BodyText"/>
        <w:spacing w:line="249" w:lineRule="auto" w:before="192"/>
        <w:ind w:left="199" w:right="90"/>
      </w:pPr>
      <w:r>
        <w:rPr/>
        <w:t>The Graduate Program in Neuroscience (PIN) is </w:t>
      </w:r>
      <w:r>
        <w:rPr>
          <w:spacing w:val="-3"/>
        </w:rPr>
        <w:t>an </w:t>
      </w:r>
      <w:r>
        <w:rPr/>
        <w:t>interdisciplinary program </w:t>
      </w:r>
      <w:r>
        <w:rPr>
          <w:spacing w:val="-3"/>
        </w:rPr>
        <w:t>of </w:t>
      </w:r>
      <w:r>
        <w:rPr/>
        <w:t>study leading to a PhD degree in Neuroscience. </w:t>
      </w:r>
      <w:r>
        <w:rPr>
          <w:spacing w:val="-3"/>
        </w:rPr>
        <w:t>For </w:t>
      </w:r>
      <w:r>
        <w:rPr>
          <w:spacing w:val="-4"/>
        </w:rPr>
        <w:t>over </w:t>
      </w:r>
      <w:r>
        <w:rPr/>
        <w:t>20 years, PIN has </w:t>
      </w:r>
      <w:r>
        <w:rPr>
          <w:spacing w:val="-3"/>
        </w:rPr>
        <w:t>been </w:t>
      </w:r>
      <w:r>
        <w:rPr/>
        <w:t>a center of excellence for graduate training in the life sciences. PIN faculty expertise and research interests range from molecular to clinical realms. </w:t>
      </w:r>
      <w:r>
        <w:rPr>
          <w:spacing w:val="-3"/>
        </w:rPr>
        <w:t>Our </w:t>
      </w:r>
      <w:r>
        <w:rPr/>
        <w:t>program enhances interaction among our internationally renowned faculty and </w:t>
      </w:r>
      <w:r>
        <w:rPr>
          <w:spacing w:val="-3"/>
        </w:rPr>
        <w:t>enables </w:t>
      </w:r>
      <w:r>
        <w:rPr/>
        <w:t>graduate students to take advantage </w:t>
      </w:r>
      <w:r>
        <w:rPr>
          <w:spacing w:val="-3"/>
        </w:rPr>
        <w:t>of </w:t>
      </w:r>
      <w:r>
        <w:rPr/>
        <w:t>the full depth and breadth </w:t>
      </w:r>
      <w:r>
        <w:rPr>
          <w:spacing w:val="-3"/>
        </w:rPr>
        <w:t>of </w:t>
      </w:r>
      <w:r>
        <w:rPr/>
        <w:t>Neuroscience research conducted at the University of Maryland, Baltimore. </w:t>
      </w:r>
      <w:r>
        <w:rPr>
          <w:spacing w:val="-3"/>
        </w:rPr>
        <w:t>Our </w:t>
      </w:r>
      <w:r>
        <w:rPr/>
        <w:t>PhD students are highly sought after, routinely being appointed as postdoctoral fellows at </w:t>
      </w:r>
      <w:r>
        <w:rPr>
          <w:spacing w:val="-3"/>
        </w:rPr>
        <w:t>other </w:t>
      </w:r>
      <w:r>
        <w:rPr/>
        <w:t>prestigious academic institutions </w:t>
      </w:r>
      <w:r>
        <w:rPr>
          <w:spacing w:val="-5"/>
        </w:rPr>
        <w:t>or </w:t>
      </w:r>
      <w:r>
        <w:rPr/>
        <w:t>finding employment at one </w:t>
      </w:r>
      <w:r>
        <w:rPr>
          <w:spacing w:val="-3"/>
        </w:rPr>
        <w:t>of </w:t>
      </w:r>
      <w:r>
        <w:rPr/>
        <w:t>the many Neuroscience-related occupations in industry </w:t>
      </w:r>
      <w:r>
        <w:rPr>
          <w:spacing w:val="3"/>
        </w:rPr>
        <w:t>and </w:t>
      </w:r>
      <w:r>
        <w:rPr/>
        <w:t>government that the greater Washington D.C./Baltimore area</w:t>
      </w:r>
      <w:r>
        <w:rPr>
          <w:spacing w:val="3"/>
        </w:rPr>
        <w:t> </w:t>
      </w:r>
      <w:r>
        <w:rPr/>
        <w:t>offers.</w:t>
      </w:r>
    </w:p>
    <w:p>
      <w:pPr>
        <w:pStyle w:val="Heading6"/>
        <w:spacing w:before="189"/>
        <w:ind w:left="199"/>
      </w:pPr>
      <w:r>
        <w:rPr/>
        <w:t>Program Admission</w:t>
      </w:r>
    </w:p>
    <w:p>
      <w:pPr>
        <w:pStyle w:val="BodyText"/>
        <w:spacing w:line="249" w:lineRule="auto" w:before="193"/>
        <w:ind w:left="199" w:right="21"/>
      </w:pPr>
      <w:r>
        <w:rPr>
          <w:color w:val="303030"/>
        </w:rPr>
        <w:t>In addition to meeting the Graduate School’s minimum admission requirements, applicants often have strong academic records having earned a bachelor’s degree in neuroscience or other major fields of biology. Applicants with mathematical, computer science or biomedical engineering backgrounds are also highly encouraged to apply. The program is particularly interested in candidates with independent research experience conducted in the undergraduate setting and/or beyond. The program encourages the application of women and candidates from racial and ethnic minorities under-represented in the sciences. Our application deadline is Dec. 1. Admission to the program is highly competitive, and, after interviews, acceptances are made as qualified candidates are identified. Additional information is available from the program manager</w:t>
      </w:r>
    </w:p>
    <w:p>
      <w:pPr>
        <w:pStyle w:val="BodyText"/>
        <w:spacing w:before="11"/>
        <w:ind w:left="199"/>
      </w:pPr>
      <w:r>
        <w:rPr>
          <w:color w:val="303030"/>
        </w:rPr>
        <w:t>at </w:t>
      </w:r>
      <w:hyperlink r:id="rId53">
        <w:r>
          <w:rPr>
            <w:color w:val="007698"/>
          </w:rPr>
          <w:t>http://lifesciences.umaryland.edu/neuroscience/</w:t>
        </w:r>
        <w:r>
          <w:rPr>
            <w:color w:val="303030"/>
          </w:rPr>
          <w:t>.</w:t>
        </w:r>
      </w:hyperlink>
    </w:p>
    <w:p>
      <w:pPr>
        <w:pStyle w:val="Heading6"/>
        <w:spacing w:before="188"/>
      </w:pPr>
      <w:r>
        <w:rPr/>
        <w:t>Degree Requirements</w:t>
      </w:r>
    </w:p>
    <w:p>
      <w:pPr>
        <w:pStyle w:val="BodyText"/>
        <w:spacing w:line="249" w:lineRule="auto" w:before="192"/>
        <w:ind w:right="86"/>
      </w:pPr>
      <w:r>
        <w:rPr/>
        <w:t>PhD candidates must successfully complete a minimum of 12 credits of doctoral dissertation research and all required classes. All students are required to rotate through three laboratories prior to choosing their dissertation research</w:t>
      </w:r>
    </w:p>
    <w:p>
      <w:pPr>
        <w:pStyle w:val="BodyText"/>
        <w:spacing w:line="249" w:lineRule="auto" w:before="96"/>
        <w:ind w:right="631"/>
      </w:pPr>
      <w:r>
        <w:rPr/>
        <w:br w:type="column"/>
      </w:r>
      <w:r>
        <w:rPr/>
        <w:t>lab/advisor. Additionally, students must maintain a minimum cumulative grade-point average </w:t>
      </w:r>
      <w:r>
        <w:rPr>
          <w:spacing w:val="-3"/>
        </w:rPr>
        <w:t>of </w:t>
      </w:r>
      <w:r>
        <w:rPr/>
        <w:t>3.0 to remain in </w:t>
      </w:r>
      <w:r>
        <w:rPr>
          <w:spacing w:val="-3"/>
        </w:rPr>
        <w:t>good </w:t>
      </w:r>
      <w:r>
        <w:rPr/>
        <w:t>standing in the program. A complete description </w:t>
      </w:r>
      <w:r>
        <w:rPr>
          <w:spacing w:val="-3"/>
        </w:rPr>
        <w:t>of </w:t>
      </w:r>
      <w:r>
        <w:rPr/>
        <w:t>progression guidelines and degree requirements is provided in the Degree Requirements section </w:t>
      </w:r>
      <w:r>
        <w:rPr>
          <w:spacing w:val="-3"/>
        </w:rPr>
        <w:t>of </w:t>
      </w:r>
      <w:r>
        <w:rPr/>
        <w:t>this catalog.</w:t>
      </w:r>
    </w:p>
    <w:p>
      <w:pPr>
        <w:pStyle w:val="Heading5"/>
        <w:spacing w:before="177"/>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0"/>
        <w:gridCol w:w="2793"/>
        <w:gridCol w:w="943"/>
      </w:tblGrid>
      <w:tr>
        <w:trPr>
          <w:trHeight w:val="711" w:hRule="atLeast"/>
        </w:trPr>
        <w:tc>
          <w:tcPr>
            <w:tcW w:w="1220" w:type="dxa"/>
          </w:tcPr>
          <w:p>
            <w:pPr>
              <w:pStyle w:val="TableParagraph"/>
              <w:spacing w:line="223" w:lineRule="exact" w:before="0"/>
              <w:ind w:left="200"/>
              <w:rPr>
                <w:sz w:val="20"/>
              </w:rPr>
            </w:pPr>
            <w:r>
              <w:rPr>
                <w:sz w:val="20"/>
              </w:rPr>
              <w:t>GPLS 601</w:t>
            </w:r>
          </w:p>
        </w:tc>
        <w:tc>
          <w:tcPr>
            <w:tcW w:w="2793" w:type="dxa"/>
          </w:tcPr>
          <w:p>
            <w:pPr>
              <w:pStyle w:val="TableParagraph"/>
              <w:spacing w:line="249" w:lineRule="auto" w:before="0"/>
              <w:ind w:left="180" w:right="287"/>
              <w:rPr>
                <w:sz w:val="20"/>
              </w:rPr>
            </w:pPr>
            <w:r>
              <w:rPr>
                <w:sz w:val="20"/>
              </w:rPr>
              <w:t>MECHANISMS IN BIOMEDICAL SCIENCES:</w:t>
            </w:r>
          </w:p>
          <w:p>
            <w:pPr>
              <w:pStyle w:val="TableParagraph"/>
              <w:spacing w:line="219" w:lineRule="exact" w:before="0"/>
              <w:ind w:left="180"/>
              <w:rPr>
                <w:sz w:val="20"/>
              </w:rPr>
            </w:pPr>
            <w:r>
              <w:rPr>
                <w:sz w:val="20"/>
              </w:rPr>
              <w:t>FROM GENES TO DISEASE</w:t>
            </w:r>
          </w:p>
        </w:tc>
        <w:tc>
          <w:tcPr>
            <w:tcW w:w="943" w:type="dxa"/>
          </w:tcPr>
          <w:p>
            <w:pPr>
              <w:pStyle w:val="TableParagraph"/>
              <w:spacing w:line="223" w:lineRule="exact" w:before="0"/>
              <w:ind w:right="203"/>
              <w:jc w:val="right"/>
              <w:rPr>
                <w:sz w:val="20"/>
              </w:rPr>
            </w:pPr>
            <w:r>
              <w:rPr>
                <w:w w:val="100"/>
                <w:sz w:val="20"/>
              </w:rPr>
              <w:t>8</w:t>
            </w:r>
          </w:p>
        </w:tc>
      </w:tr>
      <w:tr>
        <w:trPr>
          <w:trHeight w:val="720" w:hRule="atLeast"/>
        </w:trPr>
        <w:tc>
          <w:tcPr>
            <w:tcW w:w="1220" w:type="dxa"/>
          </w:tcPr>
          <w:p>
            <w:pPr>
              <w:pStyle w:val="TableParagraph"/>
              <w:ind w:left="200"/>
              <w:rPr>
                <w:sz w:val="20"/>
              </w:rPr>
            </w:pPr>
            <w:r>
              <w:rPr>
                <w:sz w:val="20"/>
              </w:rPr>
              <w:t>GPLS 691</w:t>
            </w:r>
          </w:p>
        </w:tc>
        <w:tc>
          <w:tcPr>
            <w:tcW w:w="2793" w:type="dxa"/>
          </w:tcPr>
          <w:p>
            <w:pPr>
              <w:pStyle w:val="TableParagraph"/>
              <w:spacing w:line="249" w:lineRule="auto"/>
              <w:ind w:left="180" w:right="587"/>
              <w:rPr>
                <w:sz w:val="20"/>
              </w:rPr>
            </w:pPr>
            <w:r>
              <w:rPr>
                <w:sz w:val="20"/>
              </w:rPr>
              <w:t>MOLECULAR NEUROSCIENCE AND</w:t>
            </w:r>
          </w:p>
          <w:p>
            <w:pPr>
              <w:pStyle w:val="TableParagraph"/>
              <w:spacing w:line="219" w:lineRule="exact" w:before="2"/>
              <w:ind w:left="180"/>
              <w:rPr>
                <w:sz w:val="20"/>
              </w:rPr>
            </w:pPr>
            <w:r>
              <w:rPr>
                <w:sz w:val="20"/>
              </w:rPr>
              <w:t>BIOPHYSICS</w:t>
            </w:r>
          </w:p>
        </w:tc>
        <w:tc>
          <w:tcPr>
            <w:tcW w:w="943" w:type="dxa"/>
          </w:tcPr>
          <w:p>
            <w:pPr>
              <w:pStyle w:val="TableParagraph"/>
              <w:ind w:right="203"/>
              <w:jc w:val="right"/>
              <w:rPr>
                <w:sz w:val="20"/>
              </w:rPr>
            </w:pPr>
            <w:r>
              <w:rPr>
                <w:w w:val="100"/>
                <w:sz w:val="20"/>
              </w:rPr>
              <w:t>1</w:t>
            </w:r>
          </w:p>
        </w:tc>
      </w:tr>
      <w:tr>
        <w:trPr>
          <w:trHeight w:val="480" w:hRule="atLeast"/>
        </w:trPr>
        <w:tc>
          <w:tcPr>
            <w:tcW w:w="1220" w:type="dxa"/>
          </w:tcPr>
          <w:p>
            <w:pPr>
              <w:pStyle w:val="TableParagraph"/>
              <w:ind w:left="200"/>
              <w:rPr>
                <w:sz w:val="20"/>
              </w:rPr>
            </w:pPr>
            <w:r>
              <w:rPr>
                <w:sz w:val="20"/>
              </w:rPr>
              <w:t>GPLS 620</w:t>
            </w:r>
          </w:p>
        </w:tc>
        <w:tc>
          <w:tcPr>
            <w:tcW w:w="2793" w:type="dxa"/>
          </w:tcPr>
          <w:p>
            <w:pPr>
              <w:pStyle w:val="TableParagraph"/>
              <w:ind w:left="180"/>
              <w:rPr>
                <w:sz w:val="20"/>
              </w:rPr>
            </w:pPr>
            <w:r>
              <w:rPr>
                <w:sz w:val="20"/>
              </w:rPr>
              <w:t>SYNAPTIC PHYSIOLOGY</w:t>
            </w:r>
          </w:p>
          <w:p>
            <w:pPr>
              <w:pStyle w:val="TableParagraph"/>
              <w:spacing w:line="219" w:lineRule="exact" w:before="10"/>
              <w:ind w:left="180"/>
              <w:rPr>
                <w:sz w:val="20"/>
              </w:rPr>
            </w:pPr>
            <w:r>
              <w:rPr>
                <w:sz w:val="20"/>
              </w:rPr>
              <w:t>AND PHARMACOLOGY</w:t>
            </w:r>
          </w:p>
        </w:tc>
        <w:tc>
          <w:tcPr>
            <w:tcW w:w="943" w:type="dxa"/>
          </w:tcPr>
          <w:p>
            <w:pPr>
              <w:pStyle w:val="TableParagraph"/>
              <w:ind w:right="203"/>
              <w:jc w:val="right"/>
              <w:rPr>
                <w:sz w:val="20"/>
              </w:rPr>
            </w:pPr>
            <w:r>
              <w:rPr>
                <w:w w:val="100"/>
                <w:sz w:val="20"/>
              </w:rPr>
              <w:t>4</w:t>
            </w:r>
          </w:p>
        </w:tc>
      </w:tr>
      <w:tr>
        <w:trPr>
          <w:trHeight w:val="720" w:hRule="atLeast"/>
        </w:trPr>
        <w:tc>
          <w:tcPr>
            <w:tcW w:w="1220" w:type="dxa"/>
          </w:tcPr>
          <w:p>
            <w:pPr>
              <w:pStyle w:val="TableParagraph"/>
              <w:ind w:left="200"/>
              <w:rPr>
                <w:sz w:val="20"/>
              </w:rPr>
            </w:pPr>
            <w:r>
              <w:rPr>
                <w:sz w:val="20"/>
              </w:rPr>
              <w:t>GPLS 641</w:t>
            </w:r>
          </w:p>
        </w:tc>
        <w:tc>
          <w:tcPr>
            <w:tcW w:w="2793" w:type="dxa"/>
          </w:tcPr>
          <w:p>
            <w:pPr>
              <w:pStyle w:val="TableParagraph"/>
              <w:spacing w:line="249" w:lineRule="auto"/>
              <w:ind w:left="180" w:right="1209"/>
              <w:rPr>
                <w:sz w:val="20"/>
              </w:rPr>
            </w:pPr>
            <w:r>
              <w:rPr>
                <w:sz w:val="20"/>
              </w:rPr>
              <w:t>SYSTEMS AND COGNITIVE</w:t>
            </w:r>
          </w:p>
          <w:p>
            <w:pPr>
              <w:pStyle w:val="TableParagraph"/>
              <w:spacing w:line="219" w:lineRule="exact" w:before="2"/>
              <w:ind w:left="180"/>
              <w:rPr>
                <w:sz w:val="20"/>
              </w:rPr>
            </w:pPr>
            <w:r>
              <w:rPr>
                <w:sz w:val="20"/>
              </w:rPr>
              <w:t>NEUROSCIENCE</w:t>
            </w:r>
          </w:p>
        </w:tc>
        <w:tc>
          <w:tcPr>
            <w:tcW w:w="943" w:type="dxa"/>
          </w:tcPr>
          <w:p>
            <w:pPr>
              <w:pStyle w:val="TableParagraph"/>
              <w:ind w:right="203"/>
              <w:jc w:val="right"/>
              <w:rPr>
                <w:sz w:val="20"/>
              </w:rPr>
            </w:pPr>
            <w:r>
              <w:rPr>
                <w:w w:val="100"/>
                <w:sz w:val="20"/>
              </w:rPr>
              <w:t>4</w:t>
            </w:r>
          </w:p>
        </w:tc>
      </w:tr>
      <w:tr>
        <w:trPr>
          <w:trHeight w:val="480" w:hRule="atLeast"/>
        </w:trPr>
        <w:tc>
          <w:tcPr>
            <w:tcW w:w="1220" w:type="dxa"/>
          </w:tcPr>
          <w:p>
            <w:pPr>
              <w:pStyle w:val="TableParagraph"/>
              <w:ind w:left="200"/>
              <w:rPr>
                <w:sz w:val="20"/>
              </w:rPr>
            </w:pPr>
            <w:r>
              <w:rPr>
                <w:sz w:val="20"/>
              </w:rPr>
              <w:t>GPLS 630</w:t>
            </w:r>
          </w:p>
        </w:tc>
        <w:tc>
          <w:tcPr>
            <w:tcW w:w="2793" w:type="dxa"/>
          </w:tcPr>
          <w:p>
            <w:pPr>
              <w:pStyle w:val="TableParagraph"/>
              <w:ind w:left="180"/>
              <w:rPr>
                <w:sz w:val="20"/>
              </w:rPr>
            </w:pPr>
            <w:r>
              <w:rPr>
                <w:sz w:val="20"/>
              </w:rPr>
              <w:t>FUNDAMENTALS OF</w:t>
            </w:r>
          </w:p>
          <w:p>
            <w:pPr>
              <w:pStyle w:val="TableParagraph"/>
              <w:spacing w:line="219" w:lineRule="exact" w:before="10"/>
              <w:ind w:left="180"/>
              <w:rPr>
                <w:sz w:val="20"/>
              </w:rPr>
            </w:pPr>
            <w:r>
              <w:rPr>
                <w:sz w:val="20"/>
              </w:rPr>
              <w:t>BIOSTATISTICS</w:t>
            </w:r>
          </w:p>
        </w:tc>
        <w:tc>
          <w:tcPr>
            <w:tcW w:w="943" w:type="dxa"/>
          </w:tcPr>
          <w:p>
            <w:pPr>
              <w:pStyle w:val="TableParagraph"/>
              <w:ind w:right="203"/>
              <w:jc w:val="right"/>
              <w:rPr>
                <w:sz w:val="20"/>
              </w:rPr>
            </w:pPr>
            <w:r>
              <w:rPr>
                <w:w w:val="100"/>
                <w:sz w:val="20"/>
              </w:rPr>
              <w:t>3</w:t>
            </w:r>
          </w:p>
        </w:tc>
      </w:tr>
      <w:tr>
        <w:trPr>
          <w:trHeight w:val="480" w:hRule="atLeast"/>
        </w:trPr>
        <w:tc>
          <w:tcPr>
            <w:tcW w:w="1220" w:type="dxa"/>
          </w:tcPr>
          <w:p>
            <w:pPr>
              <w:pStyle w:val="TableParagraph"/>
              <w:ind w:left="200"/>
              <w:rPr>
                <w:sz w:val="20"/>
              </w:rPr>
            </w:pPr>
            <w:r>
              <w:rPr>
                <w:sz w:val="20"/>
              </w:rPr>
              <w:t>GPLS 737</w:t>
            </w:r>
          </w:p>
        </w:tc>
        <w:tc>
          <w:tcPr>
            <w:tcW w:w="2793" w:type="dxa"/>
          </w:tcPr>
          <w:p>
            <w:pPr>
              <w:pStyle w:val="TableParagraph"/>
              <w:ind w:left="180"/>
              <w:rPr>
                <w:sz w:val="20"/>
              </w:rPr>
            </w:pPr>
            <w:r>
              <w:rPr>
                <w:sz w:val="20"/>
              </w:rPr>
              <w:t>PROSEMINAR IN</w:t>
            </w:r>
          </w:p>
          <w:p>
            <w:pPr>
              <w:pStyle w:val="TableParagraph"/>
              <w:spacing w:line="219" w:lineRule="exact" w:before="10"/>
              <w:ind w:left="180"/>
              <w:rPr>
                <w:sz w:val="20"/>
              </w:rPr>
            </w:pPr>
            <w:r>
              <w:rPr>
                <w:sz w:val="20"/>
              </w:rPr>
              <w:t>EXPERIMENTAL DESIGN</w:t>
            </w:r>
          </w:p>
        </w:tc>
        <w:tc>
          <w:tcPr>
            <w:tcW w:w="943" w:type="dxa"/>
          </w:tcPr>
          <w:p>
            <w:pPr>
              <w:pStyle w:val="TableParagraph"/>
              <w:ind w:right="203"/>
              <w:jc w:val="right"/>
              <w:rPr>
                <w:sz w:val="20"/>
              </w:rPr>
            </w:pPr>
            <w:r>
              <w:rPr>
                <w:w w:val="100"/>
                <w:sz w:val="20"/>
              </w:rPr>
              <w:t>2</w:t>
            </w:r>
          </w:p>
        </w:tc>
      </w:tr>
      <w:tr>
        <w:trPr>
          <w:trHeight w:val="480" w:hRule="atLeast"/>
        </w:trPr>
        <w:tc>
          <w:tcPr>
            <w:tcW w:w="1220" w:type="dxa"/>
          </w:tcPr>
          <w:p>
            <w:pPr>
              <w:pStyle w:val="TableParagraph"/>
              <w:ind w:left="200"/>
              <w:rPr>
                <w:sz w:val="20"/>
              </w:rPr>
            </w:pPr>
            <w:r>
              <w:rPr>
                <w:sz w:val="20"/>
              </w:rPr>
              <w:t>GPLS 609</w:t>
            </w:r>
          </w:p>
        </w:tc>
        <w:tc>
          <w:tcPr>
            <w:tcW w:w="2793" w:type="dxa"/>
          </w:tcPr>
          <w:p>
            <w:pPr>
              <w:pStyle w:val="TableParagraph"/>
              <w:ind w:left="180"/>
              <w:rPr>
                <w:sz w:val="20"/>
              </w:rPr>
            </w:pPr>
            <w:r>
              <w:rPr>
                <w:sz w:val="20"/>
              </w:rPr>
              <w:t>LABORATORY</w:t>
            </w:r>
          </w:p>
          <w:p>
            <w:pPr>
              <w:pStyle w:val="TableParagraph"/>
              <w:spacing w:line="219" w:lineRule="exact" w:before="10"/>
              <w:ind w:left="180"/>
              <w:rPr>
                <w:sz w:val="20"/>
              </w:rPr>
            </w:pPr>
            <w:r>
              <w:rPr>
                <w:sz w:val="20"/>
              </w:rPr>
              <w:t>ROTATIONS</w:t>
            </w:r>
          </w:p>
        </w:tc>
        <w:tc>
          <w:tcPr>
            <w:tcW w:w="943" w:type="dxa"/>
          </w:tcPr>
          <w:p>
            <w:pPr>
              <w:pStyle w:val="TableParagraph"/>
              <w:ind w:right="198"/>
              <w:jc w:val="right"/>
              <w:rPr>
                <w:sz w:val="20"/>
              </w:rPr>
            </w:pPr>
            <w:r>
              <w:rPr>
                <w:sz w:val="20"/>
              </w:rPr>
              <w:t>1 TO 3</w:t>
            </w:r>
          </w:p>
        </w:tc>
      </w:tr>
      <w:tr>
        <w:trPr>
          <w:trHeight w:val="240" w:hRule="atLeast"/>
        </w:trPr>
        <w:tc>
          <w:tcPr>
            <w:tcW w:w="1220" w:type="dxa"/>
          </w:tcPr>
          <w:p>
            <w:pPr>
              <w:pStyle w:val="TableParagraph"/>
              <w:spacing w:line="219" w:lineRule="exact"/>
              <w:ind w:left="200"/>
              <w:rPr>
                <w:sz w:val="20"/>
              </w:rPr>
            </w:pPr>
            <w:r>
              <w:rPr>
                <w:sz w:val="20"/>
              </w:rPr>
              <w:t>GPLS 629</w:t>
            </w:r>
          </w:p>
        </w:tc>
        <w:tc>
          <w:tcPr>
            <w:tcW w:w="2793" w:type="dxa"/>
          </w:tcPr>
          <w:p>
            <w:pPr>
              <w:pStyle w:val="TableParagraph"/>
              <w:spacing w:line="219" w:lineRule="exact"/>
              <w:ind w:left="180"/>
              <w:rPr>
                <w:sz w:val="20"/>
              </w:rPr>
            </w:pPr>
            <w:r>
              <w:rPr>
                <w:sz w:val="20"/>
              </w:rPr>
              <w:t>JOURNAL CLUB</w:t>
            </w:r>
          </w:p>
        </w:tc>
        <w:tc>
          <w:tcPr>
            <w:tcW w:w="943" w:type="dxa"/>
          </w:tcPr>
          <w:p>
            <w:pPr>
              <w:pStyle w:val="TableParagraph"/>
              <w:spacing w:line="219" w:lineRule="exact"/>
              <w:ind w:right="203"/>
              <w:jc w:val="right"/>
              <w:rPr>
                <w:sz w:val="20"/>
              </w:rPr>
            </w:pPr>
            <w:r>
              <w:rPr>
                <w:w w:val="100"/>
                <w:sz w:val="20"/>
              </w:rPr>
              <w:t>1</w:t>
            </w:r>
          </w:p>
        </w:tc>
      </w:tr>
      <w:tr>
        <w:trPr>
          <w:trHeight w:val="240" w:hRule="atLeast"/>
        </w:trPr>
        <w:tc>
          <w:tcPr>
            <w:tcW w:w="1220" w:type="dxa"/>
          </w:tcPr>
          <w:p>
            <w:pPr>
              <w:pStyle w:val="TableParagraph"/>
              <w:spacing w:line="219" w:lineRule="exact"/>
              <w:ind w:left="200"/>
              <w:rPr>
                <w:sz w:val="20"/>
              </w:rPr>
            </w:pPr>
            <w:r>
              <w:rPr>
                <w:sz w:val="20"/>
              </w:rPr>
              <w:t>GPLS 608</w:t>
            </w:r>
          </w:p>
        </w:tc>
        <w:tc>
          <w:tcPr>
            <w:tcW w:w="2793" w:type="dxa"/>
          </w:tcPr>
          <w:p>
            <w:pPr>
              <w:pStyle w:val="TableParagraph"/>
              <w:spacing w:line="219" w:lineRule="exact"/>
              <w:ind w:left="180"/>
              <w:rPr>
                <w:sz w:val="20"/>
              </w:rPr>
            </w:pPr>
            <w:r>
              <w:rPr>
                <w:sz w:val="20"/>
              </w:rPr>
              <w:t>SEMINAR</w:t>
            </w:r>
          </w:p>
        </w:tc>
        <w:tc>
          <w:tcPr>
            <w:tcW w:w="943" w:type="dxa"/>
          </w:tcPr>
          <w:p>
            <w:pPr>
              <w:pStyle w:val="TableParagraph"/>
              <w:spacing w:line="219" w:lineRule="exact"/>
              <w:ind w:right="198"/>
              <w:jc w:val="right"/>
              <w:rPr>
                <w:sz w:val="20"/>
              </w:rPr>
            </w:pPr>
            <w:r>
              <w:rPr>
                <w:sz w:val="20"/>
              </w:rPr>
              <w:t>1 OR 2</w:t>
            </w:r>
          </w:p>
        </w:tc>
      </w:tr>
      <w:tr>
        <w:trPr>
          <w:trHeight w:val="471" w:hRule="atLeast"/>
        </w:trPr>
        <w:tc>
          <w:tcPr>
            <w:tcW w:w="1220" w:type="dxa"/>
          </w:tcPr>
          <w:p>
            <w:pPr>
              <w:pStyle w:val="TableParagraph"/>
              <w:ind w:left="200"/>
              <w:rPr>
                <w:sz w:val="20"/>
              </w:rPr>
            </w:pPr>
            <w:r>
              <w:rPr>
                <w:sz w:val="20"/>
              </w:rPr>
              <w:t>CIPP 909</w:t>
            </w:r>
          </w:p>
        </w:tc>
        <w:tc>
          <w:tcPr>
            <w:tcW w:w="2793" w:type="dxa"/>
          </w:tcPr>
          <w:p>
            <w:pPr>
              <w:pStyle w:val="TableParagraph"/>
              <w:ind w:left="180"/>
              <w:rPr>
                <w:sz w:val="20"/>
              </w:rPr>
            </w:pPr>
            <w:r>
              <w:rPr>
                <w:sz w:val="20"/>
              </w:rPr>
              <w:t>RESPONSIBLE CONDUCT</w:t>
            </w:r>
          </w:p>
          <w:p>
            <w:pPr>
              <w:pStyle w:val="TableParagraph"/>
              <w:spacing w:line="210" w:lineRule="exact" w:before="10"/>
              <w:ind w:left="180"/>
              <w:rPr>
                <w:sz w:val="20"/>
              </w:rPr>
            </w:pPr>
            <w:r>
              <w:rPr>
                <w:sz w:val="20"/>
              </w:rPr>
              <w:t>OF RESEARCH</w:t>
            </w:r>
          </w:p>
        </w:tc>
        <w:tc>
          <w:tcPr>
            <w:tcW w:w="943" w:type="dxa"/>
          </w:tcPr>
          <w:p>
            <w:pPr>
              <w:pStyle w:val="TableParagraph"/>
              <w:ind w:right="198"/>
              <w:jc w:val="right"/>
              <w:rPr>
                <w:sz w:val="20"/>
              </w:rPr>
            </w:pPr>
            <w:r>
              <w:rPr>
                <w:sz w:val="20"/>
              </w:rPr>
              <w:t>1 TO 2</w:t>
            </w:r>
          </w:p>
        </w:tc>
      </w:tr>
    </w:tbl>
    <w:p>
      <w:pPr>
        <w:spacing w:before="87"/>
        <w:ind w:left="200" w:right="0" w:firstLine="0"/>
        <w:jc w:val="left"/>
        <w:rPr>
          <w:i/>
          <w:sz w:val="20"/>
        </w:rPr>
      </w:pPr>
      <w:r>
        <w:rPr>
          <w:i/>
          <w:sz w:val="20"/>
        </w:rPr>
        <w:t>GPLS 609: three</w:t>
      </w:r>
    </w:p>
    <w:p>
      <w:pPr>
        <w:spacing w:before="68"/>
        <w:ind w:left="200" w:right="0" w:firstLine="0"/>
        <w:jc w:val="left"/>
        <w:rPr>
          <w:i/>
          <w:sz w:val="20"/>
        </w:rPr>
      </w:pPr>
      <w:r>
        <w:rPr>
          <w:i/>
          <w:sz w:val="20"/>
        </w:rPr>
        <w:t>GPLS 608: for proposal and defense presentations</w:t>
      </w:r>
    </w:p>
    <w:p>
      <w:pPr>
        <w:pStyle w:val="Heading5"/>
        <w:spacing w:before="183"/>
      </w:pPr>
      <w:r>
        <w:rPr/>
        <w:t>Available Electives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3014"/>
        <w:gridCol w:w="772"/>
      </w:tblGrid>
      <w:tr>
        <w:trPr>
          <w:trHeight w:val="471" w:hRule="atLeast"/>
        </w:trPr>
        <w:tc>
          <w:tcPr>
            <w:tcW w:w="1162" w:type="dxa"/>
          </w:tcPr>
          <w:p>
            <w:pPr>
              <w:pStyle w:val="TableParagraph"/>
              <w:spacing w:line="223" w:lineRule="exact" w:before="0"/>
              <w:ind w:right="119"/>
              <w:jc w:val="right"/>
              <w:rPr>
                <w:sz w:val="20"/>
              </w:rPr>
            </w:pPr>
            <w:r>
              <w:rPr>
                <w:sz w:val="20"/>
              </w:rPr>
              <w:t>GPLS 781</w:t>
            </w:r>
          </w:p>
        </w:tc>
        <w:tc>
          <w:tcPr>
            <w:tcW w:w="3014" w:type="dxa"/>
          </w:tcPr>
          <w:p>
            <w:pPr>
              <w:pStyle w:val="TableParagraph"/>
              <w:spacing w:line="223" w:lineRule="exact" w:before="0"/>
              <w:ind w:left="122"/>
              <w:rPr>
                <w:sz w:val="20"/>
              </w:rPr>
            </w:pPr>
            <w:r>
              <w:rPr>
                <w:sz w:val="20"/>
              </w:rPr>
              <w:t>TRANSLATIONAL</w:t>
            </w:r>
          </w:p>
          <w:p>
            <w:pPr>
              <w:pStyle w:val="TableParagraph"/>
              <w:spacing w:line="219" w:lineRule="exact" w:before="10"/>
              <w:ind w:left="122"/>
              <w:rPr>
                <w:sz w:val="20"/>
              </w:rPr>
            </w:pPr>
            <w:r>
              <w:rPr>
                <w:sz w:val="20"/>
              </w:rPr>
              <w:t>PSYCHIATRY</w:t>
            </w:r>
          </w:p>
        </w:tc>
        <w:tc>
          <w:tcPr>
            <w:tcW w:w="772" w:type="dxa"/>
          </w:tcPr>
          <w:p>
            <w:pPr>
              <w:pStyle w:val="TableParagraph"/>
              <w:spacing w:line="223" w:lineRule="exact" w:before="0"/>
              <w:ind w:right="195"/>
              <w:jc w:val="right"/>
              <w:rPr>
                <w:sz w:val="20"/>
              </w:rPr>
            </w:pPr>
            <w:r>
              <w:rPr>
                <w:w w:val="100"/>
                <w:sz w:val="20"/>
              </w:rPr>
              <w:t>3</w:t>
            </w:r>
          </w:p>
        </w:tc>
      </w:tr>
      <w:tr>
        <w:trPr>
          <w:trHeight w:val="240" w:hRule="atLeast"/>
        </w:trPr>
        <w:tc>
          <w:tcPr>
            <w:tcW w:w="1162" w:type="dxa"/>
          </w:tcPr>
          <w:p>
            <w:pPr>
              <w:pStyle w:val="TableParagraph"/>
              <w:spacing w:line="219" w:lineRule="exact"/>
              <w:ind w:right="121"/>
              <w:jc w:val="right"/>
              <w:rPr>
                <w:sz w:val="20"/>
              </w:rPr>
            </w:pPr>
            <w:r>
              <w:rPr>
                <w:sz w:val="20"/>
              </w:rPr>
              <w:t>GPLS 780</w:t>
            </w:r>
          </w:p>
        </w:tc>
        <w:tc>
          <w:tcPr>
            <w:tcW w:w="3014" w:type="dxa"/>
          </w:tcPr>
          <w:p>
            <w:pPr>
              <w:pStyle w:val="TableParagraph"/>
              <w:spacing w:line="219" w:lineRule="exact"/>
              <w:ind w:left="122"/>
              <w:rPr>
                <w:sz w:val="20"/>
              </w:rPr>
            </w:pPr>
            <w:r>
              <w:rPr>
                <w:sz w:val="20"/>
              </w:rPr>
              <w:t>CNS DISEASES</w:t>
            </w:r>
          </w:p>
        </w:tc>
        <w:tc>
          <w:tcPr>
            <w:tcW w:w="772" w:type="dxa"/>
          </w:tcPr>
          <w:p>
            <w:pPr>
              <w:pStyle w:val="TableParagraph"/>
              <w:spacing w:before="0"/>
              <w:rPr>
                <w:sz w:val="16"/>
              </w:rPr>
            </w:pPr>
          </w:p>
        </w:tc>
      </w:tr>
      <w:tr>
        <w:trPr>
          <w:trHeight w:val="480" w:hRule="atLeast"/>
        </w:trPr>
        <w:tc>
          <w:tcPr>
            <w:tcW w:w="1162" w:type="dxa"/>
          </w:tcPr>
          <w:p>
            <w:pPr>
              <w:pStyle w:val="TableParagraph"/>
              <w:ind w:right="119"/>
              <w:jc w:val="right"/>
              <w:rPr>
                <w:sz w:val="20"/>
              </w:rPr>
            </w:pPr>
            <w:r>
              <w:rPr>
                <w:sz w:val="20"/>
              </w:rPr>
              <w:t>GPLS 627</w:t>
            </w:r>
          </w:p>
        </w:tc>
        <w:tc>
          <w:tcPr>
            <w:tcW w:w="3014" w:type="dxa"/>
          </w:tcPr>
          <w:p>
            <w:pPr>
              <w:pStyle w:val="TableParagraph"/>
              <w:ind w:left="122"/>
              <w:rPr>
                <w:sz w:val="20"/>
              </w:rPr>
            </w:pPr>
            <w:r>
              <w:rPr>
                <w:sz w:val="20"/>
              </w:rPr>
              <w:t>DEVELOPMENTAL</w:t>
            </w:r>
          </w:p>
          <w:p>
            <w:pPr>
              <w:pStyle w:val="TableParagraph"/>
              <w:spacing w:line="219" w:lineRule="exact" w:before="10"/>
              <w:ind w:left="122"/>
              <w:rPr>
                <w:sz w:val="20"/>
              </w:rPr>
            </w:pPr>
            <w:r>
              <w:rPr>
                <w:sz w:val="20"/>
              </w:rPr>
              <w:t>NEUROBIOLOGY</w:t>
            </w:r>
          </w:p>
        </w:tc>
        <w:tc>
          <w:tcPr>
            <w:tcW w:w="772" w:type="dxa"/>
          </w:tcPr>
          <w:p>
            <w:pPr>
              <w:pStyle w:val="TableParagraph"/>
              <w:ind w:right="195"/>
              <w:jc w:val="right"/>
              <w:rPr>
                <w:sz w:val="20"/>
              </w:rPr>
            </w:pPr>
            <w:r>
              <w:rPr>
                <w:w w:val="100"/>
                <w:sz w:val="20"/>
              </w:rPr>
              <w:t>3</w:t>
            </w:r>
          </w:p>
        </w:tc>
      </w:tr>
      <w:tr>
        <w:trPr>
          <w:trHeight w:val="240" w:hRule="atLeast"/>
        </w:trPr>
        <w:tc>
          <w:tcPr>
            <w:tcW w:w="1162" w:type="dxa"/>
          </w:tcPr>
          <w:p>
            <w:pPr>
              <w:pStyle w:val="TableParagraph"/>
              <w:spacing w:line="219" w:lineRule="exact"/>
              <w:ind w:right="119"/>
              <w:jc w:val="right"/>
              <w:rPr>
                <w:sz w:val="20"/>
              </w:rPr>
            </w:pPr>
            <w:r>
              <w:rPr>
                <w:sz w:val="20"/>
              </w:rPr>
              <w:t>GPLS 613</w:t>
            </w:r>
          </w:p>
        </w:tc>
        <w:tc>
          <w:tcPr>
            <w:tcW w:w="3014" w:type="dxa"/>
          </w:tcPr>
          <w:p>
            <w:pPr>
              <w:pStyle w:val="TableParagraph"/>
              <w:spacing w:line="219" w:lineRule="exact"/>
              <w:ind w:left="122"/>
              <w:rPr>
                <w:sz w:val="20"/>
              </w:rPr>
            </w:pPr>
            <w:r>
              <w:rPr>
                <w:sz w:val="20"/>
              </w:rPr>
              <w:t>NEUROENDOCRINOLOGY</w:t>
            </w:r>
          </w:p>
        </w:tc>
        <w:tc>
          <w:tcPr>
            <w:tcW w:w="772" w:type="dxa"/>
          </w:tcPr>
          <w:p>
            <w:pPr>
              <w:pStyle w:val="TableParagraph"/>
              <w:spacing w:line="219" w:lineRule="exact"/>
              <w:ind w:right="195"/>
              <w:jc w:val="right"/>
              <w:rPr>
                <w:sz w:val="20"/>
              </w:rPr>
            </w:pPr>
            <w:r>
              <w:rPr>
                <w:w w:val="100"/>
                <w:sz w:val="20"/>
              </w:rPr>
              <w:t>3</w:t>
            </w:r>
          </w:p>
        </w:tc>
      </w:tr>
      <w:tr>
        <w:trPr>
          <w:trHeight w:val="240" w:hRule="atLeast"/>
        </w:trPr>
        <w:tc>
          <w:tcPr>
            <w:tcW w:w="1162" w:type="dxa"/>
          </w:tcPr>
          <w:p>
            <w:pPr>
              <w:pStyle w:val="TableParagraph"/>
              <w:spacing w:line="219" w:lineRule="exact"/>
              <w:ind w:right="119"/>
              <w:jc w:val="right"/>
              <w:rPr>
                <w:sz w:val="20"/>
              </w:rPr>
            </w:pPr>
            <w:r>
              <w:rPr>
                <w:sz w:val="20"/>
              </w:rPr>
              <w:t>GPLS 642</w:t>
            </w:r>
          </w:p>
        </w:tc>
        <w:tc>
          <w:tcPr>
            <w:tcW w:w="3014" w:type="dxa"/>
          </w:tcPr>
          <w:p>
            <w:pPr>
              <w:pStyle w:val="TableParagraph"/>
              <w:spacing w:line="219" w:lineRule="exact"/>
              <w:ind w:left="122"/>
              <w:rPr>
                <w:sz w:val="20"/>
              </w:rPr>
            </w:pPr>
            <w:r>
              <w:rPr>
                <w:sz w:val="20"/>
              </w:rPr>
              <w:t>NOCICEPTION OF PAIN</w:t>
            </w:r>
          </w:p>
        </w:tc>
        <w:tc>
          <w:tcPr>
            <w:tcW w:w="772" w:type="dxa"/>
          </w:tcPr>
          <w:p>
            <w:pPr>
              <w:pStyle w:val="TableParagraph"/>
              <w:spacing w:line="219" w:lineRule="exact"/>
              <w:ind w:right="195"/>
              <w:jc w:val="right"/>
              <w:rPr>
                <w:sz w:val="20"/>
              </w:rPr>
            </w:pPr>
            <w:r>
              <w:rPr>
                <w:w w:val="100"/>
                <w:sz w:val="20"/>
              </w:rPr>
              <w:t>2</w:t>
            </w:r>
          </w:p>
        </w:tc>
      </w:tr>
      <w:tr>
        <w:trPr>
          <w:trHeight w:val="951" w:hRule="atLeast"/>
        </w:trPr>
        <w:tc>
          <w:tcPr>
            <w:tcW w:w="1162" w:type="dxa"/>
          </w:tcPr>
          <w:p>
            <w:pPr>
              <w:pStyle w:val="TableParagraph"/>
              <w:ind w:right="119"/>
              <w:jc w:val="right"/>
              <w:rPr>
                <w:sz w:val="20"/>
              </w:rPr>
            </w:pPr>
            <w:r>
              <w:rPr>
                <w:sz w:val="20"/>
              </w:rPr>
              <w:t>GPLS 721</w:t>
            </w:r>
          </w:p>
        </w:tc>
        <w:tc>
          <w:tcPr>
            <w:tcW w:w="3014" w:type="dxa"/>
          </w:tcPr>
          <w:p>
            <w:pPr>
              <w:pStyle w:val="TableParagraph"/>
              <w:spacing w:line="249" w:lineRule="auto"/>
              <w:ind w:left="122" w:right="755"/>
              <w:rPr>
                <w:sz w:val="20"/>
              </w:rPr>
            </w:pPr>
            <w:r>
              <w:rPr>
                <w:sz w:val="20"/>
              </w:rPr>
              <w:t>MICROSCOPY FUNDAMENTALS AND MODERN IMAGING</w:t>
            </w:r>
          </w:p>
          <w:p>
            <w:pPr>
              <w:pStyle w:val="TableParagraph"/>
              <w:spacing w:line="210" w:lineRule="exact" w:before="2"/>
              <w:ind w:left="122"/>
              <w:rPr>
                <w:sz w:val="20"/>
              </w:rPr>
            </w:pPr>
            <w:r>
              <w:rPr>
                <w:sz w:val="20"/>
              </w:rPr>
              <w:t>APPLICATIONS</w:t>
            </w:r>
          </w:p>
        </w:tc>
        <w:tc>
          <w:tcPr>
            <w:tcW w:w="772" w:type="dxa"/>
          </w:tcPr>
          <w:p>
            <w:pPr>
              <w:pStyle w:val="TableParagraph"/>
              <w:ind w:right="195"/>
              <w:jc w:val="right"/>
              <w:rPr>
                <w:sz w:val="20"/>
              </w:rPr>
            </w:pPr>
            <w:r>
              <w:rPr>
                <w:w w:val="100"/>
                <w:sz w:val="20"/>
              </w:rPr>
              <w:t>2</w:t>
            </w:r>
          </w:p>
        </w:tc>
      </w:tr>
    </w:tbl>
    <w:p>
      <w:pPr>
        <w:pStyle w:val="BodyText"/>
        <w:spacing w:before="6"/>
        <w:ind w:left="0"/>
        <w:rPr>
          <w:sz w:val="17"/>
        </w:rPr>
      </w:pPr>
    </w:p>
    <w:p>
      <w:pPr>
        <w:pStyle w:val="BodyText"/>
        <w:spacing w:line="249" w:lineRule="auto" w:before="0"/>
        <w:ind w:right="605"/>
      </w:pPr>
      <w:r>
        <w:rPr/>
        <w:t>In addition to the above, 1 credit nanocourses are also offered on a host of topics depending on student interest. (ex: Addiction, Neuromethods, Coding and Intro to Logic, etc.)</w:t>
      </w:r>
    </w:p>
    <w:p>
      <w:pPr>
        <w:pStyle w:val="Heading5"/>
        <w:spacing w:before="177"/>
      </w:pPr>
      <w:r>
        <w:rPr/>
        <w:t>Courses</w:t>
      </w:r>
    </w:p>
    <w:p>
      <w:pPr>
        <w:pStyle w:val="BodyText"/>
      </w:pPr>
      <w:r>
        <w:rPr/>
        <w:t>See course listings under GPLS program descriptions.</w:t>
      </w:r>
    </w:p>
    <w:p>
      <w:pPr>
        <w:spacing w:after="0"/>
        <w:sectPr>
          <w:pgSz w:w="12240" w:h="15840"/>
          <w:pgMar w:header="746" w:footer="0" w:top="1320" w:bottom="280" w:left="880" w:right="300"/>
          <w:cols w:num="2" w:equalWidth="0">
            <w:col w:w="5005" w:space="481"/>
            <w:col w:w="5574"/>
          </w:cols>
        </w:sectPr>
      </w:pPr>
    </w:p>
    <w:p>
      <w:pPr>
        <w:pStyle w:val="Heading3"/>
      </w:pPr>
      <w:bookmarkStart w:name="Physical Rehabilitation Science" w:id="45"/>
      <w:bookmarkEnd w:id="45"/>
      <w:r>
        <w:rPr/>
      </w:r>
      <w:bookmarkStart w:name="_bookmark22" w:id="46"/>
      <w:bookmarkEnd w:id="46"/>
      <w:r>
        <w:rPr/>
      </w:r>
      <w:r>
        <w:rPr/>
        <w:t>Physical Rehabilitation Science</w:t>
      </w:r>
    </w:p>
    <w:p>
      <w:pPr>
        <w:pStyle w:val="Heading4"/>
      </w:pPr>
      <w:r>
        <w:rPr/>
        <w:t>Graduate Program in Life Sciences</w:t>
      </w:r>
    </w:p>
    <w:p>
      <w:pPr>
        <w:pStyle w:val="BodyText"/>
        <w:spacing w:before="188"/>
      </w:pPr>
      <w:hyperlink r:id="rId54">
        <w:r>
          <w:rPr>
            <w:color w:val="0000FF"/>
            <w:u w:val="single" w:color="0000FF"/>
          </w:rPr>
          <w:t>http://pt.umaryland.edu/</w:t>
        </w:r>
      </w:hyperlink>
    </w:p>
    <w:p>
      <w:pPr>
        <w:pStyle w:val="Heading6"/>
        <w:spacing w:before="188"/>
      </w:pPr>
      <w:r>
        <w:rPr/>
        <w:t>Degree Offered</w:t>
      </w:r>
    </w:p>
    <w:p>
      <w:pPr>
        <w:pStyle w:val="BodyText"/>
        <w:spacing w:before="192"/>
      </w:pPr>
      <w:r>
        <w:rPr/>
        <w:t>PhD</w:t>
      </w:r>
    </w:p>
    <w:p>
      <w:pPr>
        <w:pStyle w:val="Heading6"/>
        <w:spacing w:before="188"/>
      </w:pPr>
      <w:r>
        <w:rPr/>
        <w:t>Program Description</w:t>
      </w:r>
    </w:p>
    <w:p>
      <w:pPr>
        <w:pStyle w:val="BodyText"/>
        <w:spacing w:line="249" w:lineRule="auto" w:before="192"/>
        <w:ind w:left="199" w:right="127"/>
      </w:pPr>
      <w:r>
        <w:rPr/>
        <w:t>The Department of Physical Therapy and Rehabilitation Science offers a Doctor of Philosophy degree in physical rehabilitation science. The concentration area is neuromotor control and rehabilitation. Related cognate or complementary areas are usually one of the following: applied physiology, cognitive motor neuroscience, epidemiology, human-centered computing, rehabilitation biomechanics, or rehabilitation engineering. Note that some of these courses are not available on the UMB campus but require travel to the University of Maryland, College Park or the University of Maryland, Baltimore County.</w:t>
      </w:r>
    </w:p>
    <w:p>
      <w:pPr>
        <w:pStyle w:val="BodyText"/>
        <w:spacing w:line="249" w:lineRule="auto" w:before="187"/>
        <w:ind w:right="243"/>
      </w:pPr>
      <w:r>
        <w:rPr/>
        <w:t>A combined Doctor of Physical Therapy/Doctor of Philosophy (DPT/PhD) option also is offered and should be discussed with the PhD and a DPT program director before making a formal application. This option can be applied for only after an individual is accepted into the DPT program.</w:t>
      </w:r>
    </w:p>
    <w:p>
      <w:pPr>
        <w:pStyle w:val="Heading6"/>
        <w:spacing w:before="186"/>
      </w:pPr>
      <w:r>
        <w:rPr/>
        <w:t>Research Areas</w:t>
      </w:r>
    </w:p>
    <w:p>
      <w:pPr>
        <w:pStyle w:val="BodyText"/>
        <w:spacing w:line="249" w:lineRule="auto" w:before="188"/>
        <w:ind w:left="199" w:right="26"/>
      </w:pPr>
      <w:r>
        <w:rPr/>
        <w:t>The nationally and internationally recognized interdepartmental faculty includes 34 PhDs, nine MDs, and nine PTs. Major research interests include balance stability and falls in older adults, motor control and rehabilitation after stroke and in people with Parkinson’s disease, neuroplasticity, and technologies including neuroimaging and rehabilitation robotics. A variety of contemporary and innovative approaches is used to understand the neuromotor, physiological, biomechanical, and behavioral bases of movement problems that lead to dysfunction and disability, and to develop rehabilitation approaches for maximizing movement function and promoting independence. Studies employ three- dimensional motion analysis and kinetic and electromyographic (EMG) recording techniques to evaluate localized and whole- body movements. Other methodologies may include functional/ structural magnetic resonance imaging (MRI), transcranial magnetic stimulation (TMS), electroencephalographic (EEG) recording, computed tomography (CT), acoustic startle, peripheral nerve and muscle stimulation, and clinical testing. Robotics applications are employed to</w:t>
      </w:r>
    </w:p>
    <w:p>
      <w:pPr>
        <w:pStyle w:val="BodyText"/>
        <w:spacing w:line="249" w:lineRule="auto" w:before="96"/>
        <w:ind w:right="799"/>
      </w:pPr>
      <w:r>
        <w:rPr/>
        <w:br w:type="column"/>
      </w:r>
      <w:r>
        <w:rPr/>
        <w:t>study and rehabilitate upper and lower limb movement problems and to test and train balance and gait disorders.</w:t>
      </w:r>
    </w:p>
    <w:p>
      <w:pPr>
        <w:pStyle w:val="BodyText"/>
        <w:spacing w:line="249" w:lineRule="auto" w:before="179"/>
        <w:ind w:right="739"/>
      </w:pPr>
      <w:r>
        <w:rPr/>
        <w:t>The program combines faculty, physical, and financial resources from several departments within the School of Medicine and the Baltimore Veterans Affairs Medical Center and from related graduate programs within the University System of Maryland. The program trains researchers so they may advance the field of physical rehabilitation and ultimately improve the lives of people with functional deficits and disability. Individual courses of study serve the interests and educational needs of the student and the principal faculty advisor. The program educates students with the systemic biological, physical, and behavioral sciences and conceptual models of current biomedical thought, and trains them in the application of pertinent disciplines to the field of rehabilitation.</w:t>
      </w:r>
    </w:p>
    <w:p>
      <w:pPr>
        <w:pStyle w:val="BodyText"/>
        <w:spacing w:line="249" w:lineRule="auto" w:before="10"/>
        <w:ind w:right="928"/>
      </w:pPr>
      <w:r>
        <w:rPr/>
        <w:t>Graduates of the program can find careers in academia, research, and industry.</w:t>
      </w:r>
    </w:p>
    <w:p>
      <w:pPr>
        <w:pStyle w:val="Heading6"/>
        <w:spacing w:before="184"/>
      </w:pPr>
      <w:r>
        <w:rPr/>
        <w:t>Program Admission</w:t>
      </w:r>
    </w:p>
    <w:p>
      <w:pPr>
        <w:pStyle w:val="BodyText"/>
        <w:spacing w:line="249" w:lineRule="auto" w:before="188"/>
        <w:ind w:left="199" w:right="646"/>
      </w:pPr>
      <w:r>
        <w:rPr/>
        <w:t>Beyond the Graduate School’s minimum </w:t>
      </w:r>
      <w:r>
        <w:rPr>
          <w:spacing w:val="-3"/>
        </w:rPr>
        <w:t>admission </w:t>
      </w:r>
      <w:r>
        <w:rPr/>
        <w:t>requirements, applicants must hold a bachelor’s </w:t>
      </w:r>
      <w:r>
        <w:rPr>
          <w:spacing w:val="-3"/>
        </w:rPr>
        <w:t>or </w:t>
      </w:r>
      <w:r>
        <w:rPr/>
        <w:t>master’s degree in a health- </w:t>
      </w:r>
      <w:r>
        <w:rPr>
          <w:spacing w:val="-5"/>
        </w:rPr>
        <w:t>or </w:t>
      </w:r>
      <w:r>
        <w:rPr/>
        <w:t>rehabilitation-related discipline </w:t>
      </w:r>
      <w:r>
        <w:rPr>
          <w:spacing w:val="-3"/>
        </w:rPr>
        <w:t>or </w:t>
      </w:r>
      <w:r>
        <w:rPr/>
        <w:t>a related biological science. Experience in rehabilitation is preferred but not essential. Potential candidates should contact a potential advisor before applying to the program. Three letters </w:t>
      </w:r>
      <w:r>
        <w:rPr>
          <w:spacing w:val="-3"/>
        </w:rPr>
        <w:t>of </w:t>
      </w:r>
      <w:r>
        <w:rPr/>
        <w:t>recommendation, transcripts, and a written statement </w:t>
      </w:r>
      <w:r>
        <w:rPr>
          <w:spacing w:val="-3"/>
        </w:rPr>
        <w:t>of </w:t>
      </w:r>
      <w:r>
        <w:rPr/>
        <w:t>interests and </w:t>
      </w:r>
      <w:r>
        <w:rPr>
          <w:spacing w:val="-3"/>
        </w:rPr>
        <w:t>career </w:t>
      </w:r>
      <w:r>
        <w:rPr/>
        <w:t>goals are required </w:t>
      </w:r>
      <w:r>
        <w:rPr>
          <w:spacing w:val="-3"/>
        </w:rPr>
        <w:t>of </w:t>
      </w:r>
      <w:r>
        <w:rPr/>
        <w:t>all applicants. Graduate </w:t>
      </w:r>
      <w:r>
        <w:rPr>
          <w:spacing w:val="-2"/>
        </w:rPr>
        <w:t>Record </w:t>
      </w:r>
      <w:r>
        <w:rPr/>
        <w:t>Examinations (GRE) scores are preferred </w:t>
      </w:r>
      <w:r>
        <w:rPr>
          <w:spacing w:val="-4"/>
        </w:rPr>
        <w:t>for </w:t>
      </w:r>
      <w:r>
        <w:rPr/>
        <w:t>applicants without a </w:t>
      </w:r>
      <w:r>
        <w:rPr>
          <w:spacing w:val="-3"/>
        </w:rPr>
        <w:t>doctor of </w:t>
      </w:r>
      <w:r>
        <w:rPr/>
        <w:t>physical </w:t>
      </w:r>
      <w:r>
        <w:rPr>
          <w:spacing w:val="-3"/>
        </w:rPr>
        <w:t>or </w:t>
      </w:r>
      <w:r>
        <w:rPr/>
        <w:t>occupational therapy degree. All international students must meet the Graduate School’s requirements </w:t>
      </w:r>
      <w:r>
        <w:rPr>
          <w:spacing w:val="-4"/>
        </w:rPr>
        <w:t>for </w:t>
      </w:r>
      <w:r>
        <w:rPr/>
        <w:t>scores from the Test </w:t>
      </w:r>
      <w:r>
        <w:rPr>
          <w:spacing w:val="-3"/>
        </w:rPr>
        <w:t>of </w:t>
      </w:r>
      <w:r>
        <w:rPr/>
        <w:t>English as a Foreign Language </w:t>
      </w:r>
      <w:r>
        <w:rPr>
          <w:spacing w:val="-5"/>
        </w:rPr>
        <w:t>or </w:t>
      </w:r>
      <w:r>
        <w:rPr/>
        <w:t>the International English Language Testing </w:t>
      </w:r>
      <w:r>
        <w:rPr>
          <w:spacing w:val="-3"/>
        </w:rPr>
        <w:t>System </w:t>
      </w:r>
      <w:r>
        <w:rPr/>
        <w:t>exam. Other selection criteria may </w:t>
      </w:r>
      <w:r>
        <w:rPr>
          <w:spacing w:val="-3"/>
        </w:rPr>
        <w:t>be </w:t>
      </w:r>
      <w:r>
        <w:rPr/>
        <w:t>used independently by specific advisors. All application materials must </w:t>
      </w:r>
      <w:r>
        <w:rPr>
          <w:spacing w:val="-3"/>
        </w:rPr>
        <w:t>be </w:t>
      </w:r>
      <w:r>
        <w:rPr/>
        <w:t>received by Dec 15 if seeking a graduate assistantship </w:t>
      </w:r>
      <w:r>
        <w:rPr>
          <w:spacing w:val="-4"/>
        </w:rPr>
        <w:t>for </w:t>
      </w:r>
      <w:r>
        <w:rPr/>
        <w:t>fall semester start date. Otherwise, applications are accepted </w:t>
      </w:r>
      <w:r>
        <w:rPr>
          <w:spacing w:val="-3"/>
        </w:rPr>
        <w:t>on </w:t>
      </w:r>
      <w:r>
        <w:rPr/>
        <w:t>a rolling basis throughout the year. The program encourages the application </w:t>
      </w:r>
      <w:r>
        <w:rPr>
          <w:spacing w:val="-3"/>
        </w:rPr>
        <w:t>of </w:t>
      </w:r>
      <w:r>
        <w:rPr/>
        <w:t>women and candidates from racial and ethnic minorities under- represented in the sciences. </w:t>
      </w:r>
      <w:r>
        <w:rPr>
          <w:spacing w:val="-3"/>
        </w:rPr>
        <w:t>For </w:t>
      </w:r>
      <w:r>
        <w:rPr/>
        <w:t>more information, visit </w:t>
      </w:r>
      <w:hyperlink r:id="rId55">
        <w:r>
          <w:rPr>
            <w:color w:val="0000FF"/>
          </w:rPr>
          <w:t>http://lifesciences.umaryland.edu/rehabscience/</w:t>
        </w:r>
        <w:r>
          <w:rPr/>
          <w:t>.</w:t>
        </w:r>
      </w:hyperlink>
    </w:p>
    <w:p>
      <w:pPr>
        <w:pStyle w:val="BodyText"/>
        <w:spacing w:before="4"/>
        <w:ind w:left="0"/>
        <w:rPr>
          <w:sz w:val="17"/>
        </w:rPr>
      </w:pPr>
    </w:p>
    <w:p>
      <w:pPr>
        <w:pStyle w:val="Heading6"/>
        <w:spacing w:before="0"/>
        <w:ind w:left="199"/>
      </w:pPr>
      <w:r>
        <w:rPr/>
        <w:t>Degree Requirements</w:t>
      </w:r>
    </w:p>
    <w:p>
      <w:pPr>
        <w:pStyle w:val="BodyText"/>
        <w:spacing w:line="249" w:lineRule="auto" w:before="187"/>
        <w:ind w:left="199" w:right="712"/>
      </w:pPr>
      <w:r>
        <w:rPr/>
        <w:t>Students must complete at least 60 credits of supervised work beyond the bachelor’s degree to receive the doctoral degree in physical rehabilitation science. The 60 credits must include a minimum of 10 credits of interdisciplinary science foundation, 12 credits of tools, 22 credits of</w:t>
      </w:r>
    </w:p>
    <w:p>
      <w:pPr>
        <w:spacing w:after="0" w:line="249" w:lineRule="auto"/>
        <w:sectPr>
          <w:pgSz w:w="12240" w:h="15840"/>
          <w:pgMar w:header="746" w:footer="0" w:top="1320" w:bottom="280" w:left="880" w:right="300"/>
          <w:cols w:num="2" w:equalWidth="0">
            <w:col w:w="5002" w:space="484"/>
            <w:col w:w="5574"/>
          </w:cols>
        </w:sectPr>
      </w:pPr>
    </w:p>
    <w:p>
      <w:pPr>
        <w:pStyle w:val="BodyText"/>
        <w:spacing w:line="249" w:lineRule="auto" w:before="100"/>
        <w:ind w:right="6186"/>
      </w:pPr>
      <w:r>
        <w:rPr/>
        <w:t>concentration/cognate, 12 credits of doctoral dissertation research, and 4 credits that can be distributed in any area. The program may waive some credit requirements if there is evidence that an accredited graduate school or program verifies academic competency in pertinent coursework.</w:t>
      </w:r>
    </w:p>
    <w:p>
      <w:pPr>
        <w:pStyle w:val="BodyText"/>
        <w:spacing w:line="249" w:lineRule="auto" w:before="3"/>
        <w:ind w:right="6090"/>
      </w:pPr>
      <w:r>
        <w:rPr/>
        <w:t>The advisor and program administration must approve the waiving </w:t>
      </w:r>
      <w:r>
        <w:rPr>
          <w:spacing w:val="-3"/>
        </w:rPr>
        <w:t>of </w:t>
      </w:r>
      <w:r>
        <w:rPr/>
        <w:t>credit requirements. Other requirements include passing the (a) plan </w:t>
      </w:r>
      <w:r>
        <w:rPr>
          <w:spacing w:val="-3"/>
        </w:rPr>
        <w:t>of </w:t>
      </w:r>
      <w:r>
        <w:rPr/>
        <w:t>study meeting (typically at the end of the first year), (b) written and oral comprehensive exams (typically at the end </w:t>
      </w:r>
      <w:r>
        <w:rPr>
          <w:spacing w:val="-3"/>
        </w:rPr>
        <w:t>of </w:t>
      </w:r>
      <w:r>
        <w:rPr/>
        <w:t>the second year); and (c) the dissertation proposal (six months after passing the comprehensive exams). </w:t>
      </w:r>
      <w:r>
        <w:rPr>
          <w:spacing w:val="-4"/>
        </w:rPr>
        <w:t>At </w:t>
      </w:r>
      <w:r>
        <w:rPr/>
        <w:t>this stage, the student advances to candidacy for the PhD degree, ideally during the third year. Once candidacy has </w:t>
      </w:r>
      <w:r>
        <w:rPr>
          <w:spacing w:val="-3"/>
        </w:rPr>
        <w:t>been </w:t>
      </w:r>
      <w:r>
        <w:rPr/>
        <w:t>achieved, the student’s primary focus is </w:t>
      </w:r>
      <w:r>
        <w:rPr>
          <w:spacing w:val="-3"/>
        </w:rPr>
        <w:t>on </w:t>
      </w:r>
      <w:r>
        <w:rPr/>
        <w:t>dissertation research, </w:t>
      </w:r>
      <w:r>
        <w:rPr>
          <w:spacing w:val="-3"/>
        </w:rPr>
        <w:t>with </w:t>
      </w:r>
      <w:r>
        <w:rPr/>
        <w:t>progress monitored and advice </w:t>
      </w:r>
      <w:r>
        <w:rPr>
          <w:spacing w:val="-3"/>
        </w:rPr>
        <w:t>on </w:t>
      </w:r>
      <w:r>
        <w:rPr/>
        <w:t>executing the research program provided by the dissertation committee. The doctoral dissertation must </w:t>
      </w:r>
      <w:r>
        <w:rPr>
          <w:spacing w:val="-3"/>
        </w:rPr>
        <w:t>be </w:t>
      </w:r>
      <w:r>
        <w:rPr/>
        <w:t>an original scientific and scholarly work consisting </w:t>
      </w:r>
      <w:r>
        <w:rPr>
          <w:spacing w:val="-3"/>
        </w:rPr>
        <w:t>of </w:t>
      </w:r>
      <w:r>
        <w:rPr/>
        <w:t>at least two empirical papers </w:t>
      </w:r>
      <w:r>
        <w:rPr>
          <w:spacing w:val="-3"/>
        </w:rPr>
        <w:t>of </w:t>
      </w:r>
      <w:r>
        <w:rPr/>
        <w:t>publishable quality, completed according to Graduate School guidelines and program policies.</w:t>
      </w:r>
    </w:p>
    <w:p>
      <w:pPr>
        <w:pStyle w:val="BodyText"/>
        <w:spacing w:line="249" w:lineRule="auto" w:before="190"/>
        <w:ind w:right="6141"/>
      </w:pPr>
      <w:r>
        <w:rPr/>
        <w:t>Students pursuing the doctoral degree in physical rehabilitation science participate in research throughout their studies. They are expected to demonstrate continuous evidence of scholarship through an average of three presentations a year and at least two submitted papers before the dissertation. Graduate research and teaching assistantships may be available to highly qualified applicants. Progress monitoring and academic/research planning are provided on an annual basis by the student’s advisory committee and through ongoing interactions with the primary advisor.</w:t>
      </w:r>
    </w:p>
    <w:p>
      <w:pPr>
        <w:pStyle w:val="Heading5"/>
        <w:spacing w:before="184"/>
      </w:pPr>
      <w:r>
        <w:rPr/>
        <w:t>Required Courses (Credits)</w:t>
      </w:r>
    </w:p>
    <w:p>
      <w:pPr>
        <w:pStyle w:val="BodyText"/>
        <w:spacing w:line="249" w:lineRule="auto"/>
        <w:ind w:right="6221"/>
      </w:pPr>
      <w:r>
        <w:rPr/>
        <w:t>Please see our PhD Curriculum Page </w:t>
      </w:r>
      <w:hyperlink r:id="rId56">
        <w:r>
          <w:rPr>
            <w:color w:val="0000FF"/>
            <w:u w:val="single" w:color="0000FF"/>
          </w:rPr>
          <w:t>https://lifesciences.umaryland.edu/rehabscience/Program-</w:t>
        </w:r>
      </w:hyperlink>
      <w:r>
        <w:rPr>
          <w:color w:val="0000FF"/>
        </w:rPr>
        <w:t> </w:t>
      </w:r>
      <w:hyperlink r:id="rId56">
        <w:r>
          <w:rPr>
            <w:color w:val="0000FF"/>
            <w:u w:val="single" w:color="0000FF"/>
          </w:rPr>
          <w:t>of-Study/Curriculum/</w:t>
        </w:r>
      </w:hyperlink>
    </w:p>
    <w:p>
      <w:pPr>
        <w:spacing w:after="0" w:line="249" w:lineRule="auto"/>
        <w:sectPr>
          <w:pgSz w:w="12240" w:h="15840"/>
          <w:pgMar w:header="746" w:footer="0" w:top="1320" w:bottom="280" w:left="880" w:right="300"/>
        </w:sectPr>
      </w:pPr>
    </w:p>
    <w:p>
      <w:pPr>
        <w:pStyle w:val="Heading3"/>
      </w:pPr>
      <w:bookmarkStart w:name="Health Science" w:id="47"/>
      <w:bookmarkEnd w:id="47"/>
      <w:r>
        <w:rPr/>
      </w:r>
      <w:bookmarkStart w:name="_bookmark23" w:id="48"/>
      <w:bookmarkEnd w:id="48"/>
      <w:r>
        <w:rPr/>
      </w:r>
      <w:r>
        <w:rPr/>
        <w:t>Health Science</w:t>
      </w:r>
    </w:p>
    <w:p>
      <w:pPr>
        <w:pStyle w:val="BodyText"/>
        <w:spacing w:before="190"/>
      </w:pPr>
      <w:hyperlink r:id="rId57">
        <w:r>
          <w:rPr>
            <w:color w:val="0000FF"/>
            <w:u w:val="single" w:color="0000FF"/>
          </w:rPr>
          <w:t>http://www.graduate.umaryland.edu/healthscience/</w:t>
        </w:r>
      </w:hyperlink>
    </w:p>
    <w:p>
      <w:pPr>
        <w:pStyle w:val="Heading6"/>
        <w:spacing w:before="192"/>
      </w:pPr>
      <w:r>
        <w:rPr/>
        <w:t>Degree Offered</w:t>
      </w:r>
    </w:p>
    <w:p>
      <w:pPr>
        <w:pStyle w:val="BodyText"/>
        <w:spacing w:before="188"/>
      </w:pPr>
      <w:r>
        <w:rPr/>
        <w:t>MS</w:t>
      </w:r>
    </w:p>
    <w:p>
      <w:pPr>
        <w:pStyle w:val="Heading6"/>
        <w:spacing w:before="192"/>
      </w:pPr>
      <w:r>
        <w:rPr/>
        <w:t>Program Description</w:t>
      </w:r>
    </w:p>
    <w:p>
      <w:pPr>
        <w:pStyle w:val="BodyText"/>
        <w:spacing w:line="249" w:lineRule="auto" w:before="188"/>
        <w:ind w:left="199" w:right="38"/>
      </w:pPr>
      <w:r>
        <w:rPr/>
        <w:t>The Master </w:t>
      </w:r>
      <w:r>
        <w:rPr>
          <w:spacing w:val="-3"/>
        </w:rPr>
        <w:t>of </w:t>
      </w:r>
      <w:r>
        <w:rPr/>
        <w:t>Science in </w:t>
      </w:r>
      <w:r>
        <w:rPr>
          <w:spacing w:val="-2"/>
        </w:rPr>
        <w:t>Health </w:t>
      </w:r>
      <w:r>
        <w:rPr/>
        <w:t>Science is a 30-credit online program designed to provide individuals </w:t>
      </w:r>
      <w:r>
        <w:rPr>
          <w:spacing w:val="-3"/>
        </w:rPr>
        <w:t>with </w:t>
      </w:r>
      <w:r>
        <w:rPr/>
        <w:t>the education and training needed to engage with and respond to civic, social, environmental, and economic challenges at the local, national, and </w:t>
      </w:r>
      <w:r>
        <w:rPr>
          <w:spacing w:val="-3"/>
        </w:rPr>
        <w:t>global </w:t>
      </w:r>
      <w:r>
        <w:rPr/>
        <w:t>levels. The program prepares students to search, interpret, and evaluate medical literature, including interpretation </w:t>
      </w:r>
      <w:r>
        <w:rPr>
          <w:spacing w:val="-3"/>
        </w:rPr>
        <w:t>of </w:t>
      </w:r>
      <w:r>
        <w:rPr/>
        <w:t>biostatistical methods, by accessing common medical databases and using sampling methods. </w:t>
      </w:r>
      <w:r>
        <w:rPr>
          <w:spacing w:val="-3"/>
        </w:rPr>
        <w:t>Upon </w:t>
      </w:r>
      <w:r>
        <w:rPr/>
        <w:t>completion </w:t>
      </w:r>
      <w:r>
        <w:rPr>
          <w:spacing w:val="-3"/>
        </w:rPr>
        <w:t>of </w:t>
      </w:r>
      <w:r>
        <w:rPr/>
        <w:t>the program, students should </w:t>
      </w:r>
      <w:r>
        <w:rPr>
          <w:spacing w:val="-3"/>
        </w:rPr>
        <w:t>be </w:t>
      </w:r>
      <w:r>
        <w:rPr/>
        <w:t>able to deliver instruction in health care delivery systems and health policy as </w:t>
      </w:r>
      <w:r>
        <w:rPr>
          <w:spacing w:val="-3"/>
        </w:rPr>
        <w:t>well </w:t>
      </w:r>
      <w:r>
        <w:rPr/>
        <w:t>as provide instruction </w:t>
      </w:r>
      <w:r>
        <w:rPr>
          <w:spacing w:val="-5"/>
        </w:rPr>
        <w:t>on </w:t>
      </w:r>
      <w:r>
        <w:rPr/>
        <w:t>the principles and practice </w:t>
      </w:r>
      <w:r>
        <w:rPr>
          <w:spacing w:val="-3"/>
        </w:rPr>
        <w:t>of </w:t>
      </w:r>
      <w:r>
        <w:rPr/>
        <w:t>medical ethics. Students are provided an overview of health care </w:t>
      </w:r>
      <w:r>
        <w:rPr>
          <w:spacing w:val="-4"/>
        </w:rPr>
        <w:t>system </w:t>
      </w:r>
      <w:r>
        <w:rPr/>
        <w:t>delivery, patient safety, and quality and risk management. The program thoroughly reviews public health as it relates to the prevention </w:t>
      </w:r>
      <w:r>
        <w:rPr>
          <w:spacing w:val="-3"/>
        </w:rPr>
        <w:t>of </w:t>
      </w:r>
      <w:r>
        <w:rPr/>
        <w:t>disease, maintenance </w:t>
      </w:r>
      <w:r>
        <w:rPr>
          <w:spacing w:val="-3"/>
        </w:rPr>
        <w:t>of </w:t>
      </w:r>
      <w:r>
        <w:rPr/>
        <w:t>public health, and participation in disease surveillance, reporting, and intervention.</w:t>
      </w:r>
    </w:p>
    <w:p>
      <w:pPr>
        <w:pStyle w:val="Heading6"/>
        <w:spacing w:before="195"/>
        <w:ind w:left="199"/>
      </w:pPr>
      <w:r>
        <w:rPr/>
        <w:t>Program Tracks</w:t>
      </w:r>
    </w:p>
    <w:p>
      <w:pPr>
        <w:pStyle w:val="Heading4"/>
      </w:pPr>
      <w:r>
        <w:rPr/>
        <w:t>Physician Assistant (PA)</w:t>
      </w:r>
    </w:p>
    <w:p>
      <w:pPr>
        <w:pStyle w:val="BodyText"/>
        <w:spacing w:line="249" w:lineRule="auto" w:before="188"/>
        <w:ind w:left="199" w:right="77"/>
      </w:pPr>
      <w:r>
        <w:rPr/>
        <w:t>This track is a collaborative arrangement </w:t>
      </w:r>
      <w:r>
        <w:rPr>
          <w:spacing w:val="-3"/>
        </w:rPr>
        <w:t>between </w:t>
      </w:r>
      <w:r>
        <w:rPr/>
        <w:t>Anne Arundel Community College (AACC) and the University of Maryland, Baltimore </w:t>
      </w:r>
      <w:r>
        <w:rPr>
          <w:spacing w:val="-3"/>
        </w:rPr>
        <w:t>(UMB) </w:t>
      </w:r>
      <w:r>
        <w:rPr/>
        <w:t>Graduate School. </w:t>
      </w:r>
      <w:r>
        <w:rPr>
          <w:spacing w:val="-3"/>
        </w:rPr>
        <w:t>It </w:t>
      </w:r>
      <w:r>
        <w:rPr/>
        <w:t>prepares students to become competent, ethical, and compassionate health care providers who are ready to fulfill the roles and duties </w:t>
      </w:r>
      <w:r>
        <w:rPr>
          <w:spacing w:val="-3"/>
        </w:rPr>
        <w:t>of </w:t>
      </w:r>
      <w:r>
        <w:rPr/>
        <w:t>a primary care physician assistant. The program seeks those who recognize and promote the value </w:t>
      </w:r>
      <w:r>
        <w:rPr>
          <w:spacing w:val="-3"/>
        </w:rPr>
        <w:t>of </w:t>
      </w:r>
      <w:r>
        <w:rPr/>
        <w:t>diversity and are committed to lifelong learning. Students who successfully complete all coursework from </w:t>
      </w:r>
      <w:r>
        <w:rPr>
          <w:spacing w:val="-3"/>
        </w:rPr>
        <w:t>both </w:t>
      </w:r>
      <w:r>
        <w:rPr/>
        <w:t>institutions will receive a Master </w:t>
      </w:r>
      <w:r>
        <w:rPr>
          <w:spacing w:val="-3"/>
        </w:rPr>
        <w:t>of </w:t>
      </w:r>
      <w:r>
        <w:rPr/>
        <w:t>Science in </w:t>
      </w:r>
      <w:r>
        <w:rPr>
          <w:spacing w:val="-2"/>
        </w:rPr>
        <w:t>Health </w:t>
      </w:r>
      <w:r>
        <w:rPr/>
        <w:t>Science </w:t>
      </w:r>
      <w:r>
        <w:rPr>
          <w:spacing w:val="-3"/>
        </w:rPr>
        <w:t>(MSHS) </w:t>
      </w:r>
      <w:r>
        <w:rPr/>
        <w:t>from </w:t>
      </w:r>
      <w:r>
        <w:rPr>
          <w:spacing w:val="-3"/>
        </w:rPr>
        <w:t>UMB </w:t>
      </w:r>
      <w:r>
        <w:rPr/>
        <w:t>and a Certificate </w:t>
      </w:r>
      <w:r>
        <w:rPr>
          <w:spacing w:val="-3"/>
        </w:rPr>
        <w:t>of </w:t>
      </w:r>
      <w:r>
        <w:rPr/>
        <w:t>Physician Assistant Studies from AACC. Graduates will </w:t>
      </w:r>
      <w:r>
        <w:rPr>
          <w:spacing w:val="-3"/>
        </w:rPr>
        <w:t>be </w:t>
      </w:r>
      <w:r>
        <w:rPr/>
        <w:t>eligible to sit </w:t>
      </w:r>
      <w:r>
        <w:rPr>
          <w:spacing w:val="-4"/>
        </w:rPr>
        <w:t>for </w:t>
      </w:r>
      <w:r>
        <w:rPr/>
        <w:t>the national certification exam </w:t>
      </w:r>
      <w:r>
        <w:rPr>
          <w:spacing w:val="-4"/>
        </w:rPr>
        <w:t>for </w:t>
      </w:r>
      <w:r>
        <w:rPr/>
        <w:t>physician assistants. The </w:t>
      </w:r>
      <w:r>
        <w:rPr>
          <w:spacing w:val="-3"/>
        </w:rPr>
        <w:t>Master of </w:t>
      </w:r>
      <w:r>
        <w:rPr/>
        <w:t>Science degree program at </w:t>
      </w:r>
      <w:r>
        <w:rPr>
          <w:spacing w:val="-3"/>
        </w:rPr>
        <w:t>UMB </w:t>
      </w:r>
      <w:r>
        <w:rPr/>
        <w:t>is offered completely online. This full-time, 25-month program includes subjects in applied medical and behavioral sciences, patient assessment, clinical medicine, procedural skills, health policy, professional practice issues, and supervised clinical practice. The program is accredited by the Accreditation Review Commission </w:t>
      </w:r>
      <w:r>
        <w:rPr>
          <w:spacing w:val="-5"/>
        </w:rPr>
        <w:t>on </w:t>
      </w:r>
      <w:r>
        <w:rPr/>
        <w:t>Education </w:t>
      </w:r>
      <w:r>
        <w:rPr>
          <w:spacing w:val="-4"/>
        </w:rPr>
        <w:t>for </w:t>
      </w:r>
      <w:r>
        <w:rPr/>
        <w:t>the</w:t>
      </w:r>
      <w:r>
        <w:rPr>
          <w:spacing w:val="13"/>
        </w:rPr>
        <w:t> </w:t>
      </w:r>
      <w:r>
        <w:rPr/>
        <w:t>Physician</w:t>
      </w:r>
    </w:p>
    <w:p>
      <w:pPr>
        <w:pStyle w:val="BodyText"/>
        <w:spacing w:before="98"/>
        <w:ind w:left="199"/>
      </w:pPr>
      <w:r>
        <w:rPr/>
        <w:br w:type="column"/>
      </w:r>
      <w:r>
        <w:rPr/>
        <w:t>Assistant (ARC-PA).</w:t>
      </w:r>
    </w:p>
    <w:p>
      <w:pPr>
        <w:spacing w:line="249" w:lineRule="auto" w:before="187"/>
        <w:ind w:left="200" w:right="760" w:firstLine="0"/>
        <w:jc w:val="left"/>
        <w:rPr>
          <w:i/>
          <w:sz w:val="20"/>
        </w:rPr>
      </w:pPr>
      <w:r>
        <w:rPr>
          <w:i/>
          <w:sz w:val="20"/>
        </w:rPr>
        <w:t>Non-PA track students specialize in one of seven </w:t>
      </w:r>
      <w:r>
        <w:rPr>
          <w:i/>
          <w:sz w:val="20"/>
        </w:rPr>
        <w:t>concentrations, each of which culminates in a stackable certificate that can be applied to the master’s program in Health Science.*</w:t>
      </w:r>
    </w:p>
    <w:p>
      <w:pPr>
        <w:pStyle w:val="Heading4"/>
        <w:spacing w:before="169"/>
      </w:pPr>
      <w:r>
        <w:rPr/>
        <w:t>Aging and Applied Thanatology</w:t>
      </w:r>
    </w:p>
    <w:p>
      <w:pPr>
        <w:pStyle w:val="BodyText"/>
        <w:spacing w:line="249" w:lineRule="auto" w:before="184"/>
        <w:ind w:right="593"/>
      </w:pPr>
      <w:r>
        <w:rPr/>
        <w:t>This track is intended to meet the needs of individuals who are involved in any or all aspects of the dying, death, and grieving processes. It is, therefore, an interdisciplinary program intended to be of interest to a wide range of professionals with baccalaureate or advanced degrees, including physicians, nurses, psychologists, social workers, hospice professionals, bereavement counselors, clergy and chaplains, death educators, teachers, police, firefighters, paramedics, funeral directors, and others who provide support and assistance for those affected by death, as well as those who want to expand their own knowledge and skills on dying, death, and grieving.</w:t>
      </w:r>
    </w:p>
    <w:p>
      <w:pPr>
        <w:pStyle w:val="Heading4"/>
        <w:spacing w:before="173"/>
      </w:pPr>
      <w:r>
        <w:rPr/>
        <w:t>Global Health Systems and Innovation</w:t>
      </w:r>
    </w:p>
    <w:p>
      <w:pPr>
        <w:pStyle w:val="BodyText"/>
        <w:spacing w:line="249" w:lineRule="auto" w:before="184"/>
        <w:ind w:right="651"/>
      </w:pPr>
      <w:r>
        <w:rPr/>
        <w:t>The focus of this track is to introduce basic global health systems and services to health professionals interested in short- or medium-term consultation/projects overseas and subsequent opportunities. Most students are already trained/ licensed experienced practitioners. This online program and track is offered in partnership with the University of Maryland University College’s (UMUC) Online Postbaccalaureate Certificate in Global Health Management. UMB’s Global Health Systems and Services certificate and UMUC’s Global Health Management certificate share two common core courses.</w:t>
      </w:r>
    </w:p>
    <w:p>
      <w:pPr>
        <w:pStyle w:val="BodyText"/>
        <w:spacing w:line="249" w:lineRule="auto" w:before="190"/>
        <w:ind w:right="651"/>
      </w:pPr>
      <w:r>
        <w:rPr/>
        <w:t>This UMB-UMUC partnership takes advantage of UMB’s extensive graduate health professional, clinical, practice, and global expertise and UMUC’s extensive online and health management expertise. It offers UMB and UMUC graduates and students interested in global health management and global health systems and services options unavailable through their home institutions. This program’s goal is to apply skills to improve delivery of global health systems, policies, and services.</w:t>
      </w:r>
    </w:p>
    <w:p>
      <w:pPr>
        <w:pStyle w:val="Heading4"/>
        <w:spacing w:before="167"/>
      </w:pPr>
      <w:r>
        <w:rPr/>
        <w:t>Integrative Health and Wellness</w:t>
      </w:r>
    </w:p>
    <w:p>
      <w:pPr>
        <w:pStyle w:val="BodyText"/>
        <w:spacing w:line="249" w:lineRule="auto" w:before="188"/>
        <w:ind w:right="678"/>
      </w:pPr>
      <w:r>
        <w:rPr/>
        <w:t>Students in this track will study the differences between the philosophy, theory, and application of allopathic medicine and integrative medicine. Students will critically evaluate the benefits and drawbacks of both approaches as well as the strengths and limitations of the empirical evidence for the efficacy and safety of integrative health therapies. By participating in this program, students will</w:t>
      </w:r>
    </w:p>
    <w:p>
      <w:pPr>
        <w:spacing w:after="0" w:line="249" w:lineRule="auto"/>
        <w:sectPr>
          <w:pgSz w:w="12240" w:h="15840"/>
          <w:pgMar w:header="746" w:footer="0" w:top="1320" w:bottom="280" w:left="880" w:right="300"/>
          <w:cols w:num="2" w:equalWidth="0">
            <w:col w:w="5000" w:space="486"/>
            <w:col w:w="5574"/>
          </w:cols>
        </w:sectPr>
      </w:pPr>
    </w:p>
    <w:p>
      <w:pPr>
        <w:pStyle w:val="BodyText"/>
        <w:spacing w:line="249" w:lineRule="auto" w:before="100"/>
        <w:ind w:right="38"/>
      </w:pPr>
      <w:r>
        <w:rPr/>
        <w:t>have the chance to practice the key integrative skills they are learning, including popular forms </w:t>
      </w:r>
      <w:r>
        <w:rPr>
          <w:spacing w:val="-3"/>
        </w:rPr>
        <w:t>of </w:t>
      </w:r>
      <w:r>
        <w:rPr/>
        <w:t>mind-body interventions, health coaching strategies, and integrative assessments and treatment plans. </w:t>
      </w:r>
      <w:r>
        <w:rPr>
          <w:spacing w:val="-3"/>
        </w:rPr>
        <w:t>In </w:t>
      </w:r>
      <w:r>
        <w:rPr/>
        <w:t>addition to professional growth, students will have the opportunity to benefit personally from self-reflection exercises and</w:t>
      </w:r>
      <w:r>
        <w:rPr>
          <w:spacing w:val="-22"/>
        </w:rPr>
        <w:t> </w:t>
      </w:r>
      <w:r>
        <w:rPr/>
        <w:t>guided experiential</w:t>
      </w:r>
      <w:r>
        <w:rPr>
          <w:spacing w:val="-2"/>
        </w:rPr>
        <w:t> </w:t>
      </w:r>
      <w:r>
        <w:rPr/>
        <w:t>learning.</w:t>
      </w:r>
    </w:p>
    <w:p>
      <w:pPr>
        <w:pStyle w:val="Heading4"/>
        <w:spacing w:before="164"/>
      </w:pPr>
      <w:r>
        <w:rPr/>
        <w:t>Research Administration</w:t>
      </w:r>
    </w:p>
    <w:p>
      <w:pPr>
        <w:pStyle w:val="BodyText"/>
        <w:spacing w:line="249" w:lineRule="auto" w:before="189"/>
        <w:ind w:right="30"/>
      </w:pPr>
      <w:r>
        <w:rPr/>
        <w:t>This track is designed to ensure that students have a greater understanding of the many behind-the-scenes aspects of research so they can successfully manage grants, understand legalities in research administration, and become familiar with the transfer of intellectual properties. Students in this track will gain advanced knowledge and practical training to ensure that learning is relevant and applicable to each student’s professional goals.</w:t>
      </w:r>
    </w:p>
    <w:p>
      <w:pPr>
        <w:pStyle w:val="Heading4"/>
        <w:spacing w:before="165"/>
      </w:pPr>
      <w:r>
        <w:rPr/>
        <w:t>Research Ethics</w:t>
      </w:r>
    </w:p>
    <w:p>
      <w:pPr>
        <w:pStyle w:val="BodyText"/>
        <w:spacing w:line="249" w:lineRule="auto" w:before="188"/>
        <w:ind w:right="68"/>
      </w:pPr>
      <w:r>
        <w:rPr/>
        <w:t>This track was created to provide individuals </w:t>
      </w:r>
      <w:r>
        <w:rPr>
          <w:spacing w:val="-3"/>
        </w:rPr>
        <w:t>with </w:t>
      </w:r>
      <w:r>
        <w:rPr/>
        <w:t>an understanding </w:t>
      </w:r>
      <w:r>
        <w:rPr>
          <w:spacing w:val="-3"/>
        </w:rPr>
        <w:t>of </w:t>
      </w:r>
      <w:r>
        <w:rPr/>
        <w:t>the ethical and regulatory aspects of human subjects research and give them the skills needed to analyze ethical issues that arise in the conduct </w:t>
      </w:r>
      <w:r>
        <w:rPr>
          <w:spacing w:val="-3"/>
        </w:rPr>
        <w:t>of </w:t>
      </w:r>
      <w:r>
        <w:rPr/>
        <w:t>research in domestic and international arenas. The certificate program interrelates </w:t>
      </w:r>
      <w:r>
        <w:rPr>
          <w:spacing w:val="-3"/>
        </w:rPr>
        <w:t>with </w:t>
      </w:r>
      <w:r>
        <w:rPr/>
        <w:t>the Fogarty International Center/National Institutes </w:t>
      </w:r>
      <w:r>
        <w:rPr>
          <w:spacing w:val="-3"/>
        </w:rPr>
        <w:t>of </w:t>
      </w:r>
      <w:r>
        <w:rPr/>
        <w:t>Health training program that is </w:t>
      </w:r>
      <w:r>
        <w:rPr>
          <w:spacing w:val="-3"/>
        </w:rPr>
        <w:t>focused </w:t>
      </w:r>
      <w:r>
        <w:rPr/>
        <w:t>in the Middle East (MERETI). The inclusion </w:t>
      </w:r>
      <w:r>
        <w:rPr>
          <w:spacing w:val="-3"/>
        </w:rPr>
        <w:t>of </w:t>
      </w:r>
      <w:r>
        <w:rPr/>
        <w:t>these targeted audiences will ensure an interprofessional and global experience </w:t>
      </w:r>
      <w:r>
        <w:rPr>
          <w:spacing w:val="-4"/>
        </w:rPr>
        <w:t>for </w:t>
      </w:r>
      <w:r>
        <w:rPr/>
        <w:t>all participants. The program is particularly designed </w:t>
      </w:r>
      <w:r>
        <w:rPr>
          <w:spacing w:val="-4"/>
        </w:rPr>
        <w:t>for </w:t>
      </w:r>
      <w:r>
        <w:rPr/>
        <w:t>investigators, clinical research coordinators, nurses, and individuals from institutional review boards, contract research organizations, pharmaceutical industry representatives, and others involved in research. The exclusive use </w:t>
      </w:r>
      <w:r>
        <w:rPr>
          <w:spacing w:val="-3"/>
        </w:rPr>
        <w:t>of </w:t>
      </w:r>
      <w:r>
        <w:rPr/>
        <w:t>distance learning technologies meets the needs </w:t>
      </w:r>
      <w:r>
        <w:rPr>
          <w:spacing w:val="-3"/>
        </w:rPr>
        <w:t>of </w:t>
      </w:r>
      <w:r>
        <w:rPr/>
        <w:t>professionals worldwide who may have few opportunities to enroll in an on-site</w:t>
      </w:r>
      <w:r>
        <w:rPr>
          <w:spacing w:val="-2"/>
        </w:rPr>
        <w:t> </w:t>
      </w:r>
      <w:r>
        <w:rPr/>
        <w:t>program.</w:t>
      </w:r>
    </w:p>
    <w:p>
      <w:pPr>
        <w:pStyle w:val="Heading4"/>
        <w:spacing w:before="174"/>
      </w:pPr>
      <w:r>
        <w:rPr/>
        <w:t>Research Implementation and Dissemination</w:t>
      </w:r>
    </w:p>
    <w:p>
      <w:pPr>
        <w:pStyle w:val="BodyText"/>
        <w:spacing w:line="249" w:lineRule="auto" w:before="188"/>
        <w:ind w:right="90"/>
      </w:pPr>
      <w:r>
        <w:rPr/>
        <w:t>This track’s goal is to translate the results of clinical and population research into everyday clinical practice and public health. Additionally, research implementation and dissemination science seeks to ensure that the knowledge and materials produced by health research lead to improved individual and population health by reaching the people for whom they are intended; being adapted to local circumstances; and being implemented effectively, safely, equitably, and in a timely and patient-centered manner.</w:t>
      </w:r>
    </w:p>
    <w:p>
      <w:pPr>
        <w:pStyle w:val="BodyText"/>
        <w:spacing w:line="249" w:lineRule="auto" w:before="184"/>
        <w:ind w:right="184"/>
      </w:pPr>
      <w:r>
        <w:rPr/>
        <w:t>Students in this program will study methods that promote systematic uptake and will translate the results of clinical</w:t>
      </w:r>
    </w:p>
    <w:p>
      <w:pPr>
        <w:pStyle w:val="BodyText"/>
        <w:spacing w:line="249" w:lineRule="auto" w:before="99"/>
        <w:ind w:right="647"/>
      </w:pPr>
      <w:r>
        <w:rPr/>
        <w:br w:type="column"/>
      </w:r>
      <w:r>
        <w:rPr/>
        <w:t>and population research into everyday clinical practice and public health. The program also is intended to help students ensure that the knowledge and materials produced by health research will improve individual and population health.</w:t>
      </w:r>
    </w:p>
    <w:p>
      <w:pPr>
        <w:pStyle w:val="Heading4"/>
        <w:spacing w:before="164"/>
      </w:pPr>
      <w:r>
        <w:rPr/>
        <w:t>Science Communication</w:t>
      </w:r>
    </w:p>
    <w:p>
      <w:pPr>
        <w:pStyle w:val="BodyText"/>
        <w:spacing w:line="249" w:lineRule="auto" w:before="188"/>
        <w:ind w:right="705"/>
      </w:pPr>
      <w:r>
        <w:rPr/>
        <w:t>This track is designed to equip students to communicate effectively with a variety of audiences using different forms and styles of writing. By providing students with advanced knowledge and practical training, this program strives to ensure that learning is relevant and applicable to each student’s professional goals. Students learn how to strategically plan, craft, edit, and execute their writing to communicate in an engaging, scientifically informed manner about health-related topics.</w:t>
      </w:r>
    </w:p>
    <w:p>
      <w:pPr>
        <w:pStyle w:val="Heading6"/>
        <w:spacing w:before="184"/>
      </w:pPr>
      <w:r>
        <w:rPr/>
        <w:t>Program</w:t>
      </w:r>
      <w:r>
        <w:rPr>
          <w:spacing w:val="-11"/>
        </w:rPr>
        <w:t> </w:t>
      </w:r>
      <w:r>
        <w:rPr/>
        <w:t>Admissions</w:t>
      </w:r>
    </w:p>
    <w:p>
      <w:pPr>
        <w:pStyle w:val="Heading4"/>
        <w:spacing w:before="175"/>
      </w:pPr>
      <w:r>
        <w:rPr/>
        <w:t>Physician</w:t>
      </w:r>
      <w:r>
        <w:rPr>
          <w:spacing w:val="-10"/>
        </w:rPr>
        <w:t> </w:t>
      </w:r>
      <w:r>
        <w:rPr/>
        <w:t>Assistant</w:t>
      </w:r>
    </w:p>
    <w:p>
      <w:pPr>
        <w:pStyle w:val="BodyText"/>
        <w:spacing w:line="249" w:lineRule="auto" w:before="183"/>
        <w:ind w:right="649"/>
      </w:pPr>
      <w:r>
        <w:rPr/>
        <w:t>All PA collaborative candidates must apply online through the Central Application Service for Physician Assistants (CASPA); the portal is open in mid-April each year.</w:t>
      </w:r>
    </w:p>
    <w:p>
      <w:pPr>
        <w:pStyle w:val="BodyText"/>
        <w:spacing w:line="249" w:lineRule="auto" w:before="2"/>
        <w:ind w:right="573"/>
      </w:pPr>
      <w:r>
        <w:rPr/>
        <w:t>CASPA is a web- based application service that allows applicants to submit an application to the Physician Assistant Program, which is received by AACC’s Health Professions Admissions Office. Complete application instructions and required credentials are published by CASPA and AACC at </w:t>
      </w:r>
      <w:hyperlink r:id="rId58">
        <w:r>
          <w:rPr/>
          <w:t>http://www.aacc.edu/ </w:t>
        </w:r>
      </w:hyperlink>
      <w:r>
        <w:rPr/>
        <w:t>about/schools- of-study/health-sciences/physician-assistant/.</w:t>
      </w:r>
    </w:p>
    <w:p>
      <w:pPr>
        <w:pStyle w:val="BodyText"/>
        <w:spacing w:line="249" w:lineRule="auto" w:before="188"/>
        <w:ind w:right="804"/>
      </w:pPr>
      <w:r>
        <w:rPr/>
        <w:t>In addition to meeting CASPA application requirements, candidates for admission must meet the minimum qualifications and standards established by the Graduate School.</w:t>
      </w:r>
    </w:p>
    <w:p>
      <w:pPr>
        <w:pStyle w:val="Heading4"/>
        <w:spacing w:before="163"/>
      </w:pPr>
      <w:r>
        <w:rPr/>
        <w:t>Non-PA Tracks</w:t>
      </w:r>
    </w:p>
    <w:p>
      <w:pPr>
        <w:pStyle w:val="BodyText"/>
        <w:spacing w:line="249" w:lineRule="auto" w:before="188"/>
        <w:ind w:right="644"/>
      </w:pPr>
      <w:r>
        <w:rPr/>
        <w:t>Applicants who are interested in the Master of Science in Health Science (MSHS) who wish to complete the UMB coursework can apply through the University of Maryland, Baltimore Graduate School. A letter of interest including personal goals and a CV should be sent to the MSHS administrative program director, with three letters of recommendation.</w:t>
      </w:r>
    </w:p>
    <w:p>
      <w:pPr>
        <w:pStyle w:val="BodyText"/>
        <w:spacing w:line="249" w:lineRule="auto" w:before="182"/>
        <w:ind w:right="573"/>
      </w:pPr>
      <w:r>
        <w:rPr/>
        <w:t>All candidates applying for admission must meet the minimum qualifications and standards established by the Graduate School, including the successful completion of a bachelor’s degree program listed previously and a minimum, cumulative grade-point average (GPA) of 3.0 on a 4.0 scale. Graduate Record Examinations scores are required for admission, and completion of statistics is a</w:t>
      </w:r>
    </w:p>
    <w:p>
      <w:pPr>
        <w:spacing w:after="0" w:line="249" w:lineRule="auto"/>
        <w:sectPr>
          <w:pgSz w:w="12240" w:h="15840"/>
          <w:pgMar w:header="746" w:footer="0" w:top="1320" w:bottom="280" w:left="880" w:right="300"/>
          <w:cols w:num="2" w:equalWidth="0">
            <w:col w:w="5004" w:space="482"/>
            <w:col w:w="5574"/>
          </w:cols>
        </w:sectPr>
      </w:pPr>
    </w:p>
    <w:p>
      <w:pPr>
        <w:pStyle w:val="BodyText"/>
        <w:spacing w:line="249" w:lineRule="auto" w:before="100"/>
        <w:ind w:right="6145"/>
      </w:pPr>
      <w:r>
        <w:rPr/>
        <w:t>prerequisite. International students must provide current, official results </w:t>
      </w:r>
      <w:r>
        <w:rPr>
          <w:spacing w:val="-3"/>
        </w:rPr>
        <w:t>of </w:t>
      </w:r>
      <w:r>
        <w:rPr/>
        <w:t>the Test </w:t>
      </w:r>
      <w:r>
        <w:rPr>
          <w:spacing w:val="-3"/>
        </w:rPr>
        <w:t>of </w:t>
      </w:r>
      <w:r>
        <w:rPr/>
        <w:t>English as a Foreign Language (minimum score </w:t>
      </w:r>
      <w:r>
        <w:rPr>
          <w:spacing w:val="-3"/>
        </w:rPr>
        <w:t>of </w:t>
      </w:r>
      <w:r>
        <w:rPr/>
        <w:t>80 </w:t>
      </w:r>
      <w:r>
        <w:rPr>
          <w:spacing w:val="-4"/>
        </w:rPr>
        <w:t>for </w:t>
      </w:r>
      <w:r>
        <w:rPr/>
        <w:t>the internet- based test) </w:t>
      </w:r>
      <w:r>
        <w:rPr>
          <w:spacing w:val="-3"/>
        </w:rPr>
        <w:t>or </w:t>
      </w:r>
      <w:r>
        <w:rPr/>
        <w:t>the International English Language Testing </w:t>
      </w:r>
      <w:r>
        <w:rPr>
          <w:spacing w:val="-3"/>
        </w:rPr>
        <w:t>System </w:t>
      </w:r>
      <w:r>
        <w:rPr/>
        <w:t>exam (minimum Band 7).</w:t>
      </w:r>
    </w:p>
    <w:p>
      <w:pPr>
        <w:pStyle w:val="Heading4"/>
        <w:spacing w:before="163"/>
      </w:pPr>
      <w:r>
        <w:rPr/>
        <w:t>Degree</w:t>
      </w:r>
      <w:r>
        <w:rPr>
          <w:spacing w:val="-13"/>
        </w:rPr>
        <w:t> </w:t>
      </w:r>
      <w:r>
        <w:rPr/>
        <w:t>Requirements</w:t>
      </w:r>
    </w:p>
    <w:p>
      <w:pPr>
        <w:pStyle w:val="BodyText"/>
        <w:spacing w:line="249" w:lineRule="auto" w:before="188"/>
        <w:ind w:right="6168"/>
      </w:pPr>
      <w:r>
        <w:rPr/>
        <w:t>The Physician Assistant track of the MSHS degree program requires a minimum of 30 credits from UMB and 6 credits of approved AACC PA coursework, which is transferred into the master’s program.</w:t>
      </w:r>
    </w:p>
    <w:p>
      <w:pPr>
        <w:pStyle w:val="BodyText"/>
        <w:spacing w:line="249" w:lineRule="auto" w:before="180"/>
        <w:ind w:right="6174"/>
      </w:pPr>
      <w:r>
        <w:rPr/>
        <w:t>All admitted MSHS students must maintain a minimum GPA of 3.0 to remain in good standing in the program. A complete description of progression guidelines and degree requirements is provided in the Degree Requirements section of the catalog.</w:t>
      </w:r>
    </w:p>
    <w:p>
      <w:pPr>
        <w:pStyle w:val="BodyText"/>
        <w:spacing w:line="249" w:lineRule="auto" w:before="186"/>
        <w:ind w:right="6334"/>
      </w:pPr>
      <w:r>
        <w:rPr/>
        <w:t>*Descriptions </w:t>
      </w:r>
      <w:r>
        <w:rPr>
          <w:spacing w:val="-3"/>
        </w:rPr>
        <w:t>of </w:t>
      </w:r>
      <w:r>
        <w:rPr/>
        <w:t>the non-PA tracks also are described as stand-alone certificate programs in this section </w:t>
      </w:r>
      <w:r>
        <w:rPr>
          <w:spacing w:val="-3"/>
        </w:rPr>
        <w:t>of </w:t>
      </w:r>
      <w:r>
        <w:rPr/>
        <w:t>the catalog.</w:t>
      </w:r>
    </w:p>
    <w:p>
      <w:pPr>
        <w:pStyle w:val="BodyText"/>
        <w:spacing w:line="249" w:lineRule="auto" w:before="180"/>
        <w:ind w:right="6163"/>
      </w:pPr>
      <w:r>
        <w:rPr/>
        <w:t>Details are </w:t>
      </w:r>
      <w:r>
        <w:rPr>
          <w:spacing w:val="-3"/>
        </w:rPr>
        <w:t>given </w:t>
      </w:r>
      <w:r>
        <w:rPr/>
        <w:t>in the Course Descriptions part </w:t>
      </w:r>
      <w:r>
        <w:rPr>
          <w:spacing w:val="-3"/>
        </w:rPr>
        <w:t>of </w:t>
      </w:r>
      <w:r>
        <w:rPr/>
        <w:t>this catalog.</w:t>
      </w:r>
    </w:p>
    <w:p>
      <w:pPr>
        <w:spacing w:after="0" w:line="249" w:lineRule="auto"/>
        <w:sectPr>
          <w:pgSz w:w="12240" w:h="15840"/>
          <w:pgMar w:header="746" w:footer="0" w:top="1320" w:bottom="280" w:left="880" w:right="300"/>
        </w:sectPr>
      </w:pPr>
    </w:p>
    <w:p>
      <w:pPr>
        <w:pStyle w:val="Heading3"/>
      </w:pPr>
      <w:bookmarkStart w:name="Health and Social Innovation" w:id="49"/>
      <w:bookmarkEnd w:id="49"/>
      <w:r>
        <w:rPr/>
      </w:r>
      <w:bookmarkStart w:name="_bookmark24" w:id="50"/>
      <w:bookmarkEnd w:id="50"/>
      <w:r>
        <w:rPr/>
      </w:r>
      <w:r>
        <w:rPr/>
        <w:t>Health and Social Innovation</w:t>
      </w:r>
    </w:p>
    <w:p>
      <w:pPr>
        <w:pStyle w:val="BodyText"/>
        <w:spacing w:before="190"/>
      </w:pPr>
      <w:hyperlink r:id="rId59">
        <w:r>
          <w:rPr>
            <w:color w:val="0000FF"/>
            <w:u w:val="single" w:color="0000FF"/>
          </w:rPr>
          <w:t>https://graduate.umaryland.edu/innovation/</w:t>
        </w:r>
      </w:hyperlink>
    </w:p>
    <w:p>
      <w:pPr>
        <w:pStyle w:val="Heading6"/>
        <w:spacing w:before="192"/>
      </w:pPr>
      <w:r>
        <w:rPr/>
        <w:t>Degree Offered</w:t>
      </w:r>
    </w:p>
    <w:p>
      <w:pPr>
        <w:pStyle w:val="BodyText"/>
        <w:spacing w:before="188"/>
      </w:pPr>
      <w:r>
        <w:rPr/>
        <w:t>MS</w:t>
      </w:r>
    </w:p>
    <w:p>
      <w:pPr>
        <w:pStyle w:val="Heading6"/>
        <w:spacing w:before="192"/>
      </w:pPr>
      <w:r>
        <w:rPr/>
        <w:t>Program Description</w:t>
      </w:r>
    </w:p>
    <w:p>
      <w:pPr>
        <w:pStyle w:val="BodyText"/>
        <w:spacing w:line="249" w:lineRule="auto" w:before="188"/>
        <w:ind w:left="199" w:right="38"/>
      </w:pPr>
      <w:r>
        <w:rPr/>
        <w:t>The Master </w:t>
      </w:r>
      <w:r>
        <w:rPr>
          <w:spacing w:val="-3"/>
        </w:rPr>
        <w:t>of </w:t>
      </w:r>
      <w:r>
        <w:rPr/>
        <w:t>Science in </w:t>
      </w:r>
      <w:r>
        <w:rPr>
          <w:spacing w:val="-3"/>
        </w:rPr>
        <w:t>Health </w:t>
      </w:r>
      <w:r>
        <w:rPr/>
        <w:t>and Social Innovation is 36 credit program </w:t>
      </w:r>
      <w:r>
        <w:rPr>
          <w:spacing w:val="-3"/>
        </w:rPr>
        <w:t>of </w:t>
      </w:r>
      <w:r>
        <w:rPr/>
        <w:t>study in </w:t>
      </w:r>
      <w:r>
        <w:rPr>
          <w:spacing w:val="-3"/>
        </w:rPr>
        <w:t>which </w:t>
      </w:r>
      <w:r>
        <w:rPr/>
        <w:t>students explore principles </w:t>
      </w:r>
      <w:r>
        <w:rPr>
          <w:spacing w:val="-3"/>
        </w:rPr>
        <w:t>of </w:t>
      </w:r>
      <w:r>
        <w:rPr/>
        <w:t>innovation, entrepreneurship, and design- thinking to </w:t>
      </w:r>
      <w:r>
        <w:rPr>
          <w:spacing w:val="-3"/>
        </w:rPr>
        <w:t>solve </w:t>
      </w:r>
      <w:r>
        <w:rPr/>
        <w:t>complex health and social challenges. Students </w:t>
      </w:r>
      <w:r>
        <w:rPr>
          <w:spacing w:val="-3"/>
        </w:rPr>
        <w:t>learn </w:t>
      </w:r>
      <w:r>
        <w:rPr/>
        <w:t>a wide range </w:t>
      </w:r>
      <w:r>
        <w:rPr>
          <w:spacing w:val="-3"/>
        </w:rPr>
        <w:t>of </w:t>
      </w:r>
      <w:r>
        <w:rPr/>
        <w:t>skills that will allow them to </w:t>
      </w:r>
      <w:r>
        <w:rPr>
          <w:spacing w:val="-3"/>
        </w:rPr>
        <w:t>be </w:t>
      </w:r>
      <w:r>
        <w:rPr/>
        <w:t>innovative leaders in their </w:t>
      </w:r>
      <w:r>
        <w:rPr>
          <w:spacing w:val="-3"/>
        </w:rPr>
        <w:t>given </w:t>
      </w:r>
      <w:r>
        <w:rPr/>
        <w:t>professions. There are three concentrations within the MS degree that are also stackable, 12-credit Post-Baccalaureate Certificates (PBCs). The concentrations are </w:t>
      </w:r>
      <w:r>
        <w:rPr>
          <w:spacing w:val="-2"/>
        </w:rPr>
        <w:t>Health </w:t>
      </w:r>
      <w:r>
        <w:rPr/>
        <w:t>Science, </w:t>
      </w:r>
      <w:r>
        <w:rPr>
          <w:spacing w:val="-4"/>
        </w:rPr>
        <w:t>User </w:t>
      </w:r>
      <w:r>
        <w:rPr/>
        <w:t>Experience, and Biomedical Entrepreneurship. Courses in this program are taught in face-to-face and in hybrid/online formats. The program is housed in the Graduate </w:t>
      </w:r>
      <w:r>
        <w:rPr>
          <w:spacing w:val="-3"/>
        </w:rPr>
        <w:t>Research </w:t>
      </w:r>
      <w:r>
        <w:rPr/>
        <w:t>Innovation District (“the Grid”), the University’s newest innovation </w:t>
      </w:r>
      <w:r>
        <w:rPr>
          <w:spacing w:val="-3"/>
        </w:rPr>
        <w:t>space; </w:t>
      </w:r>
      <w:r>
        <w:rPr/>
        <w:t>The Grid is a space designed to support entrepreneurial ventures through education, early stage funding, and</w:t>
      </w:r>
      <w:r>
        <w:rPr>
          <w:spacing w:val="-4"/>
        </w:rPr>
        <w:t> </w:t>
      </w:r>
      <w:r>
        <w:rPr/>
        <w:t>programming.</w:t>
      </w:r>
    </w:p>
    <w:p>
      <w:pPr>
        <w:pStyle w:val="Heading6"/>
        <w:spacing w:before="194"/>
        <w:ind w:left="199"/>
      </w:pPr>
      <w:r>
        <w:rPr/>
        <w:t>Objectives and Learning Outcomes</w:t>
      </w:r>
    </w:p>
    <w:p>
      <w:pPr>
        <w:pStyle w:val="BodyText"/>
        <w:spacing w:line="249" w:lineRule="auto" w:before="187"/>
        <w:ind w:left="199" w:right="107"/>
        <w:jc w:val="both"/>
      </w:pPr>
      <w:r>
        <w:rPr/>
        <w:t>Upon completion of the program, students are equipped to launch their own start-ups, examine and impact innovation within existing organizations, and understand how change can be realized by examining policy and regulations.</w:t>
      </w:r>
    </w:p>
    <w:p>
      <w:pPr>
        <w:pStyle w:val="BodyText"/>
        <w:spacing w:line="249" w:lineRule="auto" w:before="3"/>
        <w:ind w:left="199" w:right="52"/>
      </w:pPr>
      <w:r>
        <w:rPr/>
        <w:t>Graduates will also be prepared for employment in local, state and government planning and policymaking, community development and advocacy, nonprofit and for- profit leadership, community managers, city and urban planning, entrepreneurs and business owners, international business and peace-making, and health and social research.</w:t>
      </w:r>
    </w:p>
    <w:p>
      <w:pPr>
        <w:pStyle w:val="Heading6"/>
        <w:spacing w:before="187"/>
        <w:ind w:left="199"/>
      </w:pPr>
      <w:r>
        <w:rPr/>
        <w:t>Program Admission</w:t>
      </w:r>
    </w:p>
    <w:p>
      <w:pPr>
        <w:pStyle w:val="BodyText"/>
        <w:spacing w:line="249" w:lineRule="auto" w:before="188"/>
        <w:ind w:left="199" w:right="44"/>
      </w:pPr>
      <w:r>
        <w:rPr/>
        <w:t>The program is designed </w:t>
      </w:r>
      <w:r>
        <w:rPr>
          <w:spacing w:val="-4"/>
        </w:rPr>
        <w:t>for </w:t>
      </w:r>
      <w:r>
        <w:rPr/>
        <w:t>students </w:t>
      </w:r>
      <w:r>
        <w:rPr>
          <w:spacing w:val="-3"/>
        </w:rPr>
        <w:t>with </w:t>
      </w:r>
      <w:r>
        <w:rPr/>
        <w:t>related work experience in healthcare, tech transfer, technology,</w:t>
      </w:r>
      <w:r>
        <w:rPr>
          <w:spacing w:val="-26"/>
        </w:rPr>
        <w:t> </w:t>
      </w:r>
      <w:r>
        <w:rPr/>
        <w:t>science, basic and translational biomedical research, journalism, social work, community engagement, city planning, and those who have worked in government, private, and non- profit organizations. Candidates </w:t>
      </w:r>
      <w:r>
        <w:rPr>
          <w:spacing w:val="-4"/>
        </w:rPr>
        <w:t>for </w:t>
      </w:r>
      <w:r>
        <w:rPr/>
        <w:t>admission apply through the Graduate School. A personal statement </w:t>
      </w:r>
      <w:r>
        <w:rPr>
          <w:spacing w:val="-3"/>
        </w:rPr>
        <w:t>of </w:t>
      </w:r>
      <w:r>
        <w:rPr/>
        <w:t>interest, a CV, and three letters </w:t>
      </w:r>
      <w:r>
        <w:rPr>
          <w:spacing w:val="-3"/>
        </w:rPr>
        <w:t>of </w:t>
      </w:r>
      <w:r>
        <w:rPr/>
        <w:t>recommendation are also required. All candidates applying </w:t>
      </w:r>
      <w:r>
        <w:rPr>
          <w:spacing w:val="-4"/>
        </w:rPr>
        <w:t>for </w:t>
      </w:r>
      <w:r>
        <w:rPr/>
        <w:t>admission must meet the minimum qualifications and standards established </w:t>
      </w:r>
      <w:r>
        <w:rPr>
          <w:spacing w:val="-3"/>
        </w:rPr>
        <w:t>by </w:t>
      </w:r>
      <w:r>
        <w:rPr/>
        <w:t>the Graduate School, including the successful completion of a bachelor’s degree program and a minimum, cumulative grade-point average (GPA) </w:t>
      </w:r>
      <w:r>
        <w:rPr>
          <w:spacing w:val="-3"/>
        </w:rPr>
        <w:t>of </w:t>
      </w:r>
      <w:r>
        <w:rPr/>
        <w:t>3.0 </w:t>
      </w:r>
      <w:r>
        <w:rPr>
          <w:spacing w:val="-3"/>
        </w:rPr>
        <w:t>on </w:t>
      </w:r>
      <w:r>
        <w:rPr/>
        <w:t>a</w:t>
      </w:r>
      <w:r>
        <w:rPr>
          <w:spacing w:val="-3"/>
        </w:rPr>
        <w:t> </w:t>
      </w:r>
      <w:r>
        <w:rPr/>
        <w:t>4.0</w:t>
      </w:r>
    </w:p>
    <w:p>
      <w:pPr>
        <w:pStyle w:val="BodyText"/>
        <w:spacing w:line="249" w:lineRule="auto" w:before="96"/>
        <w:ind w:left="199" w:right="610"/>
      </w:pPr>
      <w:r>
        <w:rPr/>
        <w:br w:type="column"/>
      </w:r>
      <w:r>
        <w:rPr/>
        <w:t>scale. Graduate Record Examinations (GRE) scores are not required </w:t>
      </w:r>
      <w:r>
        <w:rPr>
          <w:spacing w:val="-4"/>
        </w:rPr>
        <w:t>for </w:t>
      </w:r>
      <w:r>
        <w:rPr/>
        <w:t>admission. International students must provide current, official results </w:t>
      </w:r>
      <w:r>
        <w:rPr>
          <w:spacing w:val="-3"/>
        </w:rPr>
        <w:t>of </w:t>
      </w:r>
      <w:r>
        <w:rPr/>
        <w:t>the Test </w:t>
      </w:r>
      <w:r>
        <w:rPr>
          <w:spacing w:val="-3"/>
        </w:rPr>
        <w:t>of </w:t>
      </w:r>
      <w:r>
        <w:rPr/>
        <w:t>English as a Foreign Language (minimum score </w:t>
      </w:r>
      <w:r>
        <w:rPr>
          <w:spacing w:val="-3"/>
        </w:rPr>
        <w:t>of </w:t>
      </w:r>
      <w:r>
        <w:rPr/>
        <w:t>80 </w:t>
      </w:r>
      <w:r>
        <w:rPr>
          <w:spacing w:val="-4"/>
        </w:rPr>
        <w:t>for </w:t>
      </w:r>
      <w:r>
        <w:rPr/>
        <w:t>the internet based test) </w:t>
      </w:r>
      <w:r>
        <w:rPr>
          <w:spacing w:val="-3"/>
        </w:rPr>
        <w:t>or </w:t>
      </w:r>
      <w:r>
        <w:rPr/>
        <w:t>the International English Language Testing System exam (minimum Band 7).</w:t>
      </w:r>
    </w:p>
    <w:p>
      <w:pPr>
        <w:pStyle w:val="Heading6"/>
        <w:spacing w:before="182"/>
      </w:pPr>
      <w:r>
        <w:rPr/>
        <w:t>Degree Requirements</w:t>
      </w:r>
    </w:p>
    <w:p>
      <w:pPr>
        <w:pStyle w:val="BodyText"/>
        <w:spacing w:line="249" w:lineRule="auto" w:before="192"/>
        <w:ind w:right="693"/>
      </w:pPr>
      <w:r>
        <w:rPr/>
        <w:t>The master’s degree requires students to take 36 credits of coursework for successful completion. Certificate candidates must complete a minimum of 12 credits.</w:t>
      </w:r>
    </w:p>
    <w:p>
      <w:pPr>
        <w:pStyle w:val="BodyText"/>
        <w:spacing w:line="249" w:lineRule="auto" w:before="2"/>
        <w:ind w:right="754"/>
      </w:pPr>
      <w:r>
        <w:rPr/>
        <w:t>Students must maintain a minimum, cumulative grade point average of 3.0 on a 4.0 scale to remain in good standing in the program. Complete guidelines and requirements for progression and completion are outlined in the Degree Requirements section of this catalog.</w:t>
      </w:r>
    </w:p>
    <w:p>
      <w:pPr>
        <w:pStyle w:val="Heading6"/>
        <w:spacing w:before="182"/>
      </w:pPr>
      <w:r>
        <w:rPr/>
        <w:t>Areas of Concentration - Stackable Certificates</w:t>
      </w:r>
    </w:p>
    <w:p>
      <w:pPr>
        <w:pStyle w:val="BodyText"/>
        <w:spacing w:line="249" w:lineRule="auto" w:before="192"/>
        <w:ind w:right="628"/>
      </w:pPr>
      <w:r>
        <w:rPr/>
        <w:t>There are three concentrations within the degree that are also stackable, 12-credit Post-Baccalaureate Certificates (PBCs). The concentrations and PBCs are Health Science, User Experience, and Biomedical Entrepreneurship.</w:t>
      </w:r>
    </w:p>
    <w:p>
      <w:pPr>
        <w:pStyle w:val="BodyText"/>
        <w:spacing w:line="249" w:lineRule="auto" w:before="3"/>
        <w:ind w:right="761"/>
      </w:pPr>
      <w:r>
        <w:rPr/>
        <w:t>Descriptions of these concentrations also are described as stand-alone certificate programs in this section of the catalog.</w:t>
      </w:r>
    </w:p>
    <w:p>
      <w:pPr>
        <w:pStyle w:val="BodyText"/>
        <w:spacing w:line="249" w:lineRule="auto" w:before="180"/>
        <w:ind w:right="599"/>
      </w:pPr>
      <w:r>
        <w:rPr/>
        <w:t>The concentration in </w:t>
      </w:r>
      <w:r>
        <w:rPr>
          <w:b/>
        </w:rPr>
        <w:t>Health Science </w:t>
      </w:r>
      <w:r>
        <w:rPr/>
        <w:t>educates students to engage with and respond to civic, social, environmental, medical, and economic challenges at the local, national and global levels. Students learn how to search, interpret and evaluate the medical and public health literature. They examine and critically appraise healthcare delivery systems and health policy at the local and global level; discuss and inform health care delivery, patient safety, quality, and risk management; and articulate and explain principles and practice of medical and public health ethics.</w:t>
      </w:r>
    </w:p>
    <w:p>
      <w:pPr>
        <w:pStyle w:val="BodyText"/>
        <w:spacing w:line="249" w:lineRule="auto" w:before="189"/>
        <w:ind w:right="637"/>
      </w:pPr>
      <w:r>
        <w:rPr/>
        <w:t>The </w:t>
      </w:r>
      <w:r>
        <w:rPr>
          <w:b/>
        </w:rPr>
        <w:t>User Experience  </w:t>
      </w:r>
      <w:r>
        <w:rPr/>
        <w:t>concentration is a collaboration with the University of Baltimore </w:t>
      </w:r>
      <w:r>
        <w:rPr>
          <w:spacing w:val="-3"/>
        </w:rPr>
        <w:t>(UB); </w:t>
      </w:r>
      <w:r>
        <w:rPr/>
        <w:t>acceptance to this program is gained through application to </w:t>
      </w:r>
      <w:r>
        <w:rPr>
          <w:spacing w:val="-3"/>
        </w:rPr>
        <w:t>(UB). </w:t>
      </w:r>
      <w:r>
        <w:rPr/>
        <w:t>Individuals must successfully complete this certificate program at </w:t>
      </w:r>
      <w:r>
        <w:rPr>
          <w:spacing w:val="-4"/>
        </w:rPr>
        <w:t>UB </w:t>
      </w:r>
      <w:r>
        <w:rPr/>
        <w:t>prior to gaining entry to the MS at </w:t>
      </w:r>
      <w:r>
        <w:rPr>
          <w:spacing w:val="-4"/>
        </w:rPr>
        <w:t>UMB. User </w:t>
      </w:r>
      <w:r>
        <w:rPr/>
        <w:t>experience, </w:t>
      </w:r>
      <w:r>
        <w:rPr>
          <w:spacing w:val="-3"/>
        </w:rPr>
        <w:t>or UX, </w:t>
      </w:r>
      <w:r>
        <w:rPr/>
        <w:t>encompasses all aspects </w:t>
      </w:r>
      <w:r>
        <w:rPr>
          <w:spacing w:val="-3"/>
        </w:rPr>
        <w:t>of </w:t>
      </w:r>
      <w:r>
        <w:rPr/>
        <w:t>the end-user's interaction </w:t>
      </w:r>
      <w:r>
        <w:rPr>
          <w:spacing w:val="-3"/>
        </w:rPr>
        <w:t>with </w:t>
      </w:r>
      <w:r>
        <w:rPr/>
        <w:t>the </w:t>
      </w:r>
      <w:r>
        <w:rPr>
          <w:spacing w:val="-3"/>
        </w:rPr>
        <w:t>company, </w:t>
      </w:r>
      <w:r>
        <w:rPr/>
        <w:t>its </w:t>
      </w:r>
      <w:r>
        <w:rPr>
          <w:spacing w:val="-3"/>
        </w:rPr>
        <w:t>services, </w:t>
      </w:r>
      <w:r>
        <w:rPr/>
        <w:t>and its products. Students </w:t>
      </w:r>
      <w:r>
        <w:rPr>
          <w:spacing w:val="-3"/>
        </w:rPr>
        <w:t>learn </w:t>
      </w:r>
      <w:r>
        <w:rPr/>
        <w:t>how to use research and principles from design, psychology, business, and computing to create technology that not only solves problems, but is intuitive, functional, and enjoyable to use. Students learn how to promote a user experience that balances the goals </w:t>
      </w:r>
      <w:r>
        <w:rPr>
          <w:spacing w:val="-3"/>
        </w:rPr>
        <w:t>of </w:t>
      </w:r>
      <w:r>
        <w:rPr/>
        <w:t>businesses, the demands </w:t>
      </w:r>
      <w:r>
        <w:rPr>
          <w:spacing w:val="-3"/>
        </w:rPr>
        <w:t>of </w:t>
      </w:r>
      <w:r>
        <w:rPr/>
        <w:t>content and the needs </w:t>
      </w:r>
      <w:r>
        <w:rPr>
          <w:spacing w:val="-3"/>
        </w:rPr>
        <w:t>of </w:t>
      </w:r>
      <w:r>
        <w:rPr/>
        <w:t>users. Students become familiar </w:t>
      </w:r>
      <w:r>
        <w:rPr>
          <w:spacing w:val="-3"/>
        </w:rPr>
        <w:t>with </w:t>
      </w:r>
      <w:r>
        <w:rPr/>
        <w:t>requirements analysis, information design and </w:t>
      </w:r>
      <w:r>
        <w:rPr>
          <w:spacing w:val="-3"/>
        </w:rPr>
        <w:t>delivery, </w:t>
      </w:r>
      <w:r>
        <w:rPr/>
        <w:t>usability testing</w:t>
      </w:r>
      <w:r>
        <w:rPr>
          <w:spacing w:val="6"/>
        </w:rPr>
        <w:t> </w:t>
      </w:r>
      <w:r>
        <w:rPr/>
        <w:t>and</w:t>
      </w:r>
    </w:p>
    <w:p>
      <w:pPr>
        <w:spacing w:after="0" w:line="249" w:lineRule="auto"/>
        <w:sectPr>
          <w:pgSz w:w="12240" w:h="15840"/>
          <w:pgMar w:header="746" w:footer="0" w:top="1320" w:bottom="280" w:left="880" w:right="300"/>
          <w:cols w:num="2" w:equalWidth="0">
            <w:col w:w="5009" w:space="478"/>
            <w:col w:w="5573"/>
          </w:cols>
        </w:sectPr>
      </w:pPr>
    </w:p>
    <w:p>
      <w:pPr>
        <w:pStyle w:val="BodyText"/>
        <w:spacing w:line="249" w:lineRule="auto" w:before="100"/>
      </w:pPr>
      <w:r>
        <w:rPr/>
        <w:t>Web-based application development; they also develop, design, and produce a range of electronic information resources.</w:t>
      </w:r>
    </w:p>
    <w:p>
      <w:pPr>
        <w:pStyle w:val="BodyText"/>
        <w:spacing w:line="249" w:lineRule="auto" w:before="180"/>
        <w:ind w:left="199" w:right="175"/>
      </w:pPr>
      <w:r>
        <w:rPr/>
        <w:t>The concentration in </w:t>
      </w:r>
      <w:r>
        <w:rPr>
          <w:b/>
        </w:rPr>
        <w:t>Biomedical Entrepreneurship </w:t>
      </w:r>
      <w:r>
        <w:rPr/>
        <w:t>is a partnership </w:t>
      </w:r>
      <w:r>
        <w:rPr>
          <w:spacing w:val="-3"/>
        </w:rPr>
        <w:t>with </w:t>
      </w:r>
      <w:r>
        <w:rPr/>
        <w:t>the Institute </w:t>
      </w:r>
      <w:r>
        <w:rPr>
          <w:spacing w:val="-3"/>
        </w:rPr>
        <w:t>of </w:t>
      </w:r>
      <w:r>
        <w:rPr/>
        <w:t>Marine and Environmental Technology (IMET), </w:t>
      </w:r>
      <w:r>
        <w:rPr>
          <w:spacing w:val="-4"/>
        </w:rPr>
        <w:t>UM </w:t>
      </w:r>
      <w:r>
        <w:rPr/>
        <w:t>Ventures, and the University </w:t>
      </w:r>
      <w:r>
        <w:rPr>
          <w:spacing w:val="-3"/>
        </w:rPr>
        <w:t>of </w:t>
      </w:r>
      <w:r>
        <w:rPr/>
        <w:t>Maryland </w:t>
      </w:r>
      <w:r>
        <w:rPr>
          <w:spacing w:val="-2"/>
        </w:rPr>
        <w:t>School </w:t>
      </w:r>
      <w:r>
        <w:rPr>
          <w:spacing w:val="-3"/>
        </w:rPr>
        <w:t>of </w:t>
      </w:r>
      <w:r>
        <w:rPr/>
        <w:t>Medicine. This concentration and  </w:t>
      </w:r>
      <w:r>
        <w:rPr>
          <w:spacing w:val="-3"/>
        </w:rPr>
        <w:t>PBC </w:t>
      </w:r>
      <w:r>
        <w:rPr/>
        <w:t>provides students </w:t>
      </w:r>
      <w:r>
        <w:rPr>
          <w:spacing w:val="-3"/>
        </w:rPr>
        <w:t>with </w:t>
      </w:r>
      <w:r>
        <w:rPr/>
        <w:t>an opportunity to learn technology development and commercialization skills in the real world environment that combines theory </w:t>
      </w:r>
      <w:r>
        <w:rPr>
          <w:spacing w:val="3"/>
        </w:rPr>
        <w:t>and </w:t>
      </w:r>
      <w:r>
        <w:rPr/>
        <w:t>practice. Students experience the entire spectrum </w:t>
      </w:r>
      <w:r>
        <w:rPr>
          <w:spacing w:val="-3"/>
        </w:rPr>
        <w:t>of </w:t>
      </w:r>
      <w:r>
        <w:rPr/>
        <w:t>the commercialization </w:t>
      </w:r>
      <w:r>
        <w:rPr>
          <w:spacing w:val="-3"/>
        </w:rPr>
        <w:t>process: </w:t>
      </w:r>
      <w:r>
        <w:rPr/>
        <w:t>taking ideas from their life sciences bench research through invention, product development, technical and market feasibility analysis, intellectual property acquisition and protection, business design, and venture funding, while experiencing what is required to become a stakeholder in a new technology venture.</w:t>
      </w:r>
    </w:p>
    <w:p>
      <w:pPr>
        <w:pStyle w:val="Heading5"/>
        <w:spacing w:before="185"/>
      </w:pPr>
      <w:r>
        <w:rPr/>
        <w:t>Required Courses Core Courses for the MS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0"/>
        <w:gridCol w:w="3001"/>
        <w:gridCol w:w="660"/>
      </w:tblGrid>
      <w:tr>
        <w:trPr>
          <w:trHeight w:val="711" w:hRule="atLeast"/>
        </w:trPr>
        <w:tc>
          <w:tcPr>
            <w:tcW w:w="1290" w:type="dxa"/>
          </w:tcPr>
          <w:p>
            <w:pPr>
              <w:pStyle w:val="TableParagraph"/>
              <w:spacing w:line="223" w:lineRule="exact" w:before="0"/>
              <w:ind w:left="200"/>
              <w:rPr>
                <w:sz w:val="20"/>
              </w:rPr>
            </w:pPr>
            <w:r>
              <w:rPr>
                <w:sz w:val="20"/>
              </w:rPr>
              <w:t>INNO 600</w:t>
            </w:r>
          </w:p>
        </w:tc>
        <w:tc>
          <w:tcPr>
            <w:tcW w:w="3001" w:type="dxa"/>
          </w:tcPr>
          <w:p>
            <w:pPr>
              <w:pStyle w:val="TableParagraph"/>
              <w:spacing w:line="249" w:lineRule="auto" w:before="0"/>
              <w:ind w:left="186" w:right="739"/>
              <w:rPr>
                <w:sz w:val="20"/>
              </w:rPr>
            </w:pPr>
            <w:r>
              <w:rPr>
                <w:sz w:val="20"/>
              </w:rPr>
              <w:t>FOUNDATIONS IN HEALTH AND SOCIAL</w:t>
            </w:r>
          </w:p>
          <w:p>
            <w:pPr>
              <w:pStyle w:val="TableParagraph"/>
              <w:spacing w:line="219" w:lineRule="exact" w:before="0"/>
              <w:ind w:left="186"/>
              <w:rPr>
                <w:sz w:val="20"/>
              </w:rPr>
            </w:pPr>
            <w:r>
              <w:rPr>
                <w:sz w:val="20"/>
              </w:rPr>
              <w:t>INNOVATION</w:t>
            </w:r>
          </w:p>
        </w:tc>
        <w:tc>
          <w:tcPr>
            <w:tcW w:w="660" w:type="dxa"/>
          </w:tcPr>
          <w:p>
            <w:pPr>
              <w:pStyle w:val="TableParagraph"/>
              <w:spacing w:line="223" w:lineRule="exact" w:before="0"/>
              <w:ind w:right="198"/>
              <w:jc w:val="right"/>
              <w:rPr>
                <w:sz w:val="20"/>
              </w:rPr>
            </w:pPr>
            <w:r>
              <w:rPr>
                <w:w w:val="100"/>
                <w:sz w:val="20"/>
              </w:rPr>
              <w:t>3</w:t>
            </w:r>
          </w:p>
        </w:tc>
      </w:tr>
      <w:tr>
        <w:trPr>
          <w:trHeight w:val="480" w:hRule="atLeast"/>
        </w:trPr>
        <w:tc>
          <w:tcPr>
            <w:tcW w:w="1290" w:type="dxa"/>
          </w:tcPr>
          <w:p>
            <w:pPr>
              <w:pStyle w:val="TableParagraph"/>
              <w:ind w:left="200"/>
              <w:rPr>
                <w:sz w:val="20"/>
              </w:rPr>
            </w:pPr>
            <w:r>
              <w:rPr>
                <w:sz w:val="20"/>
              </w:rPr>
              <w:t>INNO 602</w:t>
            </w:r>
          </w:p>
        </w:tc>
        <w:tc>
          <w:tcPr>
            <w:tcW w:w="3001" w:type="dxa"/>
          </w:tcPr>
          <w:p>
            <w:pPr>
              <w:pStyle w:val="TableParagraph"/>
              <w:ind w:left="186"/>
              <w:rPr>
                <w:sz w:val="20"/>
              </w:rPr>
            </w:pPr>
            <w:r>
              <w:rPr>
                <w:sz w:val="20"/>
              </w:rPr>
              <w:t>METHODS</w:t>
            </w:r>
            <w:r>
              <w:rPr>
                <w:spacing w:val="-1"/>
                <w:sz w:val="20"/>
              </w:rPr>
              <w:t> </w:t>
            </w:r>
            <w:r>
              <w:rPr>
                <w:sz w:val="20"/>
              </w:rPr>
              <w:t>IN</w:t>
            </w:r>
          </w:p>
          <w:p>
            <w:pPr>
              <w:pStyle w:val="TableParagraph"/>
              <w:spacing w:line="219" w:lineRule="exact" w:before="10"/>
              <w:ind w:left="186"/>
              <w:rPr>
                <w:sz w:val="20"/>
              </w:rPr>
            </w:pPr>
            <w:r>
              <w:rPr>
                <w:sz w:val="20"/>
              </w:rPr>
              <w:t>INNOVATION</w:t>
            </w:r>
          </w:p>
        </w:tc>
        <w:tc>
          <w:tcPr>
            <w:tcW w:w="660" w:type="dxa"/>
          </w:tcPr>
          <w:p>
            <w:pPr>
              <w:pStyle w:val="TableParagraph"/>
              <w:ind w:right="198"/>
              <w:jc w:val="right"/>
              <w:rPr>
                <w:sz w:val="20"/>
              </w:rPr>
            </w:pPr>
            <w:r>
              <w:rPr>
                <w:w w:val="100"/>
                <w:sz w:val="20"/>
              </w:rPr>
              <w:t>3</w:t>
            </w:r>
          </w:p>
        </w:tc>
      </w:tr>
      <w:tr>
        <w:trPr>
          <w:trHeight w:val="240" w:hRule="atLeast"/>
        </w:trPr>
        <w:tc>
          <w:tcPr>
            <w:tcW w:w="1290" w:type="dxa"/>
          </w:tcPr>
          <w:p>
            <w:pPr>
              <w:pStyle w:val="TableParagraph"/>
              <w:spacing w:line="219" w:lineRule="exact"/>
              <w:ind w:left="200"/>
              <w:rPr>
                <w:sz w:val="20"/>
              </w:rPr>
            </w:pPr>
            <w:r>
              <w:rPr>
                <w:sz w:val="20"/>
              </w:rPr>
              <w:t>INNO 612</w:t>
            </w:r>
          </w:p>
        </w:tc>
        <w:tc>
          <w:tcPr>
            <w:tcW w:w="3001" w:type="dxa"/>
          </w:tcPr>
          <w:p>
            <w:pPr>
              <w:pStyle w:val="TableParagraph"/>
              <w:spacing w:line="219" w:lineRule="exact"/>
              <w:ind w:left="186"/>
              <w:rPr>
                <w:sz w:val="20"/>
              </w:rPr>
            </w:pPr>
            <w:r>
              <w:rPr>
                <w:sz w:val="20"/>
              </w:rPr>
              <w:t>IMPACT LABS</w:t>
            </w:r>
          </w:p>
        </w:tc>
        <w:tc>
          <w:tcPr>
            <w:tcW w:w="660" w:type="dxa"/>
          </w:tcPr>
          <w:p>
            <w:pPr>
              <w:pStyle w:val="TableParagraph"/>
              <w:spacing w:line="219" w:lineRule="exact"/>
              <w:ind w:right="198"/>
              <w:jc w:val="right"/>
              <w:rPr>
                <w:sz w:val="20"/>
              </w:rPr>
            </w:pPr>
            <w:r>
              <w:rPr>
                <w:w w:val="100"/>
                <w:sz w:val="20"/>
              </w:rPr>
              <w:t>1</w:t>
            </w:r>
          </w:p>
        </w:tc>
      </w:tr>
      <w:tr>
        <w:trPr>
          <w:trHeight w:val="240" w:hRule="atLeast"/>
        </w:trPr>
        <w:tc>
          <w:tcPr>
            <w:tcW w:w="1290" w:type="dxa"/>
          </w:tcPr>
          <w:p>
            <w:pPr>
              <w:pStyle w:val="TableParagraph"/>
              <w:spacing w:line="219" w:lineRule="exact"/>
              <w:ind w:left="200"/>
              <w:rPr>
                <w:sz w:val="20"/>
              </w:rPr>
            </w:pPr>
            <w:r>
              <w:rPr>
                <w:sz w:val="20"/>
              </w:rPr>
              <w:t>INNO 622</w:t>
            </w:r>
          </w:p>
        </w:tc>
        <w:tc>
          <w:tcPr>
            <w:tcW w:w="3001" w:type="dxa"/>
          </w:tcPr>
          <w:p>
            <w:pPr>
              <w:pStyle w:val="TableParagraph"/>
              <w:spacing w:line="219" w:lineRule="exact"/>
              <w:ind w:left="186"/>
              <w:rPr>
                <w:sz w:val="20"/>
              </w:rPr>
            </w:pPr>
            <w:r>
              <w:rPr>
                <w:sz w:val="20"/>
              </w:rPr>
              <w:t>PROJECT MANAGEMENT</w:t>
            </w:r>
          </w:p>
        </w:tc>
        <w:tc>
          <w:tcPr>
            <w:tcW w:w="660" w:type="dxa"/>
          </w:tcPr>
          <w:p>
            <w:pPr>
              <w:pStyle w:val="TableParagraph"/>
              <w:spacing w:line="219" w:lineRule="exact"/>
              <w:ind w:right="198"/>
              <w:jc w:val="right"/>
              <w:rPr>
                <w:sz w:val="20"/>
              </w:rPr>
            </w:pPr>
            <w:r>
              <w:rPr>
                <w:w w:val="100"/>
                <w:sz w:val="20"/>
              </w:rPr>
              <w:t>3</w:t>
            </w:r>
          </w:p>
        </w:tc>
      </w:tr>
      <w:tr>
        <w:trPr>
          <w:trHeight w:val="240" w:hRule="atLeast"/>
        </w:trPr>
        <w:tc>
          <w:tcPr>
            <w:tcW w:w="1290" w:type="dxa"/>
          </w:tcPr>
          <w:p>
            <w:pPr>
              <w:pStyle w:val="TableParagraph"/>
              <w:spacing w:line="219" w:lineRule="exact"/>
              <w:ind w:left="200"/>
              <w:rPr>
                <w:sz w:val="20"/>
              </w:rPr>
            </w:pPr>
            <w:r>
              <w:rPr>
                <w:sz w:val="20"/>
              </w:rPr>
              <w:t>INNO 640</w:t>
            </w:r>
          </w:p>
        </w:tc>
        <w:tc>
          <w:tcPr>
            <w:tcW w:w="3001" w:type="dxa"/>
          </w:tcPr>
          <w:p>
            <w:pPr>
              <w:pStyle w:val="TableParagraph"/>
              <w:spacing w:line="219" w:lineRule="exact"/>
              <w:ind w:left="186"/>
              <w:rPr>
                <w:sz w:val="20"/>
              </w:rPr>
            </w:pPr>
            <w:r>
              <w:rPr>
                <w:sz w:val="20"/>
              </w:rPr>
              <w:t>BUSINESS AND FINANCE</w:t>
            </w:r>
          </w:p>
        </w:tc>
        <w:tc>
          <w:tcPr>
            <w:tcW w:w="660" w:type="dxa"/>
          </w:tcPr>
          <w:p>
            <w:pPr>
              <w:pStyle w:val="TableParagraph"/>
              <w:spacing w:line="219" w:lineRule="exact"/>
              <w:ind w:right="198"/>
              <w:jc w:val="right"/>
              <w:rPr>
                <w:sz w:val="20"/>
              </w:rPr>
            </w:pPr>
            <w:r>
              <w:rPr>
                <w:w w:val="100"/>
                <w:sz w:val="20"/>
              </w:rPr>
              <w:t>3</w:t>
            </w:r>
          </w:p>
        </w:tc>
      </w:tr>
      <w:tr>
        <w:trPr>
          <w:trHeight w:val="240" w:hRule="atLeast"/>
        </w:trPr>
        <w:tc>
          <w:tcPr>
            <w:tcW w:w="1290" w:type="dxa"/>
          </w:tcPr>
          <w:p>
            <w:pPr>
              <w:pStyle w:val="TableParagraph"/>
              <w:spacing w:line="219" w:lineRule="exact"/>
              <w:ind w:left="200"/>
              <w:rPr>
                <w:sz w:val="20"/>
              </w:rPr>
            </w:pPr>
            <w:r>
              <w:rPr>
                <w:sz w:val="20"/>
              </w:rPr>
              <w:t>INNO 642</w:t>
            </w:r>
          </w:p>
        </w:tc>
        <w:tc>
          <w:tcPr>
            <w:tcW w:w="3001" w:type="dxa"/>
          </w:tcPr>
          <w:p>
            <w:pPr>
              <w:pStyle w:val="TableParagraph"/>
              <w:spacing w:line="219" w:lineRule="exact"/>
              <w:ind w:left="186"/>
              <w:rPr>
                <w:sz w:val="20"/>
              </w:rPr>
            </w:pPr>
            <w:r>
              <w:rPr>
                <w:sz w:val="20"/>
              </w:rPr>
              <w:t>MARKETING STRATEGIES</w:t>
            </w:r>
          </w:p>
        </w:tc>
        <w:tc>
          <w:tcPr>
            <w:tcW w:w="660" w:type="dxa"/>
          </w:tcPr>
          <w:p>
            <w:pPr>
              <w:pStyle w:val="TableParagraph"/>
              <w:spacing w:line="219" w:lineRule="exact"/>
              <w:ind w:right="198"/>
              <w:jc w:val="right"/>
              <w:rPr>
                <w:sz w:val="20"/>
              </w:rPr>
            </w:pPr>
            <w:r>
              <w:rPr>
                <w:w w:val="100"/>
                <w:sz w:val="20"/>
              </w:rPr>
              <w:t>3</w:t>
            </w:r>
          </w:p>
        </w:tc>
      </w:tr>
      <w:tr>
        <w:trPr>
          <w:trHeight w:val="720" w:hRule="atLeast"/>
        </w:trPr>
        <w:tc>
          <w:tcPr>
            <w:tcW w:w="1290" w:type="dxa"/>
          </w:tcPr>
          <w:p>
            <w:pPr>
              <w:pStyle w:val="TableParagraph"/>
              <w:ind w:left="200"/>
              <w:rPr>
                <w:sz w:val="20"/>
              </w:rPr>
            </w:pPr>
            <w:r>
              <w:rPr>
                <w:sz w:val="20"/>
              </w:rPr>
              <w:t>INNO 650</w:t>
            </w:r>
          </w:p>
        </w:tc>
        <w:tc>
          <w:tcPr>
            <w:tcW w:w="3001" w:type="dxa"/>
          </w:tcPr>
          <w:p>
            <w:pPr>
              <w:pStyle w:val="TableParagraph"/>
              <w:spacing w:line="249" w:lineRule="auto"/>
              <w:ind w:left="186" w:right="923"/>
              <w:rPr>
                <w:sz w:val="20"/>
              </w:rPr>
            </w:pPr>
            <w:r>
              <w:rPr>
                <w:sz w:val="20"/>
              </w:rPr>
              <w:t>COMMUNITY ENGAGEMENT AND</w:t>
            </w:r>
          </w:p>
          <w:p>
            <w:pPr>
              <w:pStyle w:val="TableParagraph"/>
              <w:spacing w:line="219" w:lineRule="exact" w:before="2"/>
              <w:ind w:left="186"/>
              <w:rPr>
                <w:sz w:val="20"/>
              </w:rPr>
            </w:pPr>
            <w:r>
              <w:rPr>
                <w:sz w:val="20"/>
              </w:rPr>
              <w:t>PARTNERSHIPS</w:t>
            </w:r>
          </w:p>
        </w:tc>
        <w:tc>
          <w:tcPr>
            <w:tcW w:w="660" w:type="dxa"/>
          </w:tcPr>
          <w:p>
            <w:pPr>
              <w:pStyle w:val="TableParagraph"/>
              <w:ind w:right="198"/>
              <w:jc w:val="right"/>
              <w:rPr>
                <w:sz w:val="20"/>
              </w:rPr>
            </w:pPr>
            <w:r>
              <w:rPr>
                <w:w w:val="100"/>
                <w:sz w:val="20"/>
              </w:rPr>
              <w:t>3</w:t>
            </w:r>
          </w:p>
        </w:tc>
      </w:tr>
      <w:tr>
        <w:trPr>
          <w:trHeight w:val="471" w:hRule="atLeast"/>
        </w:trPr>
        <w:tc>
          <w:tcPr>
            <w:tcW w:w="1290" w:type="dxa"/>
          </w:tcPr>
          <w:p>
            <w:pPr>
              <w:pStyle w:val="TableParagraph"/>
              <w:ind w:left="200"/>
              <w:rPr>
                <w:sz w:val="20"/>
              </w:rPr>
            </w:pPr>
            <w:r>
              <w:rPr>
                <w:sz w:val="20"/>
              </w:rPr>
              <w:t>INNO 652</w:t>
            </w:r>
          </w:p>
        </w:tc>
        <w:tc>
          <w:tcPr>
            <w:tcW w:w="3001" w:type="dxa"/>
          </w:tcPr>
          <w:p>
            <w:pPr>
              <w:pStyle w:val="TableParagraph"/>
              <w:ind w:left="186"/>
              <w:rPr>
                <w:sz w:val="20"/>
              </w:rPr>
            </w:pPr>
            <w:r>
              <w:rPr>
                <w:sz w:val="20"/>
              </w:rPr>
              <w:t>CAPSTONE PROJECT AND</w:t>
            </w:r>
          </w:p>
          <w:p>
            <w:pPr>
              <w:pStyle w:val="TableParagraph"/>
              <w:spacing w:line="210" w:lineRule="exact" w:before="10"/>
              <w:ind w:left="186"/>
              <w:rPr>
                <w:sz w:val="20"/>
              </w:rPr>
            </w:pPr>
            <w:r>
              <w:rPr>
                <w:sz w:val="20"/>
              </w:rPr>
              <w:t>PITCH</w:t>
            </w:r>
          </w:p>
        </w:tc>
        <w:tc>
          <w:tcPr>
            <w:tcW w:w="660" w:type="dxa"/>
          </w:tcPr>
          <w:p>
            <w:pPr>
              <w:pStyle w:val="TableParagraph"/>
              <w:ind w:right="198"/>
              <w:jc w:val="right"/>
              <w:rPr>
                <w:sz w:val="20"/>
              </w:rPr>
            </w:pPr>
            <w:r>
              <w:rPr>
                <w:w w:val="100"/>
                <w:sz w:val="20"/>
              </w:rPr>
              <w:t>3</w:t>
            </w:r>
          </w:p>
        </w:tc>
      </w:tr>
    </w:tbl>
    <w:p>
      <w:pPr>
        <w:pStyle w:val="Heading5"/>
        <w:spacing w:before="193"/>
      </w:pPr>
      <w:r>
        <w:rPr/>
        <w:t>Health Science Concentration/PBC</w:t>
      </w:r>
    </w:p>
    <w:p>
      <w:pPr>
        <w:pStyle w:val="BodyText"/>
        <w:spacing w:line="249" w:lineRule="auto" w:before="190"/>
      </w:pPr>
      <w:r>
        <w:rPr/>
        <w:pict>
          <v:shape style="position:absolute;margin-left:49.279999pt;margin-top:33.853500pt;width:247.55pt;height:167.2pt;mso-position-horizontal-relative:page;mso-position-vertical-relative:paragraph;z-index:12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5"/>
                    <w:gridCol w:w="3108"/>
                    <w:gridCol w:w="626"/>
                  </w:tblGrid>
                  <w:tr>
                    <w:trPr>
                      <w:trHeight w:val="1191" w:hRule="atLeast"/>
                    </w:trPr>
                    <w:tc>
                      <w:tcPr>
                        <w:tcW w:w="1215" w:type="dxa"/>
                      </w:tcPr>
                      <w:p>
                        <w:pPr>
                          <w:pStyle w:val="TableParagraph"/>
                          <w:spacing w:line="223" w:lineRule="exact" w:before="0"/>
                          <w:ind w:left="180" w:right="210"/>
                          <w:jc w:val="center"/>
                          <w:rPr>
                            <w:sz w:val="20"/>
                          </w:rPr>
                        </w:pPr>
                        <w:r>
                          <w:rPr>
                            <w:sz w:val="20"/>
                          </w:rPr>
                          <w:t>MHS 602</w:t>
                        </w:r>
                      </w:p>
                    </w:tc>
                    <w:tc>
                      <w:tcPr>
                        <w:tcW w:w="3108" w:type="dxa"/>
                      </w:tcPr>
                      <w:p>
                        <w:pPr>
                          <w:pStyle w:val="TableParagraph"/>
                          <w:spacing w:line="249" w:lineRule="auto" w:before="0"/>
                          <w:ind w:left="233" w:right="621"/>
                          <w:rPr>
                            <w:sz w:val="20"/>
                          </w:rPr>
                        </w:pPr>
                        <w:r>
                          <w:rPr>
                            <w:sz w:val="20"/>
                          </w:rPr>
                          <w:t>LEGAL AND ETHICAL ISSUES FOR HEALTH, HUMAN SERVICES AND CLINICAL</w:t>
                        </w:r>
                      </w:p>
                      <w:p>
                        <w:pPr>
                          <w:pStyle w:val="TableParagraph"/>
                          <w:spacing w:line="219" w:lineRule="exact" w:before="0"/>
                          <w:ind w:left="233"/>
                          <w:rPr>
                            <w:sz w:val="20"/>
                          </w:rPr>
                        </w:pPr>
                        <w:r>
                          <w:rPr>
                            <w:sz w:val="20"/>
                          </w:rPr>
                          <w:t>PROFESSIONALS</w:t>
                        </w:r>
                      </w:p>
                    </w:tc>
                    <w:tc>
                      <w:tcPr>
                        <w:tcW w:w="626" w:type="dxa"/>
                      </w:tcPr>
                      <w:p>
                        <w:pPr>
                          <w:pStyle w:val="TableParagraph"/>
                          <w:spacing w:line="223" w:lineRule="exact" w:before="0"/>
                          <w:ind w:right="196"/>
                          <w:jc w:val="right"/>
                          <w:rPr>
                            <w:sz w:val="20"/>
                          </w:rPr>
                        </w:pPr>
                        <w:r>
                          <w:rPr>
                            <w:w w:val="100"/>
                            <w:sz w:val="20"/>
                          </w:rPr>
                          <w:t>2</w:t>
                        </w:r>
                      </w:p>
                    </w:tc>
                  </w:tr>
                  <w:tr>
                    <w:trPr>
                      <w:trHeight w:val="480" w:hRule="atLeast"/>
                    </w:trPr>
                    <w:tc>
                      <w:tcPr>
                        <w:tcW w:w="1215" w:type="dxa"/>
                      </w:tcPr>
                      <w:p>
                        <w:pPr>
                          <w:pStyle w:val="TableParagraph"/>
                          <w:ind w:left="180" w:right="210"/>
                          <w:jc w:val="center"/>
                          <w:rPr>
                            <w:sz w:val="20"/>
                          </w:rPr>
                        </w:pPr>
                        <w:r>
                          <w:rPr>
                            <w:sz w:val="20"/>
                          </w:rPr>
                          <w:t>MHS 603</w:t>
                        </w:r>
                      </w:p>
                    </w:tc>
                    <w:tc>
                      <w:tcPr>
                        <w:tcW w:w="3108" w:type="dxa"/>
                      </w:tcPr>
                      <w:p>
                        <w:pPr>
                          <w:pStyle w:val="TableParagraph"/>
                          <w:ind w:left="233"/>
                          <w:rPr>
                            <w:sz w:val="20"/>
                          </w:rPr>
                        </w:pPr>
                        <w:r>
                          <w:rPr>
                            <w:sz w:val="20"/>
                          </w:rPr>
                          <w:t>SCIENCE WRITING</w:t>
                        </w:r>
                      </w:p>
                      <w:p>
                        <w:pPr>
                          <w:pStyle w:val="TableParagraph"/>
                          <w:spacing w:line="219" w:lineRule="exact" w:before="10"/>
                          <w:ind w:left="233"/>
                          <w:rPr>
                            <w:sz w:val="20"/>
                          </w:rPr>
                        </w:pPr>
                        <w:r>
                          <w:rPr>
                            <w:sz w:val="20"/>
                          </w:rPr>
                          <w:t>PRINCIPLES</w:t>
                        </w:r>
                      </w:p>
                    </w:tc>
                    <w:tc>
                      <w:tcPr>
                        <w:tcW w:w="626" w:type="dxa"/>
                      </w:tcPr>
                      <w:p>
                        <w:pPr>
                          <w:pStyle w:val="TableParagraph"/>
                          <w:ind w:right="196"/>
                          <w:jc w:val="right"/>
                          <w:rPr>
                            <w:sz w:val="20"/>
                          </w:rPr>
                        </w:pPr>
                        <w:r>
                          <w:rPr>
                            <w:w w:val="100"/>
                            <w:sz w:val="20"/>
                          </w:rPr>
                          <w:t>3</w:t>
                        </w:r>
                      </w:p>
                    </w:tc>
                  </w:tr>
                  <w:tr>
                    <w:trPr>
                      <w:trHeight w:val="480" w:hRule="atLeast"/>
                    </w:trPr>
                    <w:tc>
                      <w:tcPr>
                        <w:tcW w:w="1215" w:type="dxa"/>
                      </w:tcPr>
                      <w:p>
                        <w:pPr>
                          <w:pStyle w:val="TableParagraph"/>
                          <w:ind w:left="180" w:right="210"/>
                          <w:jc w:val="center"/>
                          <w:rPr>
                            <w:sz w:val="20"/>
                          </w:rPr>
                        </w:pPr>
                        <w:r>
                          <w:rPr>
                            <w:sz w:val="20"/>
                          </w:rPr>
                          <w:t>MHS 605</w:t>
                        </w:r>
                      </w:p>
                    </w:tc>
                    <w:tc>
                      <w:tcPr>
                        <w:tcW w:w="3108" w:type="dxa"/>
                      </w:tcPr>
                      <w:p>
                        <w:pPr>
                          <w:pStyle w:val="TableParagraph"/>
                          <w:ind w:left="233"/>
                          <w:rPr>
                            <w:sz w:val="20"/>
                          </w:rPr>
                        </w:pPr>
                        <w:r>
                          <w:rPr>
                            <w:sz w:val="20"/>
                          </w:rPr>
                          <w:t>PERSPECTIVES ON</w:t>
                        </w:r>
                      </w:p>
                      <w:p>
                        <w:pPr>
                          <w:pStyle w:val="TableParagraph"/>
                          <w:spacing w:line="219" w:lineRule="exact" w:before="10"/>
                          <w:ind w:left="233"/>
                          <w:rPr>
                            <w:sz w:val="20"/>
                          </w:rPr>
                        </w:pPr>
                        <w:r>
                          <w:rPr>
                            <w:sz w:val="20"/>
                          </w:rPr>
                          <w:t>GLOBAL HEALTH</w:t>
                        </w:r>
                      </w:p>
                    </w:tc>
                    <w:tc>
                      <w:tcPr>
                        <w:tcW w:w="626" w:type="dxa"/>
                      </w:tcPr>
                      <w:p>
                        <w:pPr>
                          <w:pStyle w:val="TableParagraph"/>
                          <w:ind w:right="196"/>
                          <w:jc w:val="right"/>
                          <w:rPr>
                            <w:sz w:val="20"/>
                          </w:rPr>
                        </w:pPr>
                        <w:r>
                          <w:rPr>
                            <w:w w:val="100"/>
                            <w:sz w:val="20"/>
                          </w:rPr>
                          <w:t>3</w:t>
                        </w:r>
                      </w:p>
                    </w:tc>
                  </w:tr>
                  <w:tr>
                    <w:trPr>
                      <w:trHeight w:val="480" w:hRule="atLeast"/>
                    </w:trPr>
                    <w:tc>
                      <w:tcPr>
                        <w:tcW w:w="1215" w:type="dxa"/>
                      </w:tcPr>
                      <w:p>
                        <w:pPr>
                          <w:pStyle w:val="TableParagraph"/>
                          <w:ind w:left="180" w:right="210"/>
                          <w:jc w:val="center"/>
                          <w:rPr>
                            <w:sz w:val="20"/>
                          </w:rPr>
                        </w:pPr>
                        <w:r>
                          <w:rPr>
                            <w:sz w:val="20"/>
                          </w:rPr>
                          <w:t>MHS 607</w:t>
                        </w:r>
                      </w:p>
                    </w:tc>
                    <w:tc>
                      <w:tcPr>
                        <w:tcW w:w="3108" w:type="dxa"/>
                      </w:tcPr>
                      <w:p>
                        <w:pPr>
                          <w:pStyle w:val="TableParagraph"/>
                          <w:ind w:left="233"/>
                          <w:rPr>
                            <w:sz w:val="20"/>
                          </w:rPr>
                        </w:pPr>
                        <w:r>
                          <w:rPr>
                            <w:sz w:val="20"/>
                          </w:rPr>
                          <w:t>WRITING FOR SCHOLARLY</w:t>
                        </w:r>
                      </w:p>
                      <w:p>
                        <w:pPr>
                          <w:pStyle w:val="TableParagraph"/>
                          <w:spacing w:line="219" w:lineRule="exact" w:before="10"/>
                          <w:ind w:left="233"/>
                          <w:rPr>
                            <w:sz w:val="20"/>
                          </w:rPr>
                        </w:pPr>
                        <w:r>
                          <w:rPr>
                            <w:sz w:val="20"/>
                          </w:rPr>
                          <w:t>JOURNALS</w:t>
                        </w:r>
                      </w:p>
                    </w:tc>
                    <w:tc>
                      <w:tcPr>
                        <w:tcW w:w="626" w:type="dxa"/>
                      </w:tcPr>
                      <w:p>
                        <w:pPr>
                          <w:pStyle w:val="TableParagraph"/>
                          <w:ind w:right="196"/>
                          <w:jc w:val="right"/>
                          <w:rPr>
                            <w:sz w:val="20"/>
                          </w:rPr>
                        </w:pPr>
                        <w:r>
                          <w:rPr>
                            <w:w w:val="100"/>
                            <w:sz w:val="20"/>
                          </w:rPr>
                          <w:t>3</w:t>
                        </w:r>
                      </w:p>
                    </w:tc>
                  </w:tr>
                  <w:tr>
                    <w:trPr>
                      <w:trHeight w:val="711" w:hRule="atLeast"/>
                    </w:trPr>
                    <w:tc>
                      <w:tcPr>
                        <w:tcW w:w="1215" w:type="dxa"/>
                      </w:tcPr>
                      <w:p>
                        <w:pPr>
                          <w:pStyle w:val="TableParagraph"/>
                          <w:ind w:left="180" w:right="210"/>
                          <w:jc w:val="center"/>
                          <w:rPr>
                            <w:sz w:val="20"/>
                          </w:rPr>
                        </w:pPr>
                        <w:r>
                          <w:rPr>
                            <w:sz w:val="20"/>
                          </w:rPr>
                          <w:t>MHS 610</w:t>
                        </w:r>
                      </w:p>
                    </w:tc>
                    <w:tc>
                      <w:tcPr>
                        <w:tcW w:w="3108" w:type="dxa"/>
                      </w:tcPr>
                      <w:p>
                        <w:pPr>
                          <w:pStyle w:val="TableParagraph"/>
                          <w:spacing w:line="249" w:lineRule="auto"/>
                          <w:ind w:left="233" w:right="1246"/>
                          <w:rPr>
                            <w:sz w:val="20"/>
                          </w:rPr>
                        </w:pPr>
                        <w:r>
                          <w:rPr>
                            <w:sz w:val="20"/>
                          </w:rPr>
                          <w:t>NATIONAL </w:t>
                        </w:r>
                        <w:r>
                          <w:rPr>
                            <w:spacing w:val="-2"/>
                            <w:sz w:val="20"/>
                          </w:rPr>
                          <w:t>AND </w:t>
                        </w:r>
                        <w:r>
                          <w:rPr>
                            <w:spacing w:val="-1"/>
                            <w:sz w:val="20"/>
                          </w:rPr>
                          <w:t>INTERNATIONAL</w:t>
                        </w:r>
                      </w:p>
                      <w:p>
                        <w:pPr>
                          <w:pStyle w:val="TableParagraph"/>
                          <w:spacing w:line="210" w:lineRule="exact" w:before="2"/>
                          <w:ind w:left="233"/>
                          <w:rPr>
                            <w:sz w:val="20"/>
                          </w:rPr>
                        </w:pPr>
                        <w:r>
                          <w:rPr>
                            <w:sz w:val="20"/>
                          </w:rPr>
                          <w:t>APPROACHES</w:t>
                        </w:r>
                        <w:r>
                          <w:rPr>
                            <w:spacing w:val="-3"/>
                            <w:sz w:val="20"/>
                          </w:rPr>
                          <w:t> </w:t>
                        </w:r>
                        <w:r>
                          <w:rPr>
                            <w:sz w:val="20"/>
                          </w:rPr>
                          <w:t>TO</w:t>
                        </w:r>
                      </w:p>
                    </w:tc>
                    <w:tc>
                      <w:tcPr>
                        <w:tcW w:w="626" w:type="dxa"/>
                      </w:tcPr>
                      <w:p>
                        <w:pPr>
                          <w:pStyle w:val="TableParagraph"/>
                          <w:ind w:right="196"/>
                          <w:jc w:val="right"/>
                          <w:rPr>
                            <w:sz w:val="20"/>
                          </w:rPr>
                        </w:pPr>
                        <w:r>
                          <w:rPr>
                            <w:w w:val="100"/>
                            <w:sz w:val="20"/>
                          </w:rPr>
                          <w:t>3</w:t>
                        </w:r>
                      </w:p>
                    </w:tc>
                  </w:tr>
                </w:tbl>
                <w:p>
                  <w:pPr>
                    <w:pStyle w:val="BodyText"/>
                    <w:spacing w:before="0"/>
                    <w:ind w:left="0"/>
                  </w:pPr>
                </w:p>
              </w:txbxContent>
            </v:textbox>
            <w10:wrap type="none"/>
          </v:shape>
        </w:pict>
      </w:r>
      <w:r>
        <w:rPr/>
        <w:t>Students who select this concentration will choose four courses from this list:</w:t>
      </w:r>
    </w:p>
    <w:p>
      <w:pPr>
        <w:pStyle w:val="BodyText"/>
        <w:spacing w:before="3"/>
        <w:ind w:left="0"/>
        <w:rPr>
          <w:sz w:val="9"/>
        </w:rPr>
      </w:pPr>
      <w:r>
        <w:rPr/>
        <w:br w:type="column"/>
      </w:r>
      <w:r>
        <w:rPr>
          <w:sz w:val="9"/>
        </w:rPr>
      </w:r>
    </w:p>
    <w:tbl>
      <w:tblPr>
        <w:tblW w:w="0" w:type="auto"/>
        <w:jc w:val="lef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8"/>
        <w:gridCol w:w="3043"/>
        <w:gridCol w:w="630"/>
      </w:tblGrid>
      <w:tr>
        <w:trPr>
          <w:trHeight w:val="471" w:hRule="atLeast"/>
        </w:trPr>
        <w:tc>
          <w:tcPr>
            <w:tcW w:w="1278" w:type="dxa"/>
          </w:tcPr>
          <w:p>
            <w:pPr>
              <w:pStyle w:val="TableParagraph"/>
              <w:spacing w:before="0"/>
              <w:rPr>
                <w:sz w:val="20"/>
              </w:rPr>
            </w:pPr>
          </w:p>
        </w:tc>
        <w:tc>
          <w:tcPr>
            <w:tcW w:w="3043" w:type="dxa"/>
          </w:tcPr>
          <w:p>
            <w:pPr>
              <w:pStyle w:val="TableParagraph"/>
              <w:spacing w:line="223" w:lineRule="exact" w:before="0"/>
              <w:ind w:left="170"/>
              <w:rPr>
                <w:sz w:val="20"/>
              </w:rPr>
            </w:pPr>
            <w:r>
              <w:rPr>
                <w:sz w:val="20"/>
              </w:rPr>
              <w:t>HEALTHCARE AT THE</w:t>
            </w:r>
          </w:p>
          <w:p>
            <w:pPr>
              <w:pStyle w:val="TableParagraph"/>
              <w:spacing w:line="219" w:lineRule="exact" w:before="10"/>
              <w:ind w:left="170"/>
              <w:rPr>
                <w:sz w:val="20"/>
              </w:rPr>
            </w:pPr>
            <w:r>
              <w:rPr>
                <w:sz w:val="20"/>
              </w:rPr>
              <w:t>COMMUNITY LEVEL</w:t>
            </w:r>
          </w:p>
        </w:tc>
        <w:tc>
          <w:tcPr>
            <w:tcW w:w="630" w:type="dxa"/>
          </w:tcPr>
          <w:p>
            <w:pPr>
              <w:pStyle w:val="TableParagraph"/>
              <w:spacing w:before="0"/>
              <w:rPr>
                <w:sz w:val="20"/>
              </w:rPr>
            </w:pPr>
          </w:p>
        </w:tc>
      </w:tr>
      <w:tr>
        <w:trPr>
          <w:trHeight w:val="1200" w:hRule="atLeast"/>
        </w:trPr>
        <w:tc>
          <w:tcPr>
            <w:tcW w:w="1278" w:type="dxa"/>
          </w:tcPr>
          <w:p>
            <w:pPr>
              <w:pStyle w:val="TableParagraph"/>
              <w:ind w:left="200"/>
              <w:rPr>
                <w:sz w:val="20"/>
              </w:rPr>
            </w:pPr>
            <w:r>
              <w:rPr>
                <w:sz w:val="20"/>
              </w:rPr>
              <w:t>MHS 612</w:t>
            </w:r>
          </w:p>
        </w:tc>
        <w:tc>
          <w:tcPr>
            <w:tcW w:w="3043" w:type="dxa"/>
          </w:tcPr>
          <w:p>
            <w:pPr>
              <w:pStyle w:val="TableParagraph"/>
              <w:spacing w:line="249" w:lineRule="auto"/>
              <w:ind w:left="170" w:right="644"/>
              <w:rPr>
                <w:sz w:val="20"/>
              </w:rPr>
            </w:pPr>
            <w:r>
              <w:rPr>
                <w:sz w:val="20"/>
              </w:rPr>
              <w:t>INTRODUCTION TO INTEGRATIVE HEALTH AND BIOLOGICAL AND BODY-BASED</w:t>
            </w:r>
          </w:p>
          <w:p>
            <w:pPr>
              <w:pStyle w:val="TableParagraph"/>
              <w:spacing w:line="219" w:lineRule="exact" w:before="3"/>
              <w:ind w:left="170"/>
              <w:rPr>
                <w:sz w:val="20"/>
              </w:rPr>
            </w:pPr>
            <w:r>
              <w:rPr>
                <w:sz w:val="20"/>
              </w:rPr>
              <w:t>INTERVENTIONS</w:t>
            </w:r>
          </w:p>
        </w:tc>
        <w:tc>
          <w:tcPr>
            <w:tcW w:w="630" w:type="dxa"/>
          </w:tcPr>
          <w:p>
            <w:pPr>
              <w:pStyle w:val="TableParagraph"/>
              <w:ind w:right="198"/>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MHS 613</w:t>
            </w:r>
          </w:p>
        </w:tc>
        <w:tc>
          <w:tcPr>
            <w:tcW w:w="3043" w:type="dxa"/>
          </w:tcPr>
          <w:p>
            <w:pPr>
              <w:pStyle w:val="TableParagraph"/>
              <w:spacing w:line="249" w:lineRule="auto"/>
              <w:ind w:left="170" w:right="581"/>
              <w:rPr>
                <w:sz w:val="20"/>
              </w:rPr>
            </w:pPr>
            <w:r>
              <w:rPr>
                <w:sz w:val="20"/>
              </w:rPr>
              <w:t>RESEARCH IMPLEMENTATION AND</w:t>
            </w:r>
          </w:p>
          <w:p>
            <w:pPr>
              <w:pStyle w:val="TableParagraph"/>
              <w:spacing w:line="219" w:lineRule="exact" w:before="2"/>
              <w:ind w:left="170"/>
              <w:rPr>
                <w:sz w:val="20"/>
              </w:rPr>
            </w:pPr>
            <w:r>
              <w:rPr>
                <w:sz w:val="20"/>
              </w:rPr>
              <w:t>DISSEMINATION I</w:t>
            </w:r>
          </w:p>
        </w:tc>
        <w:tc>
          <w:tcPr>
            <w:tcW w:w="630" w:type="dxa"/>
          </w:tcPr>
          <w:p>
            <w:pPr>
              <w:pStyle w:val="TableParagraph"/>
              <w:ind w:right="198"/>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MHS 614</w:t>
            </w:r>
          </w:p>
        </w:tc>
        <w:tc>
          <w:tcPr>
            <w:tcW w:w="3043" w:type="dxa"/>
          </w:tcPr>
          <w:p>
            <w:pPr>
              <w:pStyle w:val="TableParagraph"/>
              <w:spacing w:line="249" w:lineRule="auto"/>
              <w:ind w:left="170" w:right="581"/>
              <w:rPr>
                <w:sz w:val="20"/>
              </w:rPr>
            </w:pPr>
            <w:r>
              <w:rPr>
                <w:sz w:val="20"/>
              </w:rPr>
              <w:t>RESEARCH IMPLEMENTATION AND</w:t>
            </w:r>
          </w:p>
          <w:p>
            <w:pPr>
              <w:pStyle w:val="TableParagraph"/>
              <w:spacing w:line="219" w:lineRule="exact" w:before="2"/>
              <w:ind w:left="170"/>
              <w:rPr>
                <w:sz w:val="20"/>
              </w:rPr>
            </w:pPr>
            <w:r>
              <w:rPr>
                <w:sz w:val="20"/>
              </w:rPr>
              <w:t>DISSEMINATION II</w:t>
            </w:r>
          </w:p>
        </w:tc>
        <w:tc>
          <w:tcPr>
            <w:tcW w:w="630" w:type="dxa"/>
          </w:tcPr>
          <w:p>
            <w:pPr>
              <w:pStyle w:val="TableParagraph"/>
              <w:ind w:right="198"/>
              <w:jc w:val="right"/>
              <w:rPr>
                <w:sz w:val="20"/>
              </w:rPr>
            </w:pPr>
            <w:r>
              <w:rPr>
                <w:w w:val="100"/>
                <w:sz w:val="20"/>
              </w:rPr>
              <w:t>3</w:t>
            </w:r>
          </w:p>
        </w:tc>
      </w:tr>
      <w:tr>
        <w:trPr>
          <w:trHeight w:val="480" w:hRule="atLeast"/>
        </w:trPr>
        <w:tc>
          <w:tcPr>
            <w:tcW w:w="1278" w:type="dxa"/>
          </w:tcPr>
          <w:p>
            <w:pPr>
              <w:pStyle w:val="TableParagraph"/>
              <w:ind w:left="200"/>
              <w:rPr>
                <w:sz w:val="20"/>
              </w:rPr>
            </w:pPr>
            <w:r>
              <w:rPr>
                <w:sz w:val="20"/>
              </w:rPr>
              <w:t>MHS 618</w:t>
            </w:r>
          </w:p>
        </w:tc>
        <w:tc>
          <w:tcPr>
            <w:tcW w:w="3043" w:type="dxa"/>
          </w:tcPr>
          <w:p>
            <w:pPr>
              <w:pStyle w:val="TableParagraph"/>
              <w:ind w:left="170"/>
              <w:rPr>
                <w:sz w:val="20"/>
              </w:rPr>
            </w:pPr>
            <w:r>
              <w:rPr>
                <w:sz w:val="20"/>
              </w:rPr>
              <w:t>REGULATORY &amp; LEGAL</w:t>
            </w:r>
          </w:p>
          <w:p>
            <w:pPr>
              <w:pStyle w:val="TableParagraph"/>
              <w:spacing w:line="219" w:lineRule="exact" w:before="10"/>
              <w:ind w:left="170"/>
              <w:rPr>
                <w:sz w:val="20"/>
              </w:rPr>
            </w:pPr>
            <w:r>
              <w:rPr>
                <w:sz w:val="20"/>
              </w:rPr>
              <w:t>ISSUES IN RESEARCH</w:t>
            </w:r>
          </w:p>
        </w:tc>
        <w:tc>
          <w:tcPr>
            <w:tcW w:w="630" w:type="dxa"/>
          </w:tcPr>
          <w:p>
            <w:pPr>
              <w:pStyle w:val="TableParagraph"/>
              <w:ind w:right="198"/>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MHS 619</w:t>
            </w:r>
          </w:p>
        </w:tc>
        <w:tc>
          <w:tcPr>
            <w:tcW w:w="3043" w:type="dxa"/>
          </w:tcPr>
          <w:p>
            <w:pPr>
              <w:pStyle w:val="TableParagraph"/>
              <w:spacing w:line="249" w:lineRule="auto"/>
              <w:ind w:left="170" w:right="364"/>
              <w:rPr>
                <w:sz w:val="20"/>
              </w:rPr>
            </w:pPr>
            <w:r>
              <w:rPr>
                <w:sz w:val="20"/>
              </w:rPr>
              <w:t>CLINICAL APPLICATION OF INTEGRATIVE HEALTH</w:t>
            </w:r>
          </w:p>
          <w:p>
            <w:pPr>
              <w:pStyle w:val="TableParagraph"/>
              <w:spacing w:line="219" w:lineRule="exact" w:before="2"/>
              <w:ind w:left="170"/>
              <w:rPr>
                <w:sz w:val="20"/>
              </w:rPr>
            </w:pPr>
            <w:r>
              <w:rPr>
                <w:sz w:val="20"/>
              </w:rPr>
              <w:t>AND WELLNESS</w:t>
            </w:r>
          </w:p>
        </w:tc>
        <w:tc>
          <w:tcPr>
            <w:tcW w:w="630" w:type="dxa"/>
          </w:tcPr>
          <w:p>
            <w:pPr>
              <w:pStyle w:val="TableParagraph"/>
              <w:ind w:right="198"/>
              <w:jc w:val="right"/>
              <w:rPr>
                <w:sz w:val="20"/>
              </w:rPr>
            </w:pPr>
            <w:r>
              <w:rPr>
                <w:w w:val="100"/>
                <w:sz w:val="20"/>
              </w:rPr>
              <w:t>3</w:t>
            </w:r>
          </w:p>
        </w:tc>
      </w:tr>
      <w:tr>
        <w:trPr>
          <w:trHeight w:val="240" w:hRule="atLeast"/>
        </w:trPr>
        <w:tc>
          <w:tcPr>
            <w:tcW w:w="1278" w:type="dxa"/>
          </w:tcPr>
          <w:p>
            <w:pPr>
              <w:pStyle w:val="TableParagraph"/>
              <w:spacing w:line="219" w:lineRule="exact"/>
              <w:ind w:left="200"/>
              <w:rPr>
                <w:sz w:val="20"/>
              </w:rPr>
            </w:pPr>
            <w:r>
              <w:rPr>
                <w:sz w:val="20"/>
              </w:rPr>
              <w:t>MHS 626</w:t>
            </w:r>
          </w:p>
        </w:tc>
        <w:tc>
          <w:tcPr>
            <w:tcW w:w="3043" w:type="dxa"/>
          </w:tcPr>
          <w:p>
            <w:pPr>
              <w:pStyle w:val="TableParagraph"/>
              <w:spacing w:before="0"/>
              <w:rPr>
                <w:sz w:val="16"/>
              </w:rPr>
            </w:pPr>
          </w:p>
        </w:tc>
        <w:tc>
          <w:tcPr>
            <w:tcW w:w="630" w:type="dxa"/>
          </w:tcPr>
          <w:p>
            <w:pPr>
              <w:pStyle w:val="TableParagraph"/>
              <w:spacing w:line="219" w:lineRule="exact"/>
              <w:ind w:right="198"/>
              <w:jc w:val="right"/>
              <w:rPr>
                <w:sz w:val="20"/>
              </w:rPr>
            </w:pPr>
            <w:r>
              <w:rPr>
                <w:w w:val="100"/>
                <w:sz w:val="20"/>
              </w:rPr>
              <w:t>3</w:t>
            </w:r>
          </w:p>
        </w:tc>
      </w:tr>
      <w:tr>
        <w:trPr>
          <w:trHeight w:val="240" w:hRule="atLeast"/>
        </w:trPr>
        <w:tc>
          <w:tcPr>
            <w:tcW w:w="1278" w:type="dxa"/>
          </w:tcPr>
          <w:p>
            <w:pPr>
              <w:pStyle w:val="TableParagraph"/>
              <w:spacing w:line="219" w:lineRule="exact"/>
              <w:ind w:left="200"/>
              <w:rPr>
                <w:sz w:val="20"/>
              </w:rPr>
            </w:pPr>
            <w:r>
              <w:rPr>
                <w:sz w:val="20"/>
              </w:rPr>
              <w:t>MHS 627</w:t>
            </w:r>
          </w:p>
        </w:tc>
        <w:tc>
          <w:tcPr>
            <w:tcW w:w="3043" w:type="dxa"/>
          </w:tcPr>
          <w:p>
            <w:pPr>
              <w:pStyle w:val="TableParagraph"/>
              <w:spacing w:line="219" w:lineRule="exact"/>
              <w:ind w:left="170"/>
              <w:rPr>
                <w:sz w:val="20"/>
              </w:rPr>
            </w:pPr>
            <w:r>
              <w:rPr>
                <w:sz w:val="20"/>
              </w:rPr>
              <w:t>WRITING FOR THE PUBLIC</w:t>
            </w:r>
          </w:p>
        </w:tc>
        <w:tc>
          <w:tcPr>
            <w:tcW w:w="630" w:type="dxa"/>
          </w:tcPr>
          <w:p>
            <w:pPr>
              <w:pStyle w:val="TableParagraph"/>
              <w:spacing w:line="219" w:lineRule="exact"/>
              <w:ind w:right="198"/>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MHS 628</w:t>
            </w:r>
          </w:p>
        </w:tc>
        <w:tc>
          <w:tcPr>
            <w:tcW w:w="3043" w:type="dxa"/>
          </w:tcPr>
          <w:p>
            <w:pPr>
              <w:pStyle w:val="TableParagraph"/>
              <w:spacing w:line="249" w:lineRule="auto"/>
              <w:ind w:left="170" w:right="670"/>
              <w:rPr>
                <w:sz w:val="20"/>
              </w:rPr>
            </w:pPr>
            <w:r>
              <w:rPr>
                <w:sz w:val="20"/>
              </w:rPr>
              <w:t>INTEGRATIVE HEALTH AND WELLNESS</w:t>
            </w:r>
          </w:p>
          <w:p>
            <w:pPr>
              <w:pStyle w:val="TableParagraph"/>
              <w:spacing w:line="219" w:lineRule="exact" w:before="2"/>
              <w:ind w:left="170"/>
              <w:rPr>
                <w:sz w:val="20"/>
              </w:rPr>
            </w:pPr>
            <w:r>
              <w:rPr>
                <w:sz w:val="20"/>
              </w:rPr>
              <w:t>COACHING</w:t>
            </w:r>
          </w:p>
        </w:tc>
        <w:tc>
          <w:tcPr>
            <w:tcW w:w="630" w:type="dxa"/>
          </w:tcPr>
          <w:p>
            <w:pPr>
              <w:pStyle w:val="TableParagraph"/>
              <w:ind w:right="198"/>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MHS 633</w:t>
            </w:r>
          </w:p>
        </w:tc>
        <w:tc>
          <w:tcPr>
            <w:tcW w:w="3043" w:type="dxa"/>
          </w:tcPr>
          <w:p>
            <w:pPr>
              <w:pStyle w:val="TableParagraph"/>
              <w:spacing w:line="249" w:lineRule="auto"/>
              <w:ind w:left="170" w:right="313"/>
              <w:rPr>
                <w:sz w:val="20"/>
              </w:rPr>
            </w:pPr>
            <w:r>
              <w:rPr>
                <w:sz w:val="20"/>
              </w:rPr>
              <w:t>CLINICALLY APPLIED CONCEPTS IN SOCIAL AND</w:t>
            </w:r>
          </w:p>
          <w:p>
            <w:pPr>
              <w:pStyle w:val="TableParagraph"/>
              <w:spacing w:line="219" w:lineRule="exact" w:before="2"/>
              <w:ind w:left="170"/>
              <w:rPr>
                <w:sz w:val="20"/>
              </w:rPr>
            </w:pPr>
            <w:r>
              <w:rPr>
                <w:sz w:val="20"/>
              </w:rPr>
              <w:t>BEHAVIORAL HEALTH</w:t>
            </w:r>
          </w:p>
        </w:tc>
        <w:tc>
          <w:tcPr>
            <w:tcW w:w="630" w:type="dxa"/>
          </w:tcPr>
          <w:p>
            <w:pPr>
              <w:pStyle w:val="TableParagraph"/>
              <w:ind w:right="198"/>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MHS 635</w:t>
            </w:r>
          </w:p>
        </w:tc>
        <w:tc>
          <w:tcPr>
            <w:tcW w:w="3043" w:type="dxa"/>
          </w:tcPr>
          <w:p>
            <w:pPr>
              <w:pStyle w:val="TableParagraph"/>
              <w:spacing w:line="249" w:lineRule="auto"/>
              <w:ind w:left="170" w:right="553"/>
              <w:rPr>
                <w:sz w:val="20"/>
              </w:rPr>
            </w:pPr>
            <w:r>
              <w:rPr>
                <w:sz w:val="20"/>
              </w:rPr>
              <w:t>GRANT AND CONTRACT MANAGEMENT IN</w:t>
            </w:r>
          </w:p>
          <w:p>
            <w:pPr>
              <w:pStyle w:val="TableParagraph"/>
              <w:spacing w:line="219" w:lineRule="exact" w:before="2"/>
              <w:ind w:left="170"/>
              <w:rPr>
                <w:sz w:val="20"/>
              </w:rPr>
            </w:pPr>
            <w:r>
              <w:rPr>
                <w:sz w:val="20"/>
              </w:rPr>
              <w:t>RESEARCH</w:t>
            </w:r>
          </w:p>
        </w:tc>
        <w:tc>
          <w:tcPr>
            <w:tcW w:w="630" w:type="dxa"/>
          </w:tcPr>
          <w:p>
            <w:pPr>
              <w:pStyle w:val="TableParagraph"/>
              <w:ind w:right="198"/>
              <w:jc w:val="right"/>
              <w:rPr>
                <w:sz w:val="20"/>
              </w:rPr>
            </w:pPr>
            <w:r>
              <w:rPr>
                <w:w w:val="100"/>
                <w:sz w:val="20"/>
              </w:rPr>
              <w:t>3</w:t>
            </w:r>
          </w:p>
        </w:tc>
      </w:tr>
      <w:tr>
        <w:trPr>
          <w:trHeight w:val="480" w:hRule="atLeast"/>
        </w:trPr>
        <w:tc>
          <w:tcPr>
            <w:tcW w:w="1278" w:type="dxa"/>
          </w:tcPr>
          <w:p>
            <w:pPr>
              <w:pStyle w:val="TableParagraph"/>
              <w:ind w:left="200"/>
              <w:rPr>
                <w:sz w:val="20"/>
              </w:rPr>
            </w:pPr>
            <w:r>
              <w:rPr>
                <w:sz w:val="20"/>
              </w:rPr>
              <w:t>MHS 637</w:t>
            </w:r>
          </w:p>
        </w:tc>
        <w:tc>
          <w:tcPr>
            <w:tcW w:w="3043" w:type="dxa"/>
          </w:tcPr>
          <w:p>
            <w:pPr>
              <w:pStyle w:val="TableParagraph"/>
              <w:ind w:left="170"/>
              <w:rPr>
                <w:sz w:val="20"/>
              </w:rPr>
            </w:pPr>
            <w:r>
              <w:rPr>
                <w:sz w:val="20"/>
              </w:rPr>
              <w:t>WRITING PROPOSALS AND</w:t>
            </w:r>
          </w:p>
          <w:p>
            <w:pPr>
              <w:pStyle w:val="TableParagraph"/>
              <w:spacing w:line="219" w:lineRule="exact" w:before="10"/>
              <w:ind w:left="170"/>
              <w:rPr>
                <w:sz w:val="20"/>
              </w:rPr>
            </w:pPr>
            <w:r>
              <w:rPr>
                <w:sz w:val="20"/>
              </w:rPr>
              <w:t>GRANTS</w:t>
            </w:r>
          </w:p>
        </w:tc>
        <w:tc>
          <w:tcPr>
            <w:tcW w:w="630" w:type="dxa"/>
          </w:tcPr>
          <w:p>
            <w:pPr>
              <w:pStyle w:val="TableParagraph"/>
              <w:ind w:right="198"/>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MHS 639</w:t>
            </w:r>
          </w:p>
        </w:tc>
        <w:tc>
          <w:tcPr>
            <w:tcW w:w="3043" w:type="dxa"/>
          </w:tcPr>
          <w:p>
            <w:pPr>
              <w:pStyle w:val="TableParagraph"/>
              <w:spacing w:line="249" w:lineRule="auto"/>
              <w:ind w:left="170" w:right="469"/>
              <w:rPr>
                <w:sz w:val="20"/>
              </w:rPr>
            </w:pPr>
            <w:r>
              <w:rPr>
                <w:sz w:val="20"/>
              </w:rPr>
              <w:t>HEALTH IMPLICATIONS OF MASS VIOLENCE AND</w:t>
            </w:r>
          </w:p>
          <w:p>
            <w:pPr>
              <w:pStyle w:val="TableParagraph"/>
              <w:spacing w:line="219" w:lineRule="exact" w:before="2"/>
              <w:ind w:left="170"/>
              <w:rPr>
                <w:sz w:val="20"/>
              </w:rPr>
            </w:pPr>
            <w:r>
              <w:rPr>
                <w:sz w:val="20"/>
              </w:rPr>
              <w:t>DISASTER</w:t>
            </w:r>
          </w:p>
        </w:tc>
        <w:tc>
          <w:tcPr>
            <w:tcW w:w="630" w:type="dxa"/>
          </w:tcPr>
          <w:p>
            <w:pPr>
              <w:pStyle w:val="TableParagraph"/>
              <w:ind w:right="198"/>
              <w:jc w:val="right"/>
              <w:rPr>
                <w:sz w:val="20"/>
              </w:rPr>
            </w:pPr>
            <w:r>
              <w:rPr>
                <w:w w:val="100"/>
                <w:sz w:val="20"/>
              </w:rPr>
              <w:t>3</w:t>
            </w:r>
          </w:p>
        </w:tc>
      </w:tr>
      <w:tr>
        <w:trPr>
          <w:trHeight w:val="240" w:hRule="atLeast"/>
        </w:trPr>
        <w:tc>
          <w:tcPr>
            <w:tcW w:w="1278" w:type="dxa"/>
          </w:tcPr>
          <w:p>
            <w:pPr>
              <w:pStyle w:val="TableParagraph"/>
              <w:spacing w:line="219" w:lineRule="exact"/>
              <w:ind w:left="200"/>
              <w:rPr>
                <w:sz w:val="20"/>
              </w:rPr>
            </w:pPr>
            <w:r>
              <w:rPr>
                <w:sz w:val="20"/>
              </w:rPr>
              <w:t>MHS 640</w:t>
            </w:r>
          </w:p>
        </w:tc>
        <w:tc>
          <w:tcPr>
            <w:tcW w:w="3043" w:type="dxa"/>
          </w:tcPr>
          <w:p>
            <w:pPr>
              <w:pStyle w:val="TableParagraph"/>
              <w:spacing w:before="0"/>
              <w:rPr>
                <w:sz w:val="16"/>
              </w:rPr>
            </w:pPr>
          </w:p>
        </w:tc>
        <w:tc>
          <w:tcPr>
            <w:tcW w:w="630" w:type="dxa"/>
          </w:tcPr>
          <w:p>
            <w:pPr>
              <w:pStyle w:val="TableParagraph"/>
              <w:spacing w:line="219" w:lineRule="exact"/>
              <w:ind w:right="198"/>
              <w:jc w:val="right"/>
              <w:rPr>
                <w:sz w:val="20"/>
              </w:rPr>
            </w:pPr>
            <w:r>
              <w:rPr>
                <w:w w:val="100"/>
                <w:sz w:val="20"/>
              </w:rPr>
              <w:t>3</w:t>
            </w:r>
          </w:p>
        </w:tc>
      </w:tr>
      <w:tr>
        <w:trPr>
          <w:trHeight w:val="480" w:hRule="atLeast"/>
        </w:trPr>
        <w:tc>
          <w:tcPr>
            <w:tcW w:w="1278" w:type="dxa"/>
          </w:tcPr>
          <w:p>
            <w:pPr>
              <w:pStyle w:val="TableParagraph"/>
              <w:ind w:left="200"/>
              <w:rPr>
                <w:sz w:val="20"/>
              </w:rPr>
            </w:pPr>
            <w:r>
              <w:rPr>
                <w:sz w:val="20"/>
              </w:rPr>
              <w:t>MHS 652</w:t>
            </w:r>
          </w:p>
        </w:tc>
        <w:tc>
          <w:tcPr>
            <w:tcW w:w="3043" w:type="dxa"/>
          </w:tcPr>
          <w:p>
            <w:pPr>
              <w:pStyle w:val="TableParagraph"/>
              <w:ind w:left="170"/>
              <w:rPr>
                <w:sz w:val="20"/>
              </w:rPr>
            </w:pPr>
            <w:r>
              <w:rPr>
                <w:sz w:val="20"/>
              </w:rPr>
              <w:t>LEADERSHIP</w:t>
            </w:r>
            <w:r>
              <w:rPr>
                <w:spacing w:val="-2"/>
                <w:sz w:val="20"/>
              </w:rPr>
              <w:t> AND</w:t>
            </w:r>
          </w:p>
          <w:p>
            <w:pPr>
              <w:pStyle w:val="TableParagraph"/>
              <w:spacing w:line="219" w:lineRule="exact" w:before="10"/>
              <w:ind w:left="170"/>
              <w:rPr>
                <w:sz w:val="20"/>
              </w:rPr>
            </w:pPr>
            <w:r>
              <w:rPr>
                <w:sz w:val="20"/>
              </w:rPr>
              <w:t>COMMUNICATION</w:t>
            </w:r>
          </w:p>
        </w:tc>
        <w:tc>
          <w:tcPr>
            <w:tcW w:w="630" w:type="dxa"/>
          </w:tcPr>
          <w:p>
            <w:pPr>
              <w:pStyle w:val="TableParagraph"/>
              <w:ind w:right="198"/>
              <w:jc w:val="right"/>
              <w:rPr>
                <w:sz w:val="20"/>
              </w:rPr>
            </w:pPr>
            <w:r>
              <w:rPr>
                <w:w w:val="100"/>
                <w:sz w:val="20"/>
              </w:rPr>
              <w:t>3</w:t>
            </w:r>
          </w:p>
        </w:tc>
      </w:tr>
      <w:tr>
        <w:trPr>
          <w:trHeight w:val="720" w:hRule="atLeast"/>
        </w:trPr>
        <w:tc>
          <w:tcPr>
            <w:tcW w:w="1278" w:type="dxa"/>
          </w:tcPr>
          <w:p>
            <w:pPr>
              <w:pStyle w:val="TableParagraph"/>
              <w:ind w:left="200"/>
              <w:rPr>
                <w:sz w:val="20"/>
              </w:rPr>
            </w:pPr>
            <w:r>
              <w:rPr>
                <w:sz w:val="20"/>
              </w:rPr>
              <w:t>THAN 604</w:t>
            </w:r>
          </w:p>
        </w:tc>
        <w:tc>
          <w:tcPr>
            <w:tcW w:w="3043" w:type="dxa"/>
          </w:tcPr>
          <w:p>
            <w:pPr>
              <w:pStyle w:val="TableParagraph"/>
              <w:spacing w:line="249" w:lineRule="auto"/>
              <w:ind w:left="170" w:right="808"/>
              <w:rPr>
                <w:sz w:val="20"/>
              </w:rPr>
            </w:pPr>
            <w:r>
              <w:rPr>
                <w:sz w:val="20"/>
              </w:rPr>
              <w:t>DEATH AND DYING: ETHICAL AND LEGAL</w:t>
            </w:r>
          </w:p>
          <w:p>
            <w:pPr>
              <w:pStyle w:val="TableParagraph"/>
              <w:spacing w:line="219" w:lineRule="exact" w:before="2"/>
              <w:ind w:left="170"/>
              <w:rPr>
                <w:sz w:val="20"/>
              </w:rPr>
            </w:pPr>
            <w:r>
              <w:rPr>
                <w:sz w:val="20"/>
              </w:rPr>
              <w:t>CONSIDERATIONS</w:t>
            </w:r>
          </w:p>
        </w:tc>
        <w:tc>
          <w:tcPr>
            <w:tcW w:w="630" w:type="dxa"/>
          </w:tcPr>
          <w:p>
            <w:pPr>
              <w:pStyle w:val="TableParagraph"/>
              <w:ind w:right="198"/>
              <w:jc w:val="right"/>
              <w:rPr>
                <w:sz w:val="20"/>
              </w:rPr>
            </w:pPr>
            <w:r>
              <w:rPr>
                <w:w w:val="100"/>
                <w:sz w:val="20"/>
              </w:rPr>
              <w:t>3</w:t>
            </w:r>
          </w:p>
        </w:tc>
      </w:tr>
      <w:tr>
        <w:trPr>
          <w:trHeight w:val="240" w:hRule="atLeast"/>
        </w:trPr>
        <w:tc>
          <w:tcPr>
            <w:tcW w:w="1278" w:type="dxa"/>
          </w:tcPr>
          <w:p>
            <w:pPr>
              <w:pStyle w:val="TableParagraph"/>
              <w:spacing w:line="219" w:lineRule="exact"/>
              <w:ind w:left="200"/>
              <w:rPr>
                <w:sz w:val="20"/>
              </w:rPr>
            </w:pPr>
            <w:r>
              <w:rPr>
                <w:sz w:val="20"/>
              </w:rPr>
              <w:t>THAN 605</w:t>
            </w:r>
          </w:p>
        </w:tc>
        <w:tc>
          <w:tcPr>
            <w:tcW w:w="3043" w:type="dxa"/>
          </w:tcPr>
          <w:p>
            <w:pPr>
              <w:pStyle w:val="TableParagraph"/>
              <w:spacing w:line="219" w:lineRule="exact"/>
              <w:ind w:left="170"/>
              <w:rPr>
                <w:sz w:val="20"/>
              </w:rPr>
            </w:pPr>
            <w:r>
              <w:rPr>
                <w:sz w:val="20"/>
              </w:rPr>
              <w:t>PALLIATIVE CARE</w:t>
            </w:r>
          </w:p>
        </w:tc>
        <w:tc>
          <w:tcPr>
            <w:tcW w:w="630" w:type="dxa"/>
          </w:tcPr>
          <w:p>
            <w:pPr>
              <w:pStyle w:val="TableParagraph"/>
              <w:spacing w:line="219" w:lineRule="exact"/>
              <w:ind w:right="198"/>
              <w:jc w:val="right"/>
              <w:rPr>
                <w:sz w:val="20"/>
              </w:rPr>
            </w:pPr>
            <w:r>
              <w:rPr>
                <w:w w:val="100"/>
                <w:sz w:val="20"/>
              </w:rPr>
              <w:t>3</w:t>
            </w:r>
          </w:p>
        </w:tc>
      </w:tr>
      <w:tr>
        <w:trPr>
          <w:trHeight w:val="480" w:hRule="atLeast"/>
        </w:trPr>
        <w:tc>
          <w:tcPr>
            <w:tcW w:w="1278" w:type="dxa"/>
          </w:tcPr>
          <w:p>
            <w:pPr>
              <w:pStyle w:val="TableParagraph"/>
              <w:ind w:left="200"/>
              <w:rPr>
                <w:sz w:val="20"/>
              </w:rPr>
            </w:pPr>
            <w:r>
              <w:rPr>
                <w:sz w:val="20"/>
              </w:rPr>
              <w:t>THAN 606</w:t>
            </w:r>
          </w:p>
        </w:tc>
        <w:tc>
          <w:tcPr>
            <w:tcW w:w="3043" w:type="dxa"/>
          </w:tcPr>
          <w:p>
            <w:pPr>
              <w:pStyle w:val="TableParagraph"/>
              <w:ind w:left="170"/>
              <w:rPr>
                <w:sz w:val="20"/>
              </w:rPr>
            </w:pPr>
            <w:r>
              <w:rPr>
                <w:sz w:val="20"/>
              </w:rPr>
              <w:t>CARING FOR THE</w:t>
            </w:r>
          </w:p>
          <w:p>
            <w:pPr>
              <w:pStyle w:val="TableParagraph"/>
              <w:spacing w:line="219" w:lineRule="exact" w:before="10"/>
              <w:ind w:left="170"/>
              <w:rPr>
                <w:sz w:val="20"/>
              </w:rPr>
            </w:pPr>
            <w:r>
              <w:rPr>
                <w:sz w:val="20"/>
              </w:rPr>
              <w:t>BEREAVED</w:t>
            </w:r>
          </w:p>
        </w:tc>
        <w:tc>
          <w:tcPr>
            <w:tcW w:w="630" w:type="dxa"/>
          </w:tcPr>
          <w:p>
            <w:pPr>
              <w:pStyle w:val="TableParagraph"/>
              <w:ind w:right="198"/>
              <w:jc w:val="right"/>
              <w:rPr>
                <w:sz w:val="20"/>
              </w:rPr>
            </w:pPr>
            <w:r>
              <w:rPr>
                <w:w w:val="100"/>
                <w:sz w:val="20"/>
              </w:rPr>
              <w:t>3</w:t>
            </w:r>
          </w:p>
        </w:tc>
      </w:tr>
      <w:tr>
        <w:trPr>
          <w:trHeight w:val="231" w:hRule="atLeast"/>
        </w:trPr>
        <w:tc>
          <w:tcPr>
            <w:tcW w:w="1278" w:type="dxa"/>
          </w:tcPr>
          <w:p>
            <w:pPr>
              <w:pStyle w:val="TableParagraph"/>
              <w:spacing w:line="210" w:lineRule="exact"/>
              <w:ind w:left="200"/>
              <w:rPr>
                <w:sz w:val="20"/>
              </w:rPr>
            </w:pPr>
            <w:r>
              <w:rPr>
                <w:sz w:val="20"/>
              </w:rPr>
              <w:t>THAN 609</w:t>
            </w:r>
          </w:p>
        </w:tc>
        <w:tc>
          <w:tcPr>
            <w:tcW w:w="3043" w:type="dxa"/>
          </w:tcPr>
          <w:p>
            <w:pPr>
              <w:pStyle w:val="TableParagraph"/>
              <w:spacing w:line="210" w:lineRule="exact"/>
              <w:ind w:left="170"/>
              <w:rPr>
                <w:sz w:val="20"/>
              </w:rPr>
            </w:pPr>
            <w:r>
              <w:rPr>
                <w:sz w:val="20"/>
              </w:rPr>
              <w:t>PERSPECTIVES IN AGING</w:t>
            </w:r>
          </w:p>
        </w:tc>
        <w:tc>
          <w:tcPr>
            <w:tcW w:w="630" w:type="dxa"/>
          </w:tcPr>
          <w:p>
            <w:pPr>
              <w:pStyle w:val="TableParagraph"/>
              <w:spacing w:line="210" w:lineRule="exact"/>
              <w:ind w:right="198"/>
              <w:jc w:val="right"/>
              <w:rPr>
                <w:sz w:val="20"/>
              </w:rPr>
            </w:pPr>
            <w:r>
              <w:rPr>
                <w:w w:val="100"/>
                <w:sz w:val="20"/>
              </w:rPr>
              <w:t>3</w:t>
            </w:r>
          </w:p>
        </w:tc>
      </w:tr>
    </w:tbl>
    <w:p>
      <w:pPr>
        <w:pStyle w:val="Heading5"/>
        <w:spacing w:before="178"/>
        <w:ind w:left="105"/>
      </w:pPr>
      <w:r>
        <w:rPr/>
        <w:t>User Experience (UX) Concentration/PBC</w:t>
      </w:r>
    </w:p>
    <w:p>
      <w:pPr>
        <w:pStyle w:val="BodyText"/>
        <w:spacing w:before="190"/>
        <w:ind w:left="105"/>
      </w:pPr>
      <w:r>
        <w:rPr/>
        <w:t>Courses at the University of Baltimore:</w:t>
      </w:r>
    </w:p>
    <w:p>
      <w:pPr>
        <w:spacing w:after="0"/>
        <w:sectPr>
          <w:pgSz w:w="12240" w:h="15840"/>
          <w:pgMar w:header="746" w:footer="0" w:top="1320" w:bottom="280" w:left="880" w:right="300"/>
          <w:cols w:num="2" w:equalWidth="0">
            <w:col w:w="5097" w:space="484"/>
            <w:col w:w="5479"/>
          </w:cols>
        </w:sectPr>
      </w:pPr>
    </w:p>
    <w:tbl>
      <w:tblPr>
        <w:tblW w:w="0" w:type="auto"/>
        <w:jc w:val="left"/>
        <w:tblInd w:w="5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0"/>
        <w:gridCol w:w="2919"/>
        <w:gridCol w:w="802"/>
      </w:tblGrid>
      <w:tr>
        <w:trPr>
          <w:trHeight w:val="471" w:hRule="atLeast"/>
        </w:trPr>
        <w:tc>
          <w:tcPr>
            <w:tcW w:w="1230" w:type="dxa"/>
          </w:tcPr>
          <w:p>
            <w:pPr>
              <w:pStyle w:val="TableParagraph"/>
              <w:spacing w:line="223" w:lineRule="exact" w:before="0"/>
              <w:ind w:left="145" w:right="147"/>
              <w:jc w:val="center"/>
              <w:rPr>
                <w:sz w:val="20"/>
              </w:rPr>
            </w:pPr>
            <w:r>
              <w:rPr>
                <w:sz w:val="20"/>
              </w:rPr>
              <w:t>IDIA 612</w:t>
            </w:r>
          </w:p>
        </w:tc>
        <w:tc>
          <w:tcPr>
            <w:tcW w:w="2919" w:type="dxa"/>
          </w:tcPr>
          <w:p>
            <w:pPr>
              <w:pStyle w:val="TableParagraph"/>
              <w:spacing w:line="223" w:lineRule="exact" w:before="0"/>
              <w:ind w:left="203"/>
              <w:rPr>
                <w:sz w:val="20"/>
              </w:rPr>
            </w:pPr>
            <w:r>
              <w:rPr>
                <w:sz w:val="20"/>
              </w:rPr>
              <w:t>INTERACTION AND</w:t>
            </w:r>
          </w:p>
          <w:p>
            <w:pPr>
              <w:pStyle w:val="TableParagraph"/>
              <w:spacing w:line="219" w:lineRule="exact" w:before="10"/>
              <w:ind w:left="203"/>
              <w:rPr>
                <w:sz w:val="20"/>
              </w:rPr>
            </w:pPr>
            <w:r>
              <w:rPr>
                <w:sz w:val="20"/>
              </w:rPr>
              <w:t>INTERFACE DESIGN</w:t>
            </w:r>
          </w:p>
        </w:tc>
        <w:tc>
          <w:tcPr>
            <w:tcW w:w="802" w:type="dxa"/>
          </w:tcPr>
          <w:p>
            <w:pPr>
              <w:pStyle w:val="TableParagraph"/>
              <w:spacing w:line="223" w:lineRule="exact" w:before="0"/>
              <w:ind w:right="198"/>
              <w:jc w:val="right"/>
              <w:rPr>
                <w:sz w:val="20"/>
              </w:rPr>
            </w:pPr>
            <w:r>
              <w:rPr>
                <w:w w:val="100"/>
                <w:sz w:val="20"/>
              </w:rPr>
              <w:t>3</w:t>
            </w:r>
          </w:p>
        </w:tc>
      </w:tr>
      <w:tr>
        <w:trPr>
          <w:trHeight w:val="480" w:hRule="atLeast"/>
        </w:trPr>
        <w:tc>
          <w:tcPr>
            <w:tcW w:w="1230" w:type="dxa"/>
          </w:tcPr>
          <w:p>
            <w:pPr>
              <w:pStyle w:val="TableParagraph"/>
              <w:ind w:left="145" w:right="147"/>
              <w:jc w:val="center"/>
              <w:rPr>
                <w:sz w:val="20"/>
              </w:rPr>
            </w:pPr>
            <w:r>
              <w:rPr>
                <w:sz w:val="20"/>
              </w:rPr>
              <w:t>IDIA 630</w:t>
            </w:r>
          </w:p>
        </w:tc>
        <w:tc>
          <w:tcPr>
            <w:tcW w:w="2919" w:type="dxa"/>
          </w:tcPr>
          <w:p>
            <w:pPr>
              <w:pStyle w:val="TableParagraph"/>
              <w:ind w:left="203"/>
              <w:rPr>
                <w:sz w:val="20"/>
              </w:rPr>
            </w:pPr>
            <w:r>
              <w:rPr>
                <w:sz w:val="20"/>
              </w:rPr>
              <w:t>INFORMATION</w:t>
            </w:r>
          </w:p>
          <w:p>
            <w:pPr>
              <w:pStyle w:val="TableParagraph"/>
              <w:spacing w:line="219" w:lineRule="exact" w:before="10"/>
              <w:ind w:left="203"/>
              <w:rPr>
                <w:sz w:val="20"/>
              </w:rPr>
            </w:pPr>
            <w:r>
              <w:rPr>
                <w:sz w:val="20"/>
              </w:rPr>
              <w:t>ARCHITECTURE</w:t>
            </w:r>
          </w:p>
        </w:tc>
        <w:tc>
          <w:tcPr>
            <w:tcW w:w="802" w:type="dxa"/>
          </w:tcPr>
          <w:p>
            <w:pPr>
              <w:pStyle w:val="TableParagraph"/>
              <w:ind w:right="198"/>
              <w:jc w:val="right"/>
              <w:rPr>
                <w:sz w:val="20"/>
              </w:rPr>
            </w:pPr>
            <w:r>
              <w:rPr>
                <w:w w:val="100"/>
                <w:sz w:val="20"/>
              </w:rPr>
              <w:t>3</w:t>
            </w:r>
          </w:p>
        </w:tc>
      </w:tr>
      <w:tr>
        <w:trPr>
          <w:trHeight w:val="231" w:hRule="atLeast"/>
        </w:trPr>
        <w:tc>
          <w:tcPr>
            <w:tcW w:w="1230" w:type="dxa"/>
          </w:tcPr>
          <w:p>
            <w:pPr>
              <w:pStyle w:val="TableParagraph"/>
              <w:spacing w:line="210" w:lineRule="exact"/>
              <w:ind w:left="145" w:right="147"/>
              <w:jc w:val="center"/>
              <w:rPr>
                <w:sz w:val="20"/>
              </w:rPr>
            </w:pPr>
            <w:r>
              <w:rPr>
                <w:sz w:val="20"/>
              </w:rPr>
              <w:t>IDIA 640</w:t>
            </w:r>
          </w:p>
        </w:tc>
        <w:tc>
          <w:tcPr>
            <w:tcW w:w="2919" w:type="dxa"/>
          </w:tcPr>
          <w:p>
            <w:pPr>
              <w:pStyle w:val="TableParagraph"/>
              <w:spacing w:line="210" w:lineRule="exact"/>
              <w:ind w:left="203"/>
              <w:rPr>
                <w:sz w:val="20"/>
              </w:rPr>
            </w:pPr>
            <w:r>
              <w:rPr>
                <w:sz w:val="20"/>
              </w:rPr>
              <w:t>HUMANS, COMPUTERS,</w:t>
            </w:r>
          </w:p>
        </w:tc>
        <w:tc>
          <w:tcPr>
            <w:tcW w:w="802" w:type="dxa"/>
          </w:tcPr>
          <w:p>
            <w:pPr>
              <w:pStyle w:val="TableParagraph"/>
              <w:spacing w:line="210" w:lineRule="exact"/>
              <w:ind w:right="198"/>
              <w:jc w:val="right"/>
              <w:rPr>
                <w:sz w:val="20"/>
              </w:rPr>
            </w:pPr>
            <w:r>
              <w:rPr>
                <w:w w:val="100"/>
                <w:sz w:val="20"/>
              </w:rPr>
              <w:t>3</w:t>
            </w:r>
          </w:p>
        </w:tc>
      </w:tr>
    </w:tbl>
    <w:p>
      <w:pPr>
        <w:spacing w:after="0" w:line="210" w:lineRule="exact"/>
        <w:jc w:val="right"/>
        <w:rPr>
          <w:sz w:val="20"/>
        </w:rPr>
        <w:sectPr>
          <w:type w:val="continuous"/>
          <w:pgSz w:w="12240" w:h="15840"/>
          <w:pgMar w:top="1500" w:bottom="280" w:left="880" w:right="300"/>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0"/>
        <w:gridCol w:w="2842"/>
        <w:gridCol w:w="880"/>
      </w:tblGrid>
      <w:tr>
        <w:trPr>
          <w:trHeight w:val="231" w:hRule="atLeast"/>
        </w:trPr>
        <w:tc>
          <w:tcPr>
            <w:tcW w:w="1230" w:type="dxa"/>
          </w:tcPr>
          <w:p>
            <w:pPr>
              <w:pStyle w:val="TableParagraph"/>
              <w:spacing w:before="0"/>
              <w:rPr>
                <w:sz w:val="16"/>
              </w:rPr>
            </w:pPr>
          </w:p>
        </w:tc>
        <w:tc>
          <w:tcPr>
            <w:tcW w:w="2842" w:type="dxa"/>
          </w:tcPr>
          <w:p>
            <w:pPr>
              <w:pStyle w:val="TableParagraph"/>
              <w:spacing w:line="212" w:lineRule="exact" w:before="0"/>
              <w:ind w:left="203"/>
              <w:rPr>
                <w:sz w:val="20"/>
              </w:rPr>
            </w:pPr>
            <w:r>
              <w:rPr>
                <w:sz w:val="20"/>
              </w:rPr>
              <w:t>AND COGNITION</w:t>
            </w:r>
          </w:p>
        </w:tc>
        <w:tc>
          <w:tcPr>
            <w:tcW w:w="880" w:type="dxa"/>
          </w:tcPr>
          <w:p>
            <w:pPr>
              <w:pStyle w:val="TableParagraph"/>
              <w:spacing w:before="0"/>
              <w:rPr>
                <w:sz w:val="16"/>
              </w:rPr>
            </w:pPr>
          </w:p>
        </w:tc>
      </w:tr>
      <w:tr>
        <w:trPr>
          <w:trHeight w:val="471" w:hRule="atLeast"/>
        </w:trPr>
        <w:tc>
          <w:tcPr>
            <w:tcW w:w="1230" w:type="dxa"/>
          </w:tcPr>
          <w:p>
            <w:pPr>
              <w:pStyle w:val="TableParagraph"/>
              <w:ind w:left="200"/>
              <w:rPr>
                <w:sz w:val="20"/>
              </w:rPr>
            </w:pPr>
            <w:r>
              <w:rPr>
                <w:sz w:val="20"/>
              </w:rPr>
              <w:t>IDIA 642</w:t>
            </w:r>
          </w:p>
        </w:tc>
        <w:tc>
          <w:tcPr>
            <w:tcW w:w="2842" w:type="dxa"/>
          </w:tcPr>
          <w:p>
            <w:pPr>
              <w:pStyle w:val="TableParagraph"/>
              <w:ind w:left="203"/>
              <w:rPr>
                <w:sz w:val="20"/>
              </w:rPr>
            </w:pPr>
            <w:r>
              <w:rPr>
                <w:sz w:val="20"/>
              </w:rPr>
              <w:t>USER EXPERIENCE</w:t>
            </w:r>
          </w:p>
          <w:p>
            <w:pPr>
              <w:pStyle w:val="TableParagraph"/>
              <w:spacing w:line="210" w:lineRule="exact" w:before="10"/>
              <w:ind w:left="203"/>
              <w:rPr>
                <w:sz w:val="20"/>
              </w:rPr>
            </w:pPr>
            <w:r>
              <w:rPr>
                <w:sz w:val="20"/>
              </w:rPr>
              <w:t>RESEARCH METHODS</w:t>
            </w:r>
          </w:p>
        </w:tc>
        <w:tc>
          <w:tcPr>
            <w:tcW w:w="880" w:type="dxa"/>
          </w:tcPr>
          <w:p>
            <w:pPr>
              <w:pStyle w:val="TableParagraph"/>
              <w:ind w:left="577"/>
              <w:rPr>
                <w:sz w:val="20"/>
              </w:rPr>
            </w:pPr>
            <w:r>
              <w:rPr>
                <w:w w:val="100"/>
                <w:sz w:val="20"/>
              </w:rPr>
              <w:t>3</w:t>
            </w:r>
          </w:p>
        </w:tc>
      </w:tr>
    </w:tbl>
    <w:p>
      <w:pPr>
        <w:spacing w:line="249" w:lineRule="auto" w:before="67"/>
        <w:ind w:left="200" w:right="6151" w:firstLine="0"/>
        <w:jc w:val="left"/>
        <w:rPr>
          <w:i/>
          <w:sz w:val="20"/>
        </w:rPr>
      </w:pPr>
      <w:r>
        <w:rPr>
          <w:i/>
          <w:sz w:val="20"/>
        </w:rPr>
        <w:t>Note: Individuals must successfully complete the UX </w:t>
      </w:r>
      <w:r>
        <w:rPr>
          <w:i/>
          <w:sz w:val="20"/>
        </w:rPr>
        <w:t>certificate program at UB prior to gaining entry to the MS in Health and Social Innovation at UMB.</w:t>
      </w:r>
    </w:p>
    <w:p>
      <w:pPr>
        <w:pStyle w:val="Heading5"/>
        <w:spacing w:before="175"/>
      </w:pPr>
      <w:r>
        <w:rPr/>
        <w:t>Biomedical Entrepreneurship/PBC</w:t>
      </w:r>
    </w:p>
    <w:p>
      <w:pPr>
        <w:pStyle w:val="BodyText"/>
        <w:spacing w:line="249" w:lineRule="auto" w:before="186" w:after="9"/>
        <w:ind w:right="6163"/>
      </w:pPr>
      <w:r>
        <w:rPr/>
        <w:t>Students who select this concentration will choose four courses from this list:</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2964"/>
        <w:gridCol w:w="702"/>
      </w:tblGrid>
      <w:tr>
        <w:trPr>
          <w:trHeight w:val="951" w:hRule="atLeast"/>
        </w:trPr>
        <w:tc>
          <w:tcPr>
            <w:tcW w:w="1285" w:type="dxa"/>
          </w:tcPr>
          <w:p>
            <w:pPr>
              <w:pStyle w:val="TableParagraph"/>
              <w:spacing w:line="223" w:lineRule="exact" w:before="0"/>
              <w:ind w:left="200"/>
              <w:rPr>
                <w:sz w:val="20"/>
              </w:rPr>
            </w:pPr>
            <w:r>
              <w:rPr>
                <w:sz w:val="20"/>
              </w:rPr>
              <w:t>GPILS 791</w:t>
            </w:r>
          </w:p>
        </w:tc>
        <w:tc>
          <w:tcPr>
            <w:tcW w:w="2964" w:type="dxa"/>
          </w:tcPr>
          <w:p>
            <w:pPr>
              <w:pStyle w:val="TableParagraph"/>
              <w:spacing w:line="249" w:lineRule="auto" w:before="0"/>
              <w:ind w:left="124" w:right="1080"/>
              <w:rPr>
                <w:sz w:val="20"/>
              </w:rPr>
            </w:pPr>
            <w:r>
              <w:rPr>
                <w:sz w:val="20"/>
              </w:rPr>
              <w:t>FROM BENCH TO BEDSIDE:STEPS IN TRANSLATIONAL</w:t>
            </w:r>
          </w:p>
          <w:p>
            <w:pPr>
              <w:pStyle w:val="TableParagraph"/>
              <w:spacing w:line="219" w:lineRule="exact" w:before="0"/>
              <w:ind w:left="124"/>
              <w:rPr>
                <w:sz w:val="20"/>
              </w:rPr>
            </w:pPr>
            <w:r>
              <w:rPr>
                <w:sz w:val="20"/>
              </w:rPr>
              <w:t>RESEARCH</w:t>
            </w:r>
          </w:p>
        </w:tc>
        <w:tc>
          <w:tcPr>
            <w:tcW w:w="702" w:type="dxa"/>
          </w:tcPr>
          <w:p>
            <w:pPr>
              <w:pStyle w:val="TableParagraph"/>
              <w:spacing w:line="223" w:lineRule="exact" w:before="0"/>
              <w:ind w:right="198"/>
              <w:jc w:val="right"/>
              <w:rPr>
                <w:sz w:val="20"/>
              </w:rPr>
            </w:pPr>
            <w:r>
              <w:rPr>
                <w:w w:val="100"/>
                <w:sz w:val="20"/>
              </w:rPr>
              <w:t>3</w:t>
            </w:r>
          </w:p>
        </w:tc>
      </w:tr>
      <w:tr>
        <w:trPr>
          <w:trHeight w:val="240" w:hRule="atLeast"/>
        </w:trPr>
        <w:tc>
          <w:tcPr>
            <w:tcW w:w="1285" w:type="dxa"/>
          </w:tcPr>
          <w:p>
            <w:pPr>
              <w:pStyle w:val="TableParagraph"/>
              <w:spacing w:line="219" w:lineRule="exact"/>
              <w:ind w:left="200"/>
              <w:rPr>
                <w:sz w:val="20"/>
              </w:rPr>
            </w:pPr>
            <w:r>
              <w:rPr>
                <w:sz w:val="20"/>
              </w:rPr>
              <w:t>MHS 640</w:t>
            </w:r>
          </w:p>
        </w:tc>
        <w:tc>
          <w:tcPr>
            <w:tcW w:w="2964" w:type="dxa"/>
          </w:tcPr>
          <w:p>
            <w:pPr>
              <w:pStyle w:val="TableParagraph"/>
              <w:spacing w:line="219" w:lineRule="exact"/>
              <w:ind w:left="124"/>
              <w:rPr>
                <w:sz w:val="20"/>
              </w:rPr>
            </w:pPr>
            <w:r>
              <w:rPr>
                <w:sz w:val="20"/>
              </w:rPr>
              <w:t>TECHNOLOGY TRANSFER</w:t>
            </w:r>
          </w:p>
        </w:tc>
        <w:tc>
          <w:tcPr>
            <w:tcW w:w="702" w:type="dxa"/>
          </w:tcPr>
          <w:p>
            <w:pPr>
              <w:pStyle w:val="TableParagraph"/>
              <w:spacing w:line="219" w:lineRule="exact"/>
              <w:ind w:right="198"/>
              <w:jc w:val="right"/>
              <w:rPr>
                <w:sz w:val="20"/>
              </w:rPr>
            </w:pPr>
            <w:r>
              <w:rPr>
                <w:w w:val="100"/>
                <w:sz w:val="20"/>
              </w:rPr>
              <w:t>3</w:t>
            </w:r>
          </w:p>
        </w:tc>
      </w:tr>
      <w:tr>
        <w:trPr>
          <w:trHeight w:val="480" w:hRule="atLeast"/>
        </w:trPr>
        <w:tc>
          <w:tcPr>
            <w:tcW w:w="1285" w:type="dxa"/>
          </w:tcPr>
          <w:p>
            <w:pPr>
              <w:pStyle w:val="TableParagraph"/>
              <w:ind w:left="200"/>
              <w:rPr>
                <w:sz w:val="20"/>
              </w:rPr>
            </w:pPr>
            <w:r>
              <w:rPr>
                <w:sz w:val="20"/>
              </w:rPr>
              <w:t>INNO 630</w:t>
            </w:r>
          </w:p>
        </w:tc>
        <w:tc>
          <w:tcPr>
            <w:tcW w:w="2964" w:type="dxa"/>
          </w:tcPr>
          <w:p>
            <w:pPr>
              <w:pStyle w:val="TableParagraph"/>
              <w:ind w:left="124"/>
              <w:rPr>
                <w:sz w:val="20"/>
              </w:rPr>
            </w:pPr>
            <w:r>
              <w:rPr>
                <w:sz w:val="20"/>
              </w:rPr>
              <w:t>MARKET RESEARCH AND</w:t>
            </w:r>
          </w:p>
          <w:p>
            <w:pPr>
              <w:pStyle w:val="TableParagraph"/>
              <w:spacing w:line="219" w:lineRule="exact" w:before="10"/>
              <w:ind w:left="124"/>
              <w:rPr>
                <w:sz w:val="20"/>
              </w:rPr>
            </w:pPr>
            <w:r>
              <w:rPr>
                <w:sz w:val="20"/>
              </w:rPr>
              <w:t>VALUE PROPOSITION</w:t>
            </w:r>
          </w:p>
        </w:tc>
        <w:tc>
          <w:tcPr>
            <w:tcW w:w="702" w:type="dxa"/>
          </w:tcPr>
          <w:p>
            <w:pPr>
              <w:pStyle w:val="TableParagraph"/>
              <w:ind w:right="198"/>
              <w:jc w:val="right"/>
              <w:rPr>
                <w:sz w:val="20"/>
              </w:rPr>
            </w:pPr>
            <w:r>
              <w:rPr>
                <w:w w:val="100"/>
                <w:sz w:val="20"/>
              </w:rPr>
              <w:t>3</w:t>
            </w:r>
          </w:p>
        </w:tc>
      </w:tr>
      <w:tr>
        <w:trPr>
          <w:trHeight w:val="480" w:hRule="atLeast"/>
        </w:trPr>
        <w:tc>
          <w:tcPr>
            <w:tcW w:w="1285" w:type="dxa"/>
          </w:tcPr>
          <w:p>
            <w:pPr>
              <w:pStyle w:val="TableParagraph"/>
              <w:ind w:left="200"/>
              <w:rPr>
                <w:sz w:val="20"/>
              </w:rPr>
            </w:pPr>
            <w:r>
              <w:rPr>
                <w:sz w:val="20"/>
              </w:rPr>
              <w:t>INNO 632</w:t>
            </w:r>
          </w:p>
        </w:tc>
        <w:tc>
          <w:tcPr>
            <w:tcW w:w="2964" w:type="dxa"/>
          </w:tcPr>
          <w:p>
            <w:pPr>
              <w:pStyle w:val="TableParagraph"/>
              <w:ind w:left="124"/>
              <w:rPr>
                <w:sz w:val="20"/>
              </w:rPr>
            </w:pPr>
            <w:r>
              <w:rPr>
                <w:sz w:val="20"/>
              </w:rPr>
              <w:t>CASE STUDIES IN NEW</w:t>
            </w:r>
          </w:p>
          <w:p>
            <w:pPr>
              <w:pStyle w:val="TableParagraph"/>
              <w:spacing w:line="219" w:lineRule="exact" w:before="10"/>
              <w:ind w:left="124"/>
              <w:rPr>
                <w:sz w:val="20"/>
              </w:rPr>
            </w:pPr>
            <w:r>
              <w:rPr>
                <w:sz w:val="20"/>
              </w:rPr>
              <w:t>VENTURE CREATION</w:t>
            </w:r>
          </w:p>
        </w:tc>
        <w:tc>
          <w:tcPr>
            <w:tcW w:w="702" w:type="dxa"/>
          </w:tcPr>
          <w:p>
            <w:pPr>
              <w:pStyle w:val="TableParagraph"/>
              <w:ind w:right="198"/>
              <w:jc w:val="right"/>
              <w:rPr>
                <w:sz w:val="20"/>
              </w:rPr>
            </w:pPr>
            <w:r>
              <w:rPr>
                <w:w w:val="100"/>
                <w:sz w:val="20"/>
              </w:rPr>
              <w:t>3</w:t>
            </w:r>
          </w:p>
        </w:tc>
      </w:tr>
      <w:tr>
        <w:trPr>
          <w:trHeight w:val="711" w:hRule="atLeast"/>
        </w:trPr>
        <w:tc>
          <w:tcPr>
            <w:tcW w:w="1285" w:type="dxa"/>
          </w:tcPr>
          <w:p>
            <w:pPr>
              <w:pStyle w:val="TableParagraph"/>
              <w:ind w:left="200"/>
              <w:rPr>
                <w:sz w:val="20"/>
              </w:rPr>
            </w:pPr>
            <w:r>
              <w:rPr>
                <w:sz w:val="20"/>
              </w:rPr>
              <w:t>INNO 634</w:t>
            </w:r>
          </w:p>
        </w:tc>
        <w:tc>
          <w:tcPr>
            <w:tcW w:w="2964" w:type="dxa"/>
          </w:tcPr>
          <w:p>
            <w:pPr>
              <w:pStyle w:val="TableParagraph"/>
              <w:spacing w:line="249" w:lineRule="auto"/>
              <w:ind w:left="124" w:right="1392"/>
              <w:rPr>
                <w:sz w:val="20"/>
              </w:rPr>
            </w:pPr>
            <w:r>
              <w:rPr>
                <w:sz w:val="20"/>
              </w:rPr>
              <w:t>PRACTICUM IN BIOMEDICAL</w:t>
            </w:r>
          </w:p>
          <w:p>
            <w:pPr>
              <w:pStyle w:val="TableParagraph"/>
              <w:spacing w:line="210" w:lineRule="exact" w:before="2"/>
              <w:ind w:left="124"/>
              <w:rPr>
                <w:sz w:val="20"/>
              </w:rPr>
            </w:pPr>
            <w:r>
              <w:rPr>
                <w:sz w:val="20"/>
              </w:rPr>
              <w:t>ENTREPRENEURSHIP</w:t>
            </w:r>
          </w:p>
        </w:tc>
        <w:tc>
          <w:tcPr>
            <w:tcW w:w="702" w:type="dxa"/>
          </w:tcPr>
          <w:p>
            <w:pPr>
              <w:pStyle w:val="TableParagraph"/>
              <w:ind w:right="198"/>
              <w:jc w:val="right"/>
              <w:rPr>
                <w:sz w:val="20"/>
              </w:rPr>
            </w:pPr>
            <w:r>
              <w:rPr>
                <w:w w:val="100"/>
                <w:sz w:val="20"/>
              </w:rPr>
              <w:t>3</w:t>
            </w:r>
          </w:p>
        </w:tc>
      </w:tr>
    </w:tbl>
    <w:p>
      <w:pPr>
        <w:pStyle w:val="BodyText"/>
        <w:spacing w:line="249" w:lineRule="auto" w:before="192"/>
        <w:ind w:right="6391"/>
      </w:pPr>
      <w:r>
        <w:rPr/>
        <w:t>Details are given in the Course Descriptions part of this catalog.</w:t>
      </w:r>
    </w:p>
    <w:p>
      <w:pPr>
        <w:spacing w:after="0" w:line="249" w:lineRule="auto"/>
        <w:sectPr>
          <w:pgSz w:w="12240" w:h="15840"/>
          <w:pgMar w:header="746" w:footer="0" w:top="1320" w:bottom="280" w:left="880" w:right="300"/>
        </w:sectPr>
      </w:pPr>
    </w:p>
    <w:p>
      <w:pPr>
        <w:pStyle w:val="Heading3"/>
      </w:pPr>
      <w:bookmarkStart w:name="Health Professions Education" w:id="51"/>
      <w:bookmarkEnd w:id="51"/>
      <w:r>
        <w:rPr/>
      </w:r>
      <w:bookmarkStart w:name="_bookmark25" w:id="52"/>
      <w:bookmarkEnd w:id="52"/>
      <w:r>
        <w:rPr/>
      </w:r>
      <w:r>
        <w:rPr/>
        <w:t>Health Professions Education</w:t>
      </w:r>
    </w:p>
    <w:p>
      <w:pPr>
        <w:pStyle w:val="BodyText"/>
        <w:spacing w:before="190"/>
      </w:pPr>
      <w:hyperlink r:id="rId60">
        <w:r>
          <w:rPr>
            <w:color w:val="0000FF"/>
            <w:u w:val="single" w:color="0000FF"/>
          </w:rPr>
          <w:t>https://graduate.umaryland.edu/healthprofessionsed/</w:t>
        </w:r>
      </w:hyperlink>
    </w:p>
    <w:p>
      <w:pPr>
        <w:pStyle w:val="Heading6"/>
        <w:spacing w:before="192"/>
      </w:pPr>
      <w:r>
        <w:rPr/>
        <w:t>Degree Offered</w:t>
      </w:r>
    </w:p>
    <w:p>
      <w:pPr>
        <w:pStyle w:val="BodyText"/>
        <w:spacing w:before="188"/>
      </w:pPr>
      <w:r>
        <w:rPr/>
        <w:t>PhD</w:t>
      </w:r>
    </w:p>
    <w:p>
      <w:pPr>
        <w:pStyle w:val="Heading6"/>
        <w:spacing w:before="192"/>
      </w:pPr>
      <w:r>
        <w:rPr/>
        <w:t>Program Description</w:t>
      </w:r>
    </w:p>
    <w:p>
      <w:pPr>
        <w:pStyle w:val="BodyText"/>
        <w:spacing w:line="249" w:lineRule="auto" w:before="188"/>
        <w:ind w:left="199" w:right="38"/>
      </w:pPr>
      <w:r>
        <w:rPr/>
        <w:t>Health professions education (HPE) is critical to the task </w:t>
      </w:r>
      <w:r>
        <w:rPr>
          <w:spacing w:val="-5"/>
        </w:rPr>
        <w:t>of </w:t>
      </w:r>
      <w:r>
        <w:rPr/>
        <w:t>meeting the healthcare needs </w:t>
      </w:r>
      <w:r>
        <w:rPr>
          <w:spacing w:val="-3"/>
        </w:rPr>
        <w:t>of </w:t>
      </w:r>
      <w:r>
        <w:rPr/>
        <w:t>communities. </w:t>
      </w:r>
      <w:r>
        <w:rPr>
          <w:spacing w:val="-3"/>
        </w:rPr>
        <w:t>Few </w:t>
      </w:r>
      <w:r>
        <w:rPr/>
        <w:t>healthcare professionals and faculty are formally prepared in consuming and applying evidence </w:t>
      </w:r>
      <w:r>
        <w:rPr>
          <w:spacing w:val="-3"/>
        </w:rPr>
        <w:t>on </w:t>
      </w:r>
      <w:r>
        <w:rPr/>
        <w:t>how people learn to curricular and instructional design, assessment, program evaluation, and institutional leadership. The University of Maryland Baltimore </w:t>
      </w:r>
      <w:r>
        <w:rPr>
          <w:spacing w:val="-3"/>
        </w:rPr>
        <w:t>(UMB) </w:t>
      </w:r>
      <w:r>
        <w:rPr/>
        <w:t>is uniquely prepared to meet the growing need </w:t>
      </w:r>
      <w:r>
        <w:rPr>
          <w:spacing w:val="-4"/>
        </w:rPr>
        <w:t>for </w:t>
      </w:r>
      <w:r>
        <w:rPr/>
        <w:t>health professions educators and to advance the scholarship </w:t>
      </w:r>
      <w:r>
        <w:rPr>
          <w:spacing w:val="-3"/>
        </w:rPr>
        <w:t>of </w:t>
      </w:r>
      <w:r>
        <w:rPr/>
        <w:t>professional education in these fields.</w:t>
      </w:r>
    </w:p>
    <w:p>
      <w:pPr>
        <w:pStyle w:val="BodyText"/>
        <w:spacing w:line="249" w:lineRule="auto" w:before="7"/>
        <w:ind w:left="199" w:right="29"/>
      </w:pPr>
      <w:r>
        <w:rPr/>
        <w:t>Learners in the UMB HPE program will build on existing health professional competencies gained through their education and practice, examine the historical and current theoretical foundations of learning, and engage in the practical application of emerging science of teaching and learning. Learners will examine current educational and curricular challenges faced by health professions programs and institutions to advance their skills and knowledge. By conducting rigorous research studies, graduates will contribute to the transformation of educational practice and knowledge in their discipline.</w:t>
      </w:r>
    </w:p>
    <w:p>
      <w:pPr>
        <w:pStyle w:val="BodyText"/>
        <w:spacing w:before="190"/>
      </w:pPr>
      <w:r>
        <w:rPr/>
        <w:t>Graduates of this program will:</w:t>
      </w:r>
    </w:p>
    <w:p>
      <w:pPr>
        <w:pStyle w:val="ListParagraph"/>
        <w:numPr>
          <w:ilvl w:val="0"/>
          <w:numId w:val="13"/>
        </w:numPr>
        <w:tabs>
          <w:tab w:pos="718" w:val="left" w:leader="none"/>
          <w:tab w:pos="719" w:val="left" w:leader="none"/>
        </w:tabs>
        <w:spacing w:line="249" w:lineRule="auto" w:before="188" w:after="0"/>
        <w:ind w:left="200" w:right="469" w:firstLine="0"/>
        <w:jc w:val="left"/>
        <w:rPr>
          <w:sz w:val="20"/>
        </w:rPr>
      </w:pPr>
      <w:r>
        <w:rPr>
          <w:sz w:val="20"/>
        </w:rPr>
        <w:t>demonstrate high quality and effective teaching methods.</w:t>
      </w:r>
    </w:p>
    <w:p>
      <w:pPr>
        <w:pStyle w:val="ListParagraph"/>
        <w:numPr>
          <w:ilvl w:val="0"/>
          <w:numId w:val="13"/>
        </w:numPr>
        <w:tabs>
          <w:tab w:pos="718" w:val="left" w:leader="none"/>
          <w:tab w:pos="719" w:val="left" w:leader="none"/>
        </w:tabs>
        <w:spacing w:line="249" w:lineRule="auto" w:before="184" w:after="0"/>
        <w:ind w:left="200" w:right="198" w:firstLine="0"/>
        <w:jc w:val="left"/>
        <w:rPr>
          <w:sz w:val="20"/>
        </w:rPr>
      </w:pPr>
      <w:r>
        <w:rPr>
          <w:sz w:val="20"/>
        </w:rPr>
        <w:t>demonstrate proficiency in curricula design, delivery, and assessment at the course and program</w:t>
      </w:r>
      <w:r>
        <w:rPr>
          <w:spacing w:val="-23"/>
          <w:sz w:val="20"/>
        </w:rPr>
        <w:t> </w:t>
      </w:r>
      <w:r>
        <w:rPr>
          <w:sz w:val="20"/>
        </w:rPr>
        <w:t>level.</w:t>
      </w:r>
    </w:p>
    <w:p>
      <w:pPr>
        <w:pStyle w:val="ListParagraph"/>
        <w:numPr>
          <w:ilvl w:val="0"/>
          <w:numId w:val="13"/>
        </w:numPr>
        <w:tabs>
          <w:tab w:pos="719" w:val="left" w:leader="none"/>
        </w:tabs>
        <w:spacing w:line="249" w:lineRule="auto" w:before="179" w:after="0"/>
        <w:ind w:left="200" w:right="264" w:firstLine="0"/>
        <w:jc w:val="both"/>
        <w:rPr>
          <w:sz w:val="20"/>
        </w:rPr>
      </w:pPr>
      <w:r>
        <w:rPr>
          <w:sz w:val="20"/>
        </w:rPr>
        <w:t>advance theoretical research and models, generate and disseminate scholarship in their educational areas </w:t>
      </w:r>
      <w:r>
        <w:rPr>
          <w:spacing w:val="-3"/>
          <w:sz w:val="20"/>
        </w:rPr>
        <w:t>of </w:t>
      </w:r>
      <w:r>
        <w:rPr>
          <w:sz w:val="20"/>
        </w:rPr>
        <w:t>interest</w:t>
      </w:r>
    </w:p>
    <w:p>
      <w:pPr>
        <w:pStyle w:val="ListParagraph"/>
        <w:numPr>
          <w:ilvl w:val="0"/>
          <w:numId w:val="13"/>
        </w:numPr>
        <w:tabs>
          <w:tab w:pos="718" w:val="left" w:leader="none"/>
          <w:tab w:pos="719" w:val="left" w:leader="none"/>
        </w:tabs>
        <w:spacing w:line="249" w:lineRule="auto" w:before="185" w:after="0"/>
        <w:ind w:left="200" w:right="39" w:firstLine="0"/>
        <w:jc w:val="left"/>
        <w:rPr>
          <w:sz w:val="20"/>
        </w:rPr>
      </w:pPr>
      <w:r>
        <w:rPr>
          <w:sz w:val="20"/>
        </w:rPr>
        <w:t>demonstrate the ability to integrate systematic evaluation and research techniques to demonstrate program </w:t>
      </w:r>
      <w:r>
        <w:rPr>
          <w:spacing w:val="-3"/>
          <w:sz w:val="20"/>
        </w:rPr>
        <w:t>or </w:t>
      </w:r>
      <w:r>
        <w:rPr>
          <w:sz w:val="20"/>
        </w:rPr>
        <w:t>institutional effectiveness, improvement, and sustainability.</w:t>
      </w:r>
    </w:p>
    <w:p>
      <w:pPr>
        <w:pStyle w:val="ListParagraph"/>
        <w:numPr>
          <w:ilvl w:val="0"/>
          <w:numId w:val="13"/>
        </w:numPr>
        <w:tabs>
          <w:tab w:pos="718" w:val="left" w:leader="none"/>
          <w:tab w:pos="719" w:val="left" w:leader="none"/>
        </w:tabs>
        <w:spacing w:line="249" w:lineRule="auto" w:before="180" w:after="0"/>
        <w:ind w:left="200" w:right="357" w:firstLine="0"/>
        <w:jc w:val="left"/>
        <w:rPr>
          <w:sz w:val="20"/>
        </w:rPr>
      </w:pPr>
      <w:r>
        <w:rPr>
          <w:sz w:val="20"/>
        </w:rPr>
        <w:t>demonstrate academic and executive leadership qualities needed to lead program, institutions, agencies, and organizations in the health</w:t>
      </w:r>
      <w:r>
        <w:rPr>
          <w:spacing w:val="-9"/>
          <w:sz w:val="20"/>
        </w:rPr>
        <w:t> </w:t>
      </w:r>
      <w:r>
        <w:rPr>
          <w:sz w:val="20"/>
        </w:rPr>
        <w:t>professions.</w:t>
      </w:r>
    </w:p>
    <w:p>
      <w:pPr>
        <w:pStyle w:val="ListParagraph"/>
        <w:numPr>
          <w:ilvl w:val="0"/>
          <w:numId w:val="13"/>
        </w:numPr>
        <w:tabs>
          <w:tab w:pos="718" w:val="left" w:leader="none"/>
          <w:tab w:pos="719" w:val="left" w:leader="none"/>
        </w:tabs>
        <w:spacing w:line="249" w:lineRule="auto" w:before="185" w:after="0"/>
        <w:ind w:left="200" w:right="337" w:firstLine="0"/>
        <w:jc w:val="left"/>
        <w:rPr>
          <w:sz w:val="20"/>
        </w:rPr>
      </w:pPr>
      <w:r>
        <w:rPr>
          <w:sz w:val="20"/>
        </w:rPr>
        <w:t>participate in community engagement to </w:t>
      </w:r>
      <w:r>
        <w:rPr>
          <w:spacing w:val="-3"/>
          <w:sz w:val="20"/>
        </w:rPr>
        <w:t>improve </w:t>
      </w:r>
      <w:r>
        <w:rPr>
          <w:sz w:val="20"/>
        </w:rPr>
        <w:t>educational </w:t>
      </w:r>
      <w:r>
        <w:rPr>
          <w:spacing w:val="-3"/>
          <w:sz w:val="20"/>
        </w:rPr>
        <w:t>access </w:t>
      </w:r>
      <w:r>
        <w:rPr>
          <w:sz w:val="20"/>
        </w:rPr>
        <w:t>and</w:t>
      </w:r>
      <w:r>
        <w:rPr>
          <w:spacing w:val="4"/>
          <w:sz w:val="20"/>
        </w:rPr>
        <w:t> </w:t>
      </w:r>
      <w:r>
        <w:rPr>
          <w:sz w:val="20"/>
        </w:rPr>
        <w:t>quality.</w:t>
      </w:r>
    </w:p>
    <w:p>
      <w:pPr>
        <w:pStyle w:val="BodyText"/>
        <w:spacing w:before="0"/>
        <w:ind w:left="0"/>
        <w:rPr>
          <w:sz w:val="22"/>
        </w:rPr>
      </w:pPr>
      <w:r>
        <w:rPr/>
        <w:br w:type="column"/>
      </w:r>
      <w:r>
        <w:rPr>
          <w:sz w:val="22"/>
        </w:rPr>
      </w:r>
    </w:p>
    <w:p>
      <w:pPr>
        <w:pStyle w:val="BodyText"/>
        <w:spacing w:before="8"/>
        <w:ind w:left="0"/>
        <w:rPr>
          <w:sz w:val="22"/>
        </w:rPr>
      </w:pPr>
    </w:p>
    <w:p>
      <w:pPr>
        <w:pStyle w:val="BodyText"/>
        <w:spacing w:line="249" w:lineRule="auto" w:before="0"/>
        <w:ind w:right="625"/>
      </w:pPr>
      <w:r>
        <w:rPr/>
        <w:t>Graduates will be prepared to apply the skills that they have acquired through the degree to academic research and leadership roles, as well as employment in the private sector, and local, state or government positions in healthcare and education.</w:t>
      </w:r>
    </w:p>
    <w:p>
      <w:pPr>
        <w:pStyle w:val="Heading6"/>
        <w:spacing w:before="186"/>
      </w:pPr>
      <w:r>
        <w:rPr/>
        <w:t>Program Admission</w:t>
      </w:r>
    </w:p>
    <w:p>
      <w:pPr>
        <w:pStyle w:val="BodyText"/>
        <w:spacing w:line="249" w:lineRule="auto" w:before="187"/>
        <w:ind w:right="638"/>
      </w:pPr>
      <w:r>
        <w:rPr/>
        <w:t>Admission to </w:t>
      </w:r>
      <w:r>
        <w:rPr>
          <w:spacing w:val="-3"/>
        </w:rPr>
        <w:t>UMB’s </w:t>
      </w:r>
      <w:r>
        <w:rPr/>
        <w:t>PhD programs is highly selective. In addition to meeting the Graduate School’s minimum admission requirements, candidates </w:t>
      </w:r>
      <w:r>
        <w:rPr>
          <w:spacing w:val="-4"/>
        </w:rPr>
        <w:t>for </w:t>
      </w:r>
      <w:r>
        <w:rPr/>
        <w:t>admission must provide evidence of a minimum </w:t>
      </w:r>
      <w:r>
        <w:rPr>
          <w:spacing w:val="-3"/>
        </w:rPr>
        <w:t>of </w:t>
      </w:r>
      <w:r>
        <w:rPr/>
        <w:t>an earned master’s degree </w:t>
      </w:r>
      <w:r>
        <w:rPr>
          <w:spacing w:val="-3"/>
        </w:rPr>
        <w:t>or </w:t>
      </w:r>
      <w:r>
        <w:rPr/>
        <w:t>equivalent education and training from an overseas college </w:t>
      </w:r>
      <w:r>
        <w:rPr>
          <w:spacing w:val="-3"/>
        </w:rPr>
        <w:t>or </w:t>
      </w:r>
      <w:r>
        <w:rPr/>
        <w:t>university; proof of current professional license to practice (as applicable to one’s field </w:t>
      </w:r>
      <w:r>
        <w:rPr>
          <w:spacing w:val="-3"/>
        </w:rPr>
        <w:t>or </w:t>
      </w:r>
      <w:r>
        <w:rPr/>
        <w:t>discipline); and a statement </w:t>
      </w:r>
      <w:r>
        <w:rPr>
          <w:spacing w:val="-3"/>
        </w:rPr>
        <w:t>of </w:t>
      </w:r>
      <w:r>
        <w:rPr/>
        <w:t>proposed research interests. Individuals </w:t>
      </w:r>
      <w:r>
        <w:rPr>
          <w:spacing w:val="-3"/>
        </w:rPr>
        <w:t>whose </w:t>
      </w:r>
      <w:r>
        <w:rPr/>
        <w:t>profession </w:t>
      </w:r>
      <w:r>
        <w:rPr>
          <w:spacing w:val="-3"/>
        </w:rPr>
        <w:t>does </w:t>
      </w:r>
      <w:r>
        <w:rPr/>
        <w:t>not require a license to practice will still </w:t>
      </w:r>
      <w:r>
        <w:rPr>
          <w:spacing w:val="-3"/>
        </w:rPr>
        <w:t>be </w:t>
      </w:r>
      <w:r>
        <w:rPr/>
        <w:t>considered </w:t>
      </w:r>
      <w:r>
        <w:rPr>
          <w:spacing w:val="-4"/>
        </w:rPr>
        <w:t>for </w:t>
      </w:r>
      <w:r>
        <w:rPr/>
        <w:t>admission.</w:t>
      </w:r>
    </w:p>
    <w:p>
      <w:pPr>
        <w:pStyle w:val="BodyText"/>
        <w:spacing w:line="249" w:lineRule="auto" w:before="8"/>
        <w:ind w:right="615"/>
      </w:pPr>
      <w:r>
        <w:rPr/>
        <w:t>Finalists for admission will be invited to interview with the program’s admissions committee.</w:t>
      </w:r>
    </w:p>
    <w:p>
      <w:pPr>
        <w:pStyle w:val="Heading6"/>
        <w:spacing w:before="183"/>
      </w:pPr>
      <w:r>
        <w:rPr/>
        <w:t>Degree Requirements</w:t>
      </w:r>
    </w:p>
    <w:p>
      <w:pPr>
        <w:pStyle w:val="BodyText"/>
        <w:spacing w:line="249" w:lineRule="auto" w:before="188"/>
        <w:ind w:right="619"/>
      </w:pPr>
      <w:r>
        <w:rPr/>
        <w:t>The Ph.D. in health professions education consists </w:t>
      </w:r>
      <w:r>
        <w:rPr>
          <w:spacing w:val="-3"/>
        </w:rPr>
        <w:t>of </w:t>
      </w:r>
      <w:r>
        <w:rPr/>
        <w:t>seventeen courses </w:t>
      </w:r>
      <w:r>
        <w:rPr>
          <w:spacing w:val="-3"/>
        </w:rPr>
        <w:t>with </w:t>
      </w:r>
      <w:r>
        <w:rPr/>
        <w:t>a total </w:t>
      </w:r>
      <w:r>
        <w:rPr>
          <w:spacing w:val="-3"/>
        </w:rPr>
        <w:t>of </w:t>
      </w:r>
      <w:r>
        <w:rPr/>
        <w:t>60 credits. The instruction occurs online utilizing distance learning technologies in addition to a mandatory on-site residency taken in tandem with the beginning </w:t>
      </w:r>
      <w:r>
        <w:rPr>
          <w:spacing w:val="-3"/>
        </w:rPr>
        <w:t>of </w:t>
      </w:r>
      <w:r>
        <w:rPr/>
        <w:t>years 1 and 2 in the program and at the conclusion. The mandatory residency requires students to attend </w:t>
      </w:r>
      <w:r>
        <w:rPr>
          <w:spacing w:val="-3"/>
        </w:rPr>
        <w:t>four </w:t>
      </w:r>
      <w:r>
        <w:rPr/>
        <w:t>consecutive </w:t>
      </w:r>
      <w:r>
        <w:rPr>
          <w:spacing w:val="-3"/>
        </w:rPr>
        <w:t>days of </w:t>
      </w:r>
      <w:r>
        <w:rPr/>
        <w:t>face-to-face lectures, training, discussions, and presentations at </w:t>
      </w:r>
      <w:r>
        <w:rPr>
          <w:spacing w:val="-3"/>
        </w:rPr>
        <w:t>UMB’s </w:t>
      </w:r>
      <w:r>
        <w:rPr/>
        <w:t>campus in Baltimore, MD. The in-person interactions assist in facilitating the peer learning, research, reflection, and group discussion that is essential to creating </w:t>
      </w:r>
      <w:r>
        <w:rPr>
          <w:spacing w:val="-3"/>
        </w:rPr>
        <w:t>an </w:t>
      </w:r>
      <w:r>
        <w:rPr/>
        <w:t>interdisciplinary team </w:t>
      </w:r>
      <w:r>
        <w:rPr>
          <w:spacing w:val="-3"/>
        </w:rPr>
        <w:t>of </w:t>
      </w:r>
      <w:r>
        <w:rPr/>
        <w:t>faculty and</w:t>
      </w:r>
      <w:r>
        <w:rPr>
          <w:spacing w:val="-8"/>
        </w:rPr>
        <w:t> </w:t>
      </w:r>
      <w:r>
        <w:rPr/>
        <w:t>scholars.</w:t>
      </w:r>
    </w:p>
    <w:p>
      <w:pPr>
        <w:pStyle w:val="BodyText"/>
        <w:spacing w:line="249" w:lineRule="auto" w:before="191"/>
        <w:ind w:right="681"/>
        <w:jc w:val="both"/>
      </w:pPr>
      <w:r>
        <w:rPr/>
        <w:t>Complete guidelines and requirements for progression and completion are outlined in the Academic Performance and Progress in a PhD Program section of this catalog.</w:t>
      </w:r>
    </w:p>
    <w:p>
      <w:pPr>
        <w:pStyle w:val="Heading5"/>
        <w:spacing w:before="177"/>
        <w:ind w:left="199"/>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6"/>
        <w:gridCol w:w="3046"/>
        <w:gridCol w:w="708"/>
      </w:tblGrid>
      <w:tr>
        <w:trPr>
          <w:trHeight w:val="471" w:hRule="atLeast"/>
        </w:trPr>
        <w:tc>
          <w:tcPr>
            <w:tcW w:w="1196" w:type="dxa"/>
          </w:tcPr>
          <w:p>
            <w:pPr>
              <w:pStyle w:val="TableParagraph"/>
              <w:spacing w:line="223" w:lineRule="exact" w:before="0"/>
              <w:ind w:left="200"/>
              <w:rPr>
                <w:sz w:val="20"/>
              </w:rPr>
            </w:pPr>
            <w:r>
              <w:rPr>
                <w:sz w:val="20"/>
              </w:rPr>
              <w:t>MHS 615</w:t>
            </w:r>
          </w:p>
        </w:tc>
        <w:tc>
          <w:tcPr>
            <w:tcW w:w="3046" w:type="dxa"/>
          </w:tcPr>
          <w:p>
            <w:pPr>
              <w:pStyle w:val="TableParagraph"/>
              <w:spacing w:line="223" w:lineRule="exact" w:before="0"/>
              <w:ind w:left="213"/>
              <w:rPr>
                <w:sz w:val="20"/>
              </w:rPr>
            </w:pPr>
            <w:r>
              <w:rPr>
                <w:sz w:val="20"/>
              </w:rPr>
              <w:t>BIOSTATISTICS FOR</w:t>
            </w:r>
          </w:p>
          <w:p>
            <w:pPr>
              <w:pStyle w:val="TableParagraph"/>
              <w:spacing w:line="219" w:lineRule="exact" w:before="10"/>
              <w:ind w:left="213"/>
              <w:rPr>
                <w:sz w:val="20"/>
              </w:rPr>
            </w:pPr>
            <w:r>
              <w:rPr>
                <w:sz w:val="20"/>
              </w:rPr>
              <w:t>HEALTH PROFESSIONALS</w:t>
            </w:r>
          </w:p>
        </w:tc>
        <w:tc>
          <w:tcPr>
            <w:tcW w:w="708" w:type="dxa"/>
          </w:tcPr>
          <w:p>
            <w:pPr>
              <w:pStyle w:val="TableParagraph"/>
              <w:spacing w:line="223" w:lineRule="exact" w:before="0"/>
              <w:ind w:right="197"/>
              <w:jc w:val="right"/>
              <w:rPr>
                <w:sz w:val="20"/>
              </w:rPr>
            </w:pPr>
            <w:r>
              <w:rPr>
                <w:w w:val="100"/>
                <w:sz w:val="20"/>
              </w:rPr>
              <w:t>3</w:t>
            </w:r>
          </w:p>
        </w:tc>
      </w:tr>
      <w:tr>
        <w:trPr>
          <w:trHeight w:val="720" w:hRule="atLeast"/>
        </w:trPr>
        <w:tc>
          <w:tcPr>
            <w:tcW w:w="1196" w:type="dxa"/>
          </w:tcPr>
          <w:p>
            <w:pPr>
              <w:pStyle w:val="TableParagraph"/>
              <w:ind w:left="200"/>
              <w:rPr>
                <w:sz w:val="20"/>
              </w:rPr>
            </w:pPr>
            <w:r>
              <w:rPr>
                <w:sz w:val="20"/>
              </w:rPr>
              <w:t>HPE 620</w:t>
            </w:r>
          </w:p>
        </w:tc>
        <w:tc>
          <w:tcPr>
            <w:tcW w:w="3046" w:type="dxa"/>
          </w:tcPr>
          <w:p>
            <w:pPr>
              <w:pStyle w:val="TableParagraph"/>
              <w:spacing w:line="249" w:lineRule="auto"/>
              <w:ind w:left="213" w:right="624"/>
              <w:rPr>
                <w:sz w:val="20"/>
              </w:rPr>
            </w:pPr>
            <w:r>
              <w:rPr>
                <w:sz w:val="20"/>
              </w:rPr>
              <w:t>CRITICAL APPRAISAL AND EVIDENCE BASED</w:t>
            </w:r>
          </w:p>
          <w:p>
            <w:pPr>
              <w:pStyle w:val="TableParagraph"/>
              <w:spacing w:line="219" w:lineRule="exact" w:before="2"/>
              <w:ind w:left="213"/>
              <w:rPr>
                <w:sz w:val="20"/>
              </w:rPr>
            </w:pPr>
            <w:r>
              <w:rPr>
                <w:sz w:val="20"/>
              </w:rPr>
              <w:t>PRACTICE</w:t>
            </w:r>
          </w:p>
        </w:tc>
        <w:tc>
          <w:tcPr>
            <w:tcW w:w="708" w:type="dxa"/>
          </w:tcPr>
          <w:p>
            <w:pPr>
              <w:pStyle w:val="TableParagraph"/>
              <w:ind w:right="197"/>
              <w:jc w:val="right"/>
              <w:rPr>
                <w:sz w:val="20"/>
              </w:rPr>
            </w:pPr>
            <w:r>
              <w:rPr>
                <w:w w:val="100"/>
                <w:sz w:val="20"/>
              </w:rPr>
              <w:t>3</w:t>
            </w:r>
          </w:p>
        </w:tc>
      </w:tr>
      <w:tr>
        <w:trPr>
          <w:trHeight w:val="719" w:hRule="atLeast"/>
        </w:trPr>
        <w:tc>
          <w:tcPr>
            <w:tcW w:w="1196" w:type="dxa"/>
          </w:tcPr>
          <w:p>
            <w:pPr>
              <w:pStyle w:val="TableParagraph"/>
              <w:ind w:left="200"/>
              <w:rPr>
                <w:sz w:val="20"/>
              </w:rPr>
            </w:pPr>
            <w:r>
              <w:rPr>
                <w:sz w:val="20"/>
              </w:rPr>
              <w:t>HPE 625</w:t>
            </w:r>
          </w:p>
        </w:tc>
        <w:tc>
          <w:tcPr>
            <w:tcW w:w="3046" w:type="dxa"/>
          </w:tcPr>
          <w:p>
            <w:pPr>
              <w:pStyle w:val="TableParagraph"/>
              <w:spacing w:line="249" w:lineRule="auto"/>
              <w:ind w:left="213" w:right="1129"/>
              <w:rPr>
                <w:sz w:val="20"/>
              </w:rPr>
            </w:pPr>
            <w:r>
              <w:rPr>
                <w:sz w:val="20"/>
              </w:rPr>
              <w:t>INSTRUCTIONAL STRATEGIES AND</w:t>
            </w:r>
          </w:p>
          <w:p>
            <w:pPr>
              <w:pStyle w:val="TableParagraph"/>
              <w:spacing w:line="219" w:lineRule="exact" w:before="2"/>
              <w:ind w:left="213"/>
              <w:rPr>
                <w:sz w:val="20"/>
              </w:rPr>
            </w:pPr>
            <w:r>
              <w:rPr>
                <w:sz w:val="20"/>
              </w:rPr>
              <w:t>ASSESSMENT IN HPE</w:t>
            </w:r>
          </w:p>
        </w:tc>
        <w:tc>
          <w:tcPr>
            <w:tcW w:w="708" w:type="dxa"/>
          </w:tcPr>
          <w:p>
            <w:pPr>
              <w:pStyle w:val="TableParagraph"/>
              <w:ind w:right="197"/>
              <w:jc w:val="right"/>
              <w:rPr>
                <w:sz w:val="20"/>
              </w:rPr>
            </w:pPr>
            <w:r>
              <w:rPr>
                <w:w w:val="100"/>
                <w:sz w:val="20"/>
              </w:rPr>
              <w:t>3</w:t>
            </w:r>
          </w:p>
        </w:tc>
      </w:tr>
      <w:tr>
        <w:trPr>
          <w:trHeight w:val="480" w:hRule="atLeast"/>
        </w:trPr>
        <w:tc>
          <w:tcPr>
            <w:tcW w:w="1196" w:type="dxa"/>
          </w:tcPr>
          <w:p>
            <w:pPr>
              <w:pStyle w:val="TableParagraph"/>
              <w:ind w:left="200"/>
              <w:rPr>
                <w:sz w:val="20"/>
              </w:rPr>
            </w:pPr>
            <w:r>
              <w:rPr>
                <w:sz w:val="20"/>
              </w:rPr>
              <w:t>HPE 710</w:t>
            </w:r>
          </w:p>
        </w:tc>
        <w:tc>
          <w:tcPr>
            <w:tcW w:w="3046" w:type="dxa"/>
          </w:tcPr>
          <w:p>
            <w:pPr>
              <w:pStyle w:val="TableParagraph"/>
              <w:ind w:left="213"/>
              <w:rPr>
                <w:sz w:val="20"/>
              </w:rPr>
            </w:pPr>
            <w:r>
              <w:rPr>
                <w:sz w:val="20"/>
              </w:rPr>
              <w:t>LEADERSHIP IN HIGHER</w:t>
            </w:r>
          </w:p>
          <w:p>
            <w:pPr>
              <w:pStyle w:val="TableParagraph"/>
              <w:spacing w:line="219" w:lineRule="exact" w:before="10"/>
              <w:ind w:left="213"/>
              <w:rPr>
                <w:sz w:val="20"/>
              </w:rPr>
            </w:pPr>
            <w:r>
              <w:rPr>
                <w:sz w:val="20"/>
              </w:rPr>
              <w:t>EDUCATION</w:t>
            </w:r>
          </w:p>
        </w:tc>
        <w:tc>
          <w:tcPr>
            <w:tcW w:w="708" w:type="dxa"/>
          </w:tcPr>
          <w:p>
            <w:pPr>
              <w:pStyle w:val="TableParagraph"/>
              <w:ind w:right="197"/>
              <w:jc w:val="right"/>
              <w:rPr>
                <w:sz w:val="20"/>
              </w:rPr>
            </w:pPr>
            <w:r>
              <w:rPr>
                <w:w w:val="100"/>
                <w:sz w:val="20"/>
              </w:rPr>
              <w:t>3</w:t>
            </w:r>
          </w:p>
        </w:tc>
      </w:tr>
      <w:tr>
        <w:trPr>
          <w:trHeight w:val="231" w:hRule="atLeast"/>
        </w:trPr>
        <w:tc>
          <w:tcPr>
            <w:tcW w:w="1196" w:type="dxa"/>
          </w:tcPr>
          <w:p>
            <w:pPr>
              <w:pStyle w:val="TableParagraph"/>
              <w:spacing w:line="210" w:lineRule="exact"/>
              <w:ind w:left="200"/>
              <w:rPr>
                <w:sz w:val="20"/>
              </w:rPr>
            </w:pPr>
            <w:r>
              <w:rPr>
                <w:sz w:val="20"/>
              </w:rPr>
              <w:t>HPE 715</w:t>
            </w:r>
          </w:p>
        </w:tc>
        <w:tc>
          <w:tcPr>
            <w:tcW w:w="3046" w:type="dxa"/>
          </w:tcPr>
          <w:p>
            <w:pPr>
              <w:pStyle w:val="TableParagraph"/>
              <w:spacing w:line="210" w:lineRule="exact"/>
              <w:ind w:left="213"/>
              <w:rPr>
                <w:sz w:val="20"/>
              </w:rPr>
            </w:pPr>
            <w:r>
              <w:rPr>
                <w:sz w:val="20"/>
              </w:rPr>
              <w:t>DATA ANALYSIS 1</w:t>
            </w:r>
          </w:p>
        </w:tc>
        <w:tc>
          <w:tcPr>
            <w:tcW w:w="708" w:type="dxa"/>
          </w:tcPr>
          <w:p>
            <w:pPr>
              <w:pStyle w:val="TableParagraph"/>
              <w:spacing w:line="210" w:lineRule="exact"/>
              <w:ind w:right="197"/>
              <w:jc w:val="right"/>
              <w:rPr>
                <w:sz w:val="20"/>
              </w:rPr>
            </w:pPr>
            <w:r>
              <w:rPr>
                <w:w w:val="100"/>
                <w:sz w:val="20"/>
              </w:rPr>
              <w:t>3</w:t>
            </w:r>
          </w:p>
        </w:tc>
      </w:tr>
    </w:tbl>
    <w:p>
      <w:pPr>
        <w:spacing w:after="0" w:line="210" w:lineRule="exact"/>
        <w:jc w:val="right"/>
        <w:rPr>
          <w:sz w:val="20"/>
        </w:rPr>
        <w:sectPr>
          <w:pgSz w:w="12240" w:h="15840"/>
          <w:pgMar w:header="746" w:footer="0" w:top="1320" w:bottom="280" w:left="880" w:right="300"/>
          <w:cols w:num="2" w:equalWidth="0">
            <w:col w:w="4997" w:space="489"/>
            <w:col w:w="5574"/>
          </w:cols>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6"/>
        <w:gridCol w:w="2969"/>
        <w:gridCol w:w="785"/>
      </w:tblGrid>
      <w:tr>
        <w:trPr>
          <w:trHeight w:val="231" w:hRule="atLeast"/>
        </w:trPr>
        <w:tc>
          <w:tcPr>
            <w:tcW w:w="1196" w:type="dxa"/>
          </w:tcPr>
          <w:p>
            <w:pPr>
              <w:pStyle w:val="TableParagraph"/>
              <w:spacing w:line="212" w:lineRule="exact" w:before="0"/>
              <w:ind w:left="200"/>
              <w:rPr>
                <w:sz w:val="20"/>
              </w:rPr>
            </w:pPr>
            <w:r>
              <w:rPr>
                <w:sz w:val="20"/>
              </w:rPr>
              <w:t>HPE 720</w:t>
            </w:r>
          </w:p>
        </w:tc>
        <w:tc>
          <w:tcPr>
            <w:tcW w:w="2969" w:type="dxa"/>
          </w:tcPr>
          <w:p>
            <w:pPr>
              <w:pStyle w:val="TableParagraph"/>
              <w:spacing w:line="212" w:lineRule="exact" w:before="0"/>
              <w:ind w:left="213"/>
              <w:rPr>
                <w:sz w:val="20"/>
              </w:rPr>
            </w:pPr>
            <w:r>
              <w:rPr>
                <w:sz w:val="20"/>
              </w:rPr>
              <w:t>DATA ANALYSIS 2</w:t>
            </w:r>
          </w:p>
        </w:tc>
        <w:tc>
          <w:tcPr>
            <w:tcW w:w="785" w:type="dxa"/>
          </w:tcPr>
          <w:p>
            <w:pPr>
              <w:pStyle w:val="TableParagraph"/>
              <w:spacing w:line="212" w:lineRule="exact" w:before="0"/>
              <w:ind w:right="197"/>
              <w:jc w:val="right"/>
              <w:rPr>
                <w:sz w:val="20"/>
              </w:rPr>
            </w:pPr>
            <w:r>
              <w:rPr>
                <w:w w:val="100"/>
                <w:sz w:val="20"/>
              </w:rPr>
              <w:t>3</w:t>
            </w:r>
          </w:p>
        </w:tc>
      </w:tr>
      <w:tr>
        <w:trPr>
          <w:trHeight w:val="480" w:hRule="atLeast"/>
        </w:trPr>
        <w:tc>
          <w:tcPr>
            <w:tcW w:w="1196" w:type="dxa"/>
          </w:tcPr>
          <w:p>
            <w:pPr>
              <w:pStyle w:val="TableParagraph"/>
              <w:ind w:left="200"/>
              <w:rPr>
                <w:sz w:val="20"/>
              </w:rPr>
            </w:pPr>
            <w:r>
              <w:rPr>
                <w:sz w:val="20"/>
              </w:rPr>
              <w:t>HPE 725</w:t>
            </w:r>
          </w:p>
        </w:tc>
        <w:tc>
          <w:tcPr>
            <w:tcW w:w="2969" w:type="dxa"/>
          </w:tcPr>
          <w:p>
            <w:pPr>
              <w:pStyle w:val="TableParagraph"/>
              <w:ind w:left="213"/>
              <w:rPr>
                <w:sz w:val="20"/>
              </w:rPr>
            </w:pPr>
            <w:r>
              <w:rPr>
                <w:sz w:val="20"/>
              </w:rPr>
              <w:t>QUALITATIVE RESEARCH</w:t>
            </w:r>
          </w:p>
          <w:p>
            <w:pPr>
              <w:pStyle w:val="TableParagraph"/>
              <w:spacing w:line="219" w:lineRule="exact" w:before="10"/>
              <w:ind w:left="213"/>
              <w:rPr>
                <w:sz w:val="20"/>
              </w:rPr>
            </w:pPr>
            <w:r>
              <w:rPr>
                <w:sz w:val="20"/>
              </w:rPr>
              <w:t>METHODS</w:t>
            </w:r>
          </w:p>
        </w:tc>
        <w:tc>
          <w:tcPr>
            <w:tcW w:w="785" w:type="dxa"/>
          </w:tcPr>
          <w:p>
            <w:pPr>
              <w:pStyle w:val="TableParagraph"/>
              <w:ind w:right="197"/>
              <w:jc w:val="right"/>
              <w:rPr>
                <w:sz w:val="20"/>
              </w:rPr>
            </w:pPr>
            <w:r>
              <w:rPr>
                <w:w w:val="100"/>
                <w:sz w:val="20"/>
              </w:rPr>
              <w:t>3</w:t>
            </w:r>
          </w:p>
        </w:tc>
      </w:tr>
      <w:tr>
        <w:trPr>
          <w:trHeight w:val="240" w:hRule="atLeast"/>
        </w:trPr>
        <w:tc>
          <w:tcPr>
            <w:tcW w:w="1196" w:type="dxa"/>
          </w:tcPr>
          <w:p>
            <w:pPr>
              <w:pStyle w:val="TableParagraph"/>
              <w:spacing w:line="219" w:lineRule="exact"/>
              <w:ind w:left="200"/>
              <w:rPr>
                <w:sz w:val="20"/>
              </w:rPr>
            </w:pPr>
            <w:r>
              <w:rPr>
                <w:sz w:val="20"/>
              </w:rPr>
              <w:t>HPE 730</w:t>
            </w:r>
          </w:p>
        </w:tc>
        <w:tc>
          <w:tcPr>
            <w:tcW w:w="2969" w:type="dxa"/>
          </w:tcPr>
          <w:p>
            <w:pPr>
              <w:pStyle w:val="TableParagraph"/>
              <w:spacing w:line="219" w:lineRule="exact"/>
              <w:ind w:left="213"/>
              <w:rPr>
                <w:sz w:val="20"/>
              </w:rPr>
            </w:pPr>
            <w:r>
              <w:rPr>
                <w:sz w:val="20"/>
              </w:rPr>
              <w:t>TEACHING PRACTICUM</w:t>
            </w:r>
          </w:p>
        </w:tc>
        <w:tc>
          <w:tcPr>
            <w:tcW w:w="785" w:type="dxa"/>
          </w:tcPr>
          <w:p>
            <w:pPr>
              <w:pStyle w:val="TableParagraph"/>
              <w:spacing w:line="219" w:lineRule="exact"/>
              <w:ind w:right="197"/>
              <w:jc w:val="right"/>
              <w:rPr>
                <w:sz w:val="20"/>
              </w:rPr>
            </w:pPr>
            <w:r>
              <w:rPr>
                <w:w w:val="100"/>
                <w:sz w:val="20"/>
              </w:rPr>
              <w:t>3</w:t>
            </w:r>
          </w:p>
        </w:tc>
      </w:tr>
      <w:tr>
        <w:trPr>
          <w:trHeight w:val="240" w:hRule="atLeast"/>
        </w:trPr>
        <w:tc>
          <w:tcPr>
            <w:tcW w:w="1196" w:type="dxa"/>
          </w:tcPr>
          <w:p>
            <w:pPr>
              <w:pStyle w:val="TableParagraph"/>
              <w:spacing w:line="219" w:lineRule="exact"/>
              <w:ind w:left="200"/>
              <w:rPr>
                <w:sz w:val="20"/>
              </w:rPr>
            </w:pPr>
            <w:r>
              <w:rPr>
                <w:sz w:val="20"/>
              </w:rPr>
              <w:t>HPE 840</w:t>
            </w:r>
          </w:p>
        </w:tc>
        <w:tc>
          <w:tcPr>
            <w:tcW w:w="2969" w:type="dxa"/>
          </w:tcPr>
          <w:p>
            <w:pPr>
              <w:pStyle w:val="TableParagraph"/>
              <w:spacing w:line="219" w:lineRule="exact"/>
              <w:ind w:left="213"/>
              <w:rPr>
                <w:sz w:val="20"/>
              </w:rPr>
            </w:pPr>
            <w:r>
              <w:rPr>
                <w:sz w:val="20"/>
              </w:rPr>
              <w:t>IMPACT INSTITUTE 1</w:t>
            </w:r>
          </w:p>
        </w:tc>
        <w:tc>
          <w:tcPr>
            <w:tcW w:w="785" w:type="dxa"/>
          </w:tcPr>
          <w:p>
            <w:pPr>
              <w:pStyle w:val="TableParagraph"/>
              <w:spacing w:before="0"/>
              <w:rPr>
                <w:sz w:val="16"/>
              </w:rPr>
            </w:pPr>
          </w:p>
        </w:tc>
      </w:tr>
      <w:tr>
        <w:trPr>
          <w:trHeight w:val="240" w:hRule="atLeast"/>
        </w:trPr>
        <w:tc>
          <w:tcPr>
            <w:tcW w:w="1196" w:type="dxa"/>
          </w:tcPr>
          <w:p>
            <w:pPr>
              <w:pStyle w:val="TableParagraph"/>
              <w:spacing w:line="219" w:lineRule="exact"/>
              <w:ind w:left="200"/>
              <w:rPr>
                <w:sz w:val="20"/>
              </w:rPr>
            </w:pPr>
            <w:r>
              <w:rPr>
                <w:sz w:val="20"/>
              </w:rPr>
              <w:t>HPE 850</w:t>
            </w:r>
          </w:p>
        </w:tc>
        <w:tc>
          <w:tcPr>
            <w:tcW w:w="2969" w:type="dxa"/>
          </w:tcPr>
          <w:p>
            <w:pPr>
              <w:pStyle w:val="TableParagraph"/>
              <w:spacing w:line="219" w:lineRule="exact"/>
              <w:ind w:left="213"/>
              <w:rPr>
                <w:sz w:val="20"/>
              </w:rPr>
            </w:pPr>
            <w:r>
              <w:rPr>
                <w:sz w:val="20"/>
              </w:rPr>
              <w:t>IMPACT INSTITUTE 2</w:t>
            </w:r>
          </w:p>
        </w:tc>
        <w:tc>
          <w:tcPr>
            <w:tcW w:w="785" w:type="dxa"/>
          </w:tcPr>
          <w:p>
            <w:pPr>
              <w:pStyle w:val="TableParagraph"/>
              <w:spacing w:line="219" w:lineRule="exact"/>
              <w:ind w:right="197"/>
              <w:jc w:val="right"/>
              <w:rPr>
                <w:sz w:val="20"/>
              </w:rPr>
            </w:pPr>
            <w:r>
              <w:rPr>
                <w:w w:val="100"/>
                <w:sz w:val="20"/>
              </w:rPr>
              <w:t>3</w:t>
            </w:r>
          </w:p>
        </w:tc>
      </w:tr>
      <w:tr>
        <w:trPr>
          <w:trHeight w:val="240" w:hRule="atLeast"/>
        </w:trPr>
        <w:tc>
          <w:tcPr>
            <w:tcW w:w="1196" w:type="dxa"/>
          </w:tcPr>
          <w:p>
            <w:pPr>
              <w:pStyle w:val="TableParagraph"/>
              <w:spacing w:line="219" w:lineRule="exact"/>
              <w:ind w:left="200"/>
              <w:rPr>
                <w:sz w:val="20"/>
              </w:rPr>
            </w:pPr>
            <w:r>
              <w:rPr>
                <w:sz w:val="20"/>
              </w:rPr>
              <w:t>HPE 851</w:t>
            </w:r>
          </w:p>
        </w:tc>
        <w:tc>
          <w:tcPr>
            <w:tcW w:w="2969" w:type="dxa"/>
          </w:tcPr>
          <w:p>
            <w:pPr>
              <w:pStyle w:val="TableParagraph"/>
              <w:spacing w:line="219" w:lineRule="exact"/>
              <w:ind w:left="213"/>
              <w:rPr>
                <w:sz w:val="20"/>
              </w:rPr>
            </w:pPr>
            <w:r>
              <w:rPr>
                <w:sz w:val="20"/>
              </w:rPr>
              <w:t>RESEARCH SEMINAR</w:t>
            </w:r>
          </w:p>
        </w:tc>
        <w:tc>
          <w:tcPr>
            <w:tcW w:w="785" w:type="dxa"/>
          </w:tcPr>
          <w:p>
            <w:pPr>
              <w:pStyle w:val="TableParagraph"/>
              <w:spacing w:line="219" w:lineRule="exact"/>
              <w:ind w:right="197"/>
              <w:jc w:val="right"/>
              <w:rPr>
                <w:sz w:val="20"/>
              </w:rPr>
            </w:pPr>
            <w:r>
              <w:rPr>
                <w:sz w:val="20"/>
              </w:rPr>
              <w:t>6-9</w:t>
            </w:r>
          </w:p>
        </w:tc>
      </w:tr>
      <w:tr>
        <w:trPr>
          <w:trHeight w:val="471" w:hRule="atLeast"/>
        </w:trPr>
        <w:tc>
          <w:tcPr>
            <w:tcW w:w="1196" w:type="dxa"/>
          </w:tcPr>
          <w:p>
            <w:pPr>
              <w:pStyle w:val="TableParagraph"/>
              <w:ind w:left="200"/>
              <w:rPr>
                <w:sz w:val="20"/>
              </w:rPr>
            </w:pPr>
            <w:r>
              <w:rPr>
                <w:sz w:val="20"/>
              </w:rPr>
              <w:t>HPE 899</w:t>
            </w:r>
          </w:p>
        </w:tc>
        <w:tc>
          <w:tcPr>
            <w:tcW w:w="2969" w:type="dxa"/>
          </w:tcPr>
          <w:p>
            <w:pPr>
              <w:pStyle w:val="TableParagraph"/>
              <w:ind w:left="213"/>
              <w:rPr>
                <w:sz w:val="20"/>
              </w:rPr>
            </w:pPr>
            <w:r>
              <w:rPr>
                <w:sz w:val="20"/>
              </w:rPr>
              <w:t>DISSERTATION</w:t>
            </w:r>
          </w:p>
          <w:p>
            <w:pPr>
              <w:pStyle w:val="TableParagraph"/>
              <w:spacing w:line="210" w:lineRule="exact" w:before="10"/>
              <w:ind w:left="213"/>
              <w:rPr>
                <w:sz w:val="20"/>
              </w:rPr>
            </w:pPr>
            <w:r>
              <w:rPr>
                <w:sz w:val="20"/>
              </w:rPr>
              <w:t>RESEARCH</w:t>
            </w:r>
          </w:p>
        </w:tc>
        <w:tc>
          <w:tcPr>
            <w:tcW w:w="785" w:type="dxa"/>
          </w:tcPr>
          <w:p>
            <w:pPr>
              <w:pStyle w:val="TableParagraph"/>
              <w:ind w:right="197"/>
              <w:jc w:val="right"/>
              <w:rPr>
                <w:sz w:val="20"/>
              </w:rPr>
            </w:pPr>
            <w:r>
              <w:rPr>
                <w:sz w:val="20"/>
              </w:rPr>
              <w:t>12</w:t>
            </w:r>
          </w:p>
        </w:tc>
      </w:tr>
    </w:tbl>
    <w:p>
      <w:pPr>
        <w:pStyle w:val="BodyText"/>
        <w:spacing w:before="5"/>
        <w:ind w:left="0"/>
        <w:rPr>
          <w:sz w:val="7"/>
        </w:rPr>
      </w:pPr>
    </w:p>
    <w:p>
      <w:pPr>
        <w:pStyle w:val="Heading5"/>
        <w:spacing w:before="92" w:after="15"/>
      </w:pPr>
      <w:r>
        <w:rPr/>
        <w:t>Electives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4"/>
        <w:gridCol w:w="2946"/>
        <w:gridCol w:w="701"/>
      </w:tblGrid>
      <w:tr>
        <w:trPr>
          <w:trHeight w:val="471" w:hRule="atLeast"/>
        </w:trPr>
        <w:tc>
          <w:tcPr>
            <w:tcW w:w="1304" w:type="dxa"/>
          </w:tcPr>
          <w:p>
            <w:pPr>
              <w:pStyle w:val="TableParagraph"/>
              <w:spacing w:line="223" w:lineRule="exact" w:before="0"/>
              <w:ind w:left="200"/>
              <w:rPr>
                <w:sz w:val="20"/>
              </w:rPr>
            </w:pPr>
            <w:r>
              <w:rPr>
                <w:sz w:val="20"/>
              </w:rPr>
              <w:t>MHS 607</w:t>
            </w:r>
          </w:p>
        </w:tc>
        <w:tc>
          <w:tcPr>
            <w:tcW w:w="2946" w:type="dxa"/>
          </w:tcPr>
          <w:p>
            <w:pPr>
              <w:pStyle w:val="TableParagraph"/>
              <w:spacing w:line="223" w:lineRule="exact" w:before="0"/>
              <w:ind w:left="167"/>
              <w:rPr>
                <w:sz w:val="20"/>
              </w:rPr>
            </w:pPr>
            <w:r>
              <w:rPr>
                <w:sz w:val="20"/>
              </w:rPr>
              <w:t>WRITING FOR</w:t>
            </w:r>
          </w:p>
          <w:p>
            <w:pPr>
              <w:pStyle w:val="TableParagraph"/>
              <w:spacing w:line="219" w:lineRule="exact" w:before="10"/>
              <w:ind w:left="167"/>
              <w:rPr>
                <w:sz w:val="20"/>
              </w:rPr>
            </w:pPr>
            <w:r>
              <w:rPr>
                <w:sz w:val="20"/>
              </w:rPr>
              <w:t>SCHOLARLY JOURNALS</w:t>
            </w:r>
          </w:p>
        </w:tc>
        <w:tc>
          <w:tcPr>
            <w:tcW w:w="701" w:type="dxa"/>
          </w:tcPr>
          <w:p>
            <w:pPr>
              <w:pStyle w:val="TableParagraph"/>
              <w:spacing w:line="223" w:lineRule="exact" w:before="0"/>
              <w:ind w:right="198"/>
              <w:jc w:val="right"/>
              <w:rPr>
                <w:sz w:val="20"/>
              </w:rPr>
            </w:pPr>
            <w:r>
              <w:rPr>
                <w:w w:val="100"/>
                <w:sz w:val="20"/>
              </w:rPr>
              <w:t>3</w:t>
            </w:r>
          </w:p>
        </w:tc>
      </w:tr>
      <w:tr>
        <w:trPr>
          <w:trHeight w:val="720" w:hRule="atLeast"/>
        </w:trPr>
        <w:tc>
          <w:tcPr>
            <w:tcW w:w="1304" w:type="dxa"/>
          </w:tcPr>
          <w:p>
            <w:pPr>
              <w:pStyle w:val="TableParagraph"/>
              <w:ind w:left="200"/>
              <w:rPr>
                <w:sz w:val="20"/>
              </w:rPr>
            </w:pPr>
            <w:r>
              <w:rPr>
                <w:sz w:val="20"/>
              </w:rPr>
              <w:t>HPE 860</w:t>
            </w:r>
          </w:p>
        </w:tc>
        <w:tc>
          <w:tcPr>
            <w:tcW w:w="2946" w:type="dxa"/>
          </w:tcPr>
          <w:p>
            <w:pPr>
              <w:pStyle w:val="TableParagraph"/>
              <w:spacing w:line="249" w:lineRule="auto"/>
              <w:ind w:left="167" w:right="681"/>
              <w:rPr>
                <w:sz w:val="20"/>
              </w:rPr>
            </w:pPr>
            <w:r>
              <w:rPr>
                <w:sz w:val="20"/>
              </w:rPr>
              <w:t>TEACHING IN ONLINE LEARNING</w:t>
            </w:r>
          </w:p>
          <w:p>
            <w:pPr>
              <w:pStyle w:val="TableParagraph"/>
              <w:spacing w:line="219" w:lineRule="exact" w:before="2"/>
              <w:ind w:left="167"/>
              <w:rPr>
                <w:sz w:val="20"/>
              </w:rPr>
            </w:pPr>
            <w:r>
              <w:rPr>
                <w:sz w:val="20"/>
              </w:rPr>
              <w:t>ENVIRONMENTS</w:t>
            </w:r>
          </w:p>
        </w:tc>
        <w:tc>
          <w:tcPr>
            <w:tcW w:w="701" w:type="dxa"/>
          </w:tcPr>
          <w:p>
            <w:pPr>
              <w:pStyle w:val="TableParagraph"/>
              <w:ind w:right="198"/>
              <w:jc w:val="right"/>
              <w:rPr>
                <w:sz w:val="20"/>
              </w:rPr>
            </w:pPr>
            <w:r>
              <w:rPr>
                <w:w w:val="100"/>
                <w:sz w:val="20"/>
              </w:rPr>
              <w:t>3</w:t>
            </w:r>
          </w:p>
        </w:tc>
      </w:tr>
      <w:tr>
        <w:trPr>
          <w:trHeight w:val="480" w:hRule="atLeast"/>
        </w:trPr>
        <w:tc>
          <w:tcPr>
            <w:tcW w:w="1304" w:type="dxa"/>
          </w:tcPr>
          <w:p>
            <w:pPr>
              <w:pStyle w:val="TableParagraph"/>
              <w:ind w:left="200"/>
              <w:rPr>
                <w:sz w:val="20"/>
              </w:rPr>
            </w:pPr>
            <w:r>
              <w:rPr>
                <w:sz w:val="20"/>
              </w:rPr>
              <w:t>HPE 875</w:t>
            </w:r>
          </w:p>
        </w:tc>
        <w:tc>
          <w:tcPr>
            <w:tcW w:w="2946" w:type="dxa"/>
          </w:tcPr>
          <w:p>
            <w:pPr>
              <w:pStyle w:val="TableParagraph"/>
              <w:ind w:left="167"/>
              <w:rPr>
                <w:sz w:val="20"/>
              </w:rPr>
            </w:pPr>
            <w:r>
              <w:rPr>
                <w:sz w:val="20"/>
              </w:rPr>
              <w:t>ADVANCED RESEARCH</w:t>
            </w:r>
          </w:p>
          <w:p>
            <w:pPr>
              <w:pStyle w:val="TableParagraph"/>
              <w:spacing w:line="219" w:lineRule="exact" w:before="10"/>
              <w:ind w:left="167"/>
              <w:rPr>
                <w:sz w:val="20"/>
              </w:rPr>
            </w:pPr>
            <w:r>
              <w:rPr>
                <w:sz w:val="20"/>
              </w:rPr>
              <w:t>METHODS</w:t>
            </w:r>
          </w:p>
        </w:tc>
        <w:tc>
          <w:tcPr>
            <w:tcW w:w="701" w:type="dxa"/>
          </w:tcPr>
          <w:p>
            <w:pPr>
              <w:pStyle w:val="TableParagraph"/>
              <w:ind w:right="198"/>
              <w:jc w:val="right"/>
              <w:rPr>
                <w:sz w:val="20"/>
              </w:rPr>
            </w:pPr>
            <w:r>
              <w:rPr>
                <w:w w:val="100"/>
                <w:sz w:val="20"/>
              </w:rPr>
              <w:t>3</w:t>
            </w:r>
          </w:p>
        </w:tc>
      </w:tr>
      <w:tr>
        <w:trPr>
          <w:trHeight w:val="480" w:hRule="atLeast"/>
        </w:trPr>
        <w:tc>
          <w:tcPr>
            <w:tcW w:w="1304" w:type="dxa"/>
          </w:tcPr>
          <w:p>
            <w:pPr>
              <w:pStyle w:val="TableParagraph"/>
              <w:ind w:left="200"/>
              <w:rPr>
                <w:sz w:val="20"/>
              </w:rPr>
            </w:pPr>
            <w:r>
              <w:rPr>
                <w:sz w:val="20"/>
              </w:rPr>
              <w:t>NRSG 796</w:t>
            </w:r>
          </w:p>
        </w:tc>
        <w:tc>
          <w:tcPr>
            <w:tcW w:w="2946" w:type="dxa"/>
          </w:tcPr>
          <w:p>
            <w:pPr>
              <w:pStyle w:val="TableParagraph"/>
              <w:ind w:left="167"/>
              <w:rPr>
                <w:sz w:val="20"/>
              </w:rPr>
            </w:pPr>
            <w:r>
              <w:rPr>
                <w:sz w:val="20"/>
              </w:rPr>
              <w:t>TEACHING PRACTICUM</w:t>
            </w:r>
          </w:p>
          <w:p>
            <w:pPr>
              <w:pStyle w:val="TableParagraph"/>
              <w:spacing w:line="219" w:lineRule="exact" w:before="10"/>
              <w:ind w:left="167"/>
              <w:rPr>
                <w:sz w:val="20"/>
              </w:rPr>
            </w:pPr>
            <w:r>
              <w:rPr>
                <w:sz w:val="20"/>
              </w:rPr>
              <w:t>IN NURSING</w:t>
            </w:r>
          </w:p>
        </w:tc>
        <w:tc>
          <w:tcPr>
            <w:tcW w:w="701" w:type="dxa"/>
          </w:tcPr>
          <w:p>
            <w:pPr>
              <w:pStyle w:val="TableParagraph"/>
              <w:ind w:right="198"/>
              <w:jc w:val="right"/>
              <w:rPr>
                <w:sz w:val="20"/>
              </w:rPr>
            </w:pPr>
            <w:r>
              <w:rPr>
                <w:w w:val="100"/>
                <w:sz w:val="20"/>
              </w:rPr>
              <w:t>3</w:t>
            </w:r>
          </w:p>
        </w:tc>
      </w:tr>
      <w:tr>
        <w:trPr>
          <w:trHeight w:val="720" w:hRule="atLeast"/>
        </w:trPr>
        <w:tc>
          <w:tcPr>
            <w:tcW w:w="1304" w:type="dxa"/>
          </w:tcPr>
          <w:p>
            <w:pPr>
              <w:pStyle w:val="TableParagraph"/>
              <w:ind w:left="200"/>
              <w:rPr>
                <w:sz w:val="20"/>
              </w:rPr>
            </w:pPr>
            <w:r>
              <w:rPr>
                <w:sz w:val="20"/>
              </w:rPr>
              <w:t>HPE XXX</w:t>
            </w:r>
          </w:p>
        </w:tc>
        <w:tc>
          <w:tcPr>
            <w:tcW w:w="2946" w:type="dxa"/>
          </w:tcPr>
          <w:p>
            <w:pPr>
              <w:pStyle w:val="TableParagraph"/>
              <w:spacing w:line="249" w:lineRule="auto"/>
              <w:ind w:left="167" w:right="420"/>
              <w:rPr>
                <w:sz w:val="20"/>
              </w:rPr>
            </w:pPr>
            <w:r>
              <w:rPr>
                <w:sz w:val="20"/>
              </w:rPr>
              <w:t>PROGRAM EVALUATION MODELS AND</w:t>
            </w:r>
          </w:p>
          <w:p>
            <w:pPr>
              <w:pStyle w:val="TableParagraph"/>
              <w:spacing w:line="219" w:lineRule="exact" w:before="2"/>
              <w:ind w:left="167"/>
              <w:rPr>
                <w:sz w:val="20"/>
              </w:rPr>
            </w:pPr>
            <w:r>
              <w:rPr>
                <w:sz w:val="20"/>
              </w:rPr>
              <w:t>TECHNIQUES</w:t>
            </w:r>
          </w:p>
        </w:tc>
        <w:tc>
          <w:tcPr>
            <w:tcW w:w="701" w:type="dxa"/>
          </w:tcPr>
          <w:p>
            <w:pPr>
              <w:pStyle w:val="TableParagraph"/>
              <w:ind w:right="198"/>
              <w:jc w:val="right"/>
              <w:rPr>
                <w:sz w:val="20"/>
              </w:rPr>
            </w:pPr>
            <w:r>
              <w:rPr>
                <w:w w:val="100"/>
                <w:sz w:val="20"/>
              </w:rPr>
              <w:t>3</w:t>
            </w:r>
          </w:p>
        </w:tc>
      </w:tr>
      <w:tr>
        <w:trPr>
          <w:trHeight w:val="471" w:hRule="atLeast"/>
        </w:trPr>
        <w:tc>
          <w:tcPr>
            <w:tcW w:w="1304" w:type="dxa"/>
          </w:tcPr>
          <w:p>
            <w:pPr>
              <w:pStyle w:val="TableParagraph"/>
              <w:ind w:left="200"/>
              <w:rPr>
                <w:sz w:val="20"/>
              </w:rPr>
            </w:pPr>
            <w:r>
              <w:rPr>
                <w:sz w:val="20"/>
              </w:rPr>
              <w:t>HPE XXX</w:t>
            </w:r>
          </w:p>
        </w:tc>
        <w:tc>
          <w:tcPr>
            <w:tcW w:w="2946" w:type="dxa"/>
          </w:tcPr>
          <w:p>
            <w:pPr>
              <w:pStyle w:val="TableParagraph"/>
              <w:ind w:left="167"/>
              <w:rPr>
                <w:sz w:val="20"/>
              </w:rPr>
            </w:pPr>
            <w:r>
              <w:rPr>
                <w:sz w:val="20"/>
              </w:rPr>
              <w:t>SOCIAL PSYCHOLOGY IN</w:t>
            </w:r>
          </w:p>
          <w:p>
            <w:pPr>
              <w:pStyle w:val="TableParagraph"/>
              <w:spacing w:line="210" w:lineRule="exact" w:before="10"/>
              <w:ind w:left="167"/>
              <w:rPr>
                <w:sz w:val="20"/>
              </w:rPr>
            </w:pPr>
            <w:r>
              <w:rPr>
                <w:sz w:val="20"/>
              </w:rPr>
              <w:t>EDUCATION</w:t>
            </w:r>
          </w:p>
        </w:tc>
        <w:tc>
          <w:tcPr>
            <w:tcW w:w="701" w:type="dxa"/>
          </w:tcPr>
          <w:p>
            <w:pPr>
              <w:pStyle w:val="TableParagraph"/>
              <w:ind w:right="198"/>
              <w:jc w:val="right"/>
              <w:rPr>
                <w:sz w:val="20"/>
              </w:rPr>
            </w:pPr>
            <w:r>
              <w:rPr>
                <w:w w:val="100"/>
                <w:sz w:val="20"/>
              </w:rPr>
              <w:t>3</w:t>
            </w:r>
          </w:p>
        </w:tc>
      </w:tr>
    </w:tbl>
    <w:p>
      <w:pPr>
        <w:pStyle w:val="BodyText"/>
        <w:spacing w:line="249" w:lineRule="auto" w:before="192"/>
        <w:ind w:right="6391"/>
      </w:pPr>
      <w:r>
        <w:rPr/>
        <w:t>Details are given in the Course Descriptions part of this catalog.</w:t>
      </w:r>
    </w:p>
    <w:p>
      <w:pPr>
        <w:spacing w:after="0" w:line="249" w:lineRule="auto"/>
        <w:sectPr>
          <w:pgSz w:w="12240" w:h="15840"/>
          <w:pgMar w:header="746" w:footer="0" w:top="1320" w:bottom="280" w:left="880" w:right="300"/>
        </w:sectPr>
      </w:pPr>
    </w:p>
    <w:p>
      <w:pPr>
        <w:pStyle w:val="Heading3"/>
        <w:ind w:right="808"/>
      </w:pPr>
      <w:bookmarkStart w:name="Implementation and Dissemination Science" w:id="53"/>
      <w:bookmarkEnd w:id="53"/>
      <w:r>
        <w:rPr/>
      </w:r>
      <w:bookmarkStart w:name="_bookmark26" w:id="54"/>
      <w:bookmarkEnd w:id="54"/>
      <w:r>
        <w:rPr/>
      </w:r>
      <w:r>
        <w:rPr/>
        <w:t>Implementation and Dissemination Science</w:t>
      </w:r>
    </w:p>
    <w:p>
      <w:pPr>
        <w:pStyle w:val="BodyText"/>
        <w:spacing w:before="190"/>
      </w:pPr>
      <w:hyperlink r:id="rId61">
        <w:r>
          <w:rPr>
            <w:color w:val="0000FF"/>
            <w:u w:val="single" w:color="0000FF"/>
          </w:rPr>
          <w:t>http://graduate.umaryland.edu/research/</w:t>
        </w:r>
      </w:hyperlink>
    </w:p>
    <w:p>
      <w:pPr>
        <w:spacing w:line="439" w:lineRule="auto" w:before="187"/>
        <w:ind w:left="200" w:right="2416"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left="199" w:right="218"/>
      </w:pPr>
      <w:r>
        <w:rPr/>
        <w:t>The program in Implementation and Dissemination Science is a 12-credit, online postbaccalaureate graduate certificate program.</w:t>
      </w:r>
    </w:p>
    <w:p>
      <w:pPr>
        <w:pStyle w:val="BodyText"/>
        <w:spacing w:line="249" w:lineRule="auto" w:before="180"/>
        <w:ind w:left="199" w:right="23"/>
      </w:pPr>
      <w:r>
        <w:rPr/>
        <w:t>Dissemination science is the process of the distribution of information and intervention materials to a specific public health or clinical practice audience. Translating research into practice is a complex process that involves dissemination science. The purpose of dissemination science research is to translate evidence-based interventions into practice to improve lives and to help translate the results of clinical and population research into everyday clinical practice and public health.</w:t>
      </w:r>
    </w:p>
    <w:p>
      <w:pPr>
        <w:pStyle w:val="BodyText"/>
        <w:spacing w:line="249" w:lineRule="auto" w:before="189"/>
        <w:ind w:left="199" w:right="45"/>
      </w:pPr>
      <w:r>
        <w:rPr/>
        <w:t>Additionally, implementation and dissemination science seeks to ensure that the knowledge and materials produced by health research lead to improved individual and population health by reaching the people for whom they are intended; being adapted to local circumstances; and being implemented effectively, safely, equitably, and in a timely and patient-centered manner.</w:t>
      </w:r>
    </w:p>
    <w:p>
      <w:pPr>
        <w:pStyle w:val="BodyText"/>
        <w:spacing w:line="249" w:lineRule="auto" w:before="182"/>
        <w:ind w:left="199" w:right="156"/>
      </w:pPr>
      <w:r>
        <w:rPr/>
        <w:t>Many students interested in this certificate work in the following fields: clinical research, data analysis, program management, learning and development, strategy, laboratory research, and related areas.</w:t>
      </w:r>
    </w:p>
    <w:p>
      <w:pPr>
        <w:pStyle w:val="BodyText"/>
        <w:spacing w:line="249" w:lineRule="auto" w:before="186"/>
        <w:ind w:left="199" w:right="144"/>
      </w:pPr>
      <w:r>
        <w:rPr/>
        <w:t>Students in this program will study methods that promote systematic uptake and translate the results of clinical and population research into everyday clinical practice and public health. The program also intends to help students ensure that the knowledge and materials produced by health research will improve individual and population health.</w:t>
      </w:r>
    </w:p>
    <w:p>
      <w:pPr>
        <w:pStyle w:val="BodyText"/>
        <w:spacing w:line="249" w:lineRule="auto" w:before="182"/>
        <w:ind w:left="199" w:right="178"/>
      </w:pPr>
      <w:r>
        <w:rPr/>
        <w:t>Implementation and Dissemination Science also is a concentration of study within the Master of Science in Health Science (MSHS) program. Credits earned in the stand-alone Implementation and Dissemination Science certificate program may be applied toward MSHS degree requirements.</w:t>
      </w:r>
    </w:p>
    <w:p>
      <w:pPr>
        <w:pStyle w:val="Heading6"/>
        <w:spacing w:before="96"/>
      </w:pPr>
      <w:r>
        <w:rPr>
          <w:b w:val="0"/>
        </w:rPr>
        <w:br w:type="column"/>
      </w:r>
      <w:r>
        <w:rPr/>
        <w:t>Program Admission</w:t>
      </w:r>
    </w:p>
    <w:p>
      <w:pPr>
        <w:pStyle w:val="BodyText"/>
        <w:spacing w:line="249" w:lineRule="auto" w:before="188"/>
        <w:ind w:right="644"/>
      </w:pPr>
      <w:r>
        <w:rPr/>
        <w:t>Candidates for admission must meet the minimum 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w:t>
      </w:r>
    </w:p>
    <w:p>
      <w:pPr>
        <w:pStyle w:val="BodyText"/>
        <w:spacing w:line="249" w:lineRule="auto" w:before="187"/>
        <w:ind w:right="807"/>
      </w:pPr>
      <w:r>
        <w:rPr/>
        <w:t>Graduate Record Examinations are not required for admission.</w:t>
      </w:r>
    </w:p>
    <w:p>
      <w:pPr>
        <w:pStyle w:val="Heading6"/>
        <w:spacing w:before="179"/>
      </w:pPr>
      <w:r>
        <w:rPr/>
        <w:t>Degree Requirements</w:t>
      </w:r>
    </w:p>
    <w:p>
      <w:pPr>
        <w:pStyle w:val="BodyText"/>
        <w:spacing w:line="249" w:lineRule="auto" w:before="193"/>
        <w:ind w:right="621"/>
      </w:pPr>
      <w:r>
        <w:rPr/>
        <w:t>Certificate candidates must complete a minimum </w:t>
      </w:r>
      <w:r>
        <w:rPr>
          <w:spacing w:val="-3"/>
        </w:rPr>
        <w:t>of </w:t>
      </w:r>
      <w:r>
        <w:rPr/>
        <w:t>12 credits. Students must maintain a minimum, cumulative 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courses </w:t>
      </w:r>
      <w:r>
        <w:rPr>
          <w:spacing w:val="-3"/>
        </w:rPr>
        <w:t>taken </w:t>
      </w:r>
      <w:r>
        <w:rPr/>
        <w:t>as Pass/Fail (P/F) </w:t>
      </w:r>
      <w:r>
        <w:rPr>
          <w:spacing w:val="-3"/>
        </w:rPr>
        <w:t>or </w:t>
      </w:r>
      <w:r>
        <w:rPr/>
        <w:t>Audit </w:t>
      </w:r>
      <w:r>
        <w:rPr>
          <w:spacing w:val="-3"/>
        </w:rPr>
        <w:t>(AU) </w:t>
      </w:r>
      <w:r>
        <w:rPr/>
        <w:t>do not count toward the certificate. </w:t>
      </w:r>
      <w:r>
        <w:rPr>
          <w:spacing w:val="-2"/>
        </w:rPr>
        <w:t>All </w:t>
      </w:r>
      <w:r>
        <w:rPr/>
        <w:t>requirements </w:t>
      </w:r>
      <w:r>
        <w:rPr>
          <w:spacing w:val="-4"/>
        </w:rPr>
        <w:t>for </w:t>
      </w:r>
      <w:r>
        <w:rPr/>
        <w:t>the certificate must </w:t>
      </w:r>
      <w:r>
        <w:rPr>
          <w:spacing w:val="-3"/>
        </w:rPr>
        <w:t>be </w:t>
      </w:r>
      <w:r>
        <w:rPr/>
        <w:t>completed within three years after admission and all credits </w:t>
      </w:r>
      <w:r>
        <w:rPr>
          <w:spacing w:val="-4"/>
        </w:rPr>
        <w:t>for </w:t>
      </w:r>
      <w:r>
        <w:rPr/>
        <w:t>the certificate must </w:t>
      </w:r>
      <w:r>
        <w:rPr>
          <w:spacing w:val="-3"/>
        </w:rPr>
        <w:t>be </w:t>
      </w:r>
      <w:r>
        <w:rPr/>
        <w:t>completed at the University of Maryland, Baltimore. Complete guideline and requirements </w:t>
      </w:r>
      <w:r>
        <w:rPr>
          <w:spacing w:val="-4"/>
        </w:rPr>
        <w:t>for </w:t>
      </w:r>
      <w:r>
        <w:rPr/>
        <w:t>progression and completion are outlined in the Academic Performance and Progress in a Postbaccalaureate Certificate Program section </w:t>
      </w:r>
      <w:r>
        <w:rPr>
          <w:spacing w:val="-3"/>
        </w:rPr>
        <w:t>of </w:t>
      </w:r>
      <w:r>
        <w:rPr/>
        <w:t>this catalog.</w:t>
      </w:r>
    </w:p>
    <w:p>
      <w:pPr>
        <w:pStyle w:val="Heading5"/>
        <w:spacing w:before="182"/>
        <w:ind w:left="199"/>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9"/>
        <w:gridCol w:w="3048"/>
        <w:gridCol w:w="714"/>
      </w:tblGrid>
      <w:tr>
        <w:trPr>
          <w:trHeight w:val="711" w:hRule="atLeast"/>
        </w:trPr>
        <w:tc>
          <w:tcPr>
            <w:tcW w:w="1189" w:type="dxa"/>
          </w:tcPr>
          <w:p>
            <w:pPr>
              <w:pStyle w:val="TableParagraph"/>
              <w:spacing w:line="223" w:lineRule="exact" w:before="0"/>
              <w:ind w:left="200"/>
              <w:rPr>
                <w:sz w:val="20"/>
              </w:rPr>
            </w:pPr>
            <w:r>
              <w:rPr>
                <w:sz w:val="20"/>
              </w:rPr>
              <w:t>MHS 613</w:t>
            </w:r>
          </w:p>
        </w:tc>
        <w:tc>
          <w:tcPr>
            <w:tcW w:w="3048" w:type="dxa"/>
          </w:tcPr>
          <w:p>
            <w:pPr>
              <w:pStyle w:val="TableParagraph"/>
              <w:spacing w:line="249" w:lineRule="auto" w:before="0"/>
              <w:ind w:left="206" w:right="550"/>
              <w:rPr>
                <w:sz w:val="20"/>
              </w:rPr>
            </w:pPr>
            <w:r>
              <w:rPr>
                <w:sz w:val="20"/>
              </w:rPr>
              <w:t>RESEARCH IMPLEMENTATION AND</w:t>
            </w:r>
          </w:p>
          <w:p>
            <w:pPr>
              <w:pStyle w:val="TableParagraph"/>
              <w:spacing w:line="219" w:lineRule="exact" w:before="0"/>
              <w:ind w:left="206"/>
              <w:rPr>
                <w:sz w:val="20"/>
              </w:rPr>
            </w:pPr>
            <w:r>
              <w:rPr>
                <w:sz w:val="20"/>
              </w:rPr>
              <w:t>DISSEMINATION I</w:t>
            </w:r>
          </w:p>
        </w:tc>
        <w:tc>
          <w:tcPr>
            <w:tcW w:w="714" w:type="dxa"/>
          </w:tcPr>
          <w:p>
            <w:pPr>
              <w:pStyle w:val="TableParagraph"/>
              <w:spacing w:line="223" w:lineRule="exact" w:before="0"/>
              <w:ind w:right="198"/>
              <w:jc w:val="right"/>
              <w:rPr>
                <w:sz w:val="20"/>
              </w:rPr>
            </w:pPr>
            <w:r>
              <w:rPr>
                <w:w w:val="100"/>
                <w:sz w:val="20"/>
              </w:rPr>
              <w:t>3</w:t>
            </w:r>
          </w:p>
        </w:tc>
      </w:tr>
      <w:tr>
        <w:trPr>
          <w:trHeight w:val="720" w:hRule="atLeast"/>
        </w:trPr>
        <w:tc>
          <w:tcPr>
            <w:tcW w:w="1189" w:type="dxa"/>
          </w:tcPr>
          <w:p>
            <w:pPr>
              <w:pStyle w:val="TableParagraph"/>
              <w:ind w:left="200"/>
              <w:rPr>
                <w:sz w:val="20"/>
              </w:rPr>
            </w:pPr>
            <w:r>
              <w:rPr>
                <w:sz w:val="20"/>
              </w:rPr>
              <w:t>MHS 614</w:t>
            </w:r>
          </w:p>
        </w:tc>
        <w:tc>
          <w:tcPr>
            <w:tcW w:w="3048" w:type="dxa"/>
          </w:tcPr>
          <w:p>
            <w:pPr>
              <w:pStyle w:val="TableParagraph"/>
              <w:spacing w:line="249" w:lineRule="auto"/>
              <w:ind w:left="206" w:right="550"/>
              <w:rPr>
                <w:sz w:val="20"/>
              </w:rPr>
            </w:pPr>
            <w:r>
              <w:rPr>
                <w:sz w:val="20"/>
              </w:rPr>
              <w:t>RESEARCH IMPLEMENTATION AND</w:t>
            </w:r>
          </w:p>
          <w:p>
            <w:pPr>
              <w:pStyle w:val="TableParagraph"/>
              <w:spacing w:line="219" w:lineRule="exact" w:before="2"/>
              <w:ind w:left="206"/>
              <w:rPr>
                <w:sz w:val="20"/>
              </w:rPr>
            </w:pPr>
            <w:r>
              <w:rPr>
                <w:sz w:val="20"/>
              </w:rPr>
              <w:t>DISSEMINATION II</w:t>
            </w:r>
          </w:p>
        </w:tc>
        <w:tc>
          <w:tcPr>
            <w:tcW w:w="714" w:type="dxa"/>
          </w:tcPr>
          <w:p>
            <w:pPr>
              <w:pStyle w:val="TableParagraph"/>
              <w:ind w:right="198"/>
              <w:jc w:val="right"/>
              <w:rPr>
                <w:sz w:val="20"/>
              </w:rPr>
            </w:pPr>
            <w:r>
              <w:rPr>
                <w:w w:val="100"/>
                <w:sz w:val="20"/>
              </w:rPr>
              <w:t>3</w:t>
            </w:r>
          </w:p>
        </w:tc>
      </w:tr>
      <w:tr>
        <w:trPr>
          <w:trHeight w:val="240" w:hRule="atLeast"/>
        </w:trPr>
        <w:tc>
          <w:tcPr>
            <w:tcW w:w="1189" w:type="dxa"/>
          </w:tcPr>
          <w:p>
            <w:pPr>
              <w:pStyle w:val="TableParagraph"/>
              <w:spacing w:line="219" w:lineRule="exact"/>
              <w:ind w:left="200"/>
              <w:rPr>
                <w:sz w:val="20"/>
              </w:rPr>
            </w:pPr>
            <w:r>
              <w:rPr>
                <w:sz w:val="20"/>
              </w:rPr>
              <w:t>MHS 624</w:t>
            </w:r>
          </w:p>
        </w:tc>
        <w:tc>
          <w:tcPr>
            <w:tcW w:w="3048" w:type="dxa"/>
          </w:tcPr>
          <w:p>
            <w:pPr>
              <w:pStyle w:val="TableParagraph"/>
              <w:spacing w:before="0"/>
              <w:rPr>
                <w:sz w:val="16"/>
              </w:rPr>
            </w:pPr>
          </w:p>
        </w:tc>
        <w:tc>
          <w:tcPr>
            <w:tcW w:w="714" w:type="dxa"/>
          </w:tcPr>
          <w:p>
            <w:pPr>
              <w:pStyle w:val="TableParagraph"/>
              <w:spacing w:line="219" w:lineRule="exact"/>
              <w:ind w:right="198"/>
              <w:jc w:val="right"/>
              <w:rPr>
                <w:sz w:val="20"/>
              </w:rPr>
            </w:pPr>
            <w:r>
              <w:rPr>
                <w:w w:val="100"/>
                <w:sz w:val="20"/>
              </w:rPr>
              <w:t>3</w:t>
            </w:r>
          </w:p>
        </w:tc>
      </w:tr>
      <w:tr>
        <w:trPr>
          <w:trHeight w:val="711" w:hRule="atLeast"/>
        </w:trPr>
        <w:tc>
          <w:tcPr>
            <w:tcW w:w="1189" w:type="dxa"/>
          </w:tcPr>
          <w:p>
            <w:pPr>
              <w:pStyle w:val="TableParagraph"/>
              <w:ind w:left="200"/>
              <w:rPr>
                <w:sz w:val="20"/>
              </w:rPr>
            </w:pPr>
            <w:r>
              <w:rPr>
                <w:sz w:val="20"/>
              </w:rPr>
              <w:t>MHS 630</w:t>
            </w:r>
          </w:p>
        </w:tc>
        <w:tc>
          <w:tcPr>
            <w:tcW w:w="3048" w:type="dxa"/>
          </w:tcPr>
          <w:p>
            <w:pPr>
              <w:pStyle w:val="TableParagraph"/>
              <w:spacing w:line="249" w:lineRule="auto"/>
              <w:ind w:left="206"/>
              <w:rPr>
                <w:sz w:val="20"/>
              </w:rPr>
            </w:pPr>
            <w:r>
              <w:rPr>
                <w:sz w:val="20"/>
              </w:rPr>
              <w:t>ESSENTIALS OF CHRONIC INFECTIOUS</w:t>
            </w:r>
          </w:p>
          <w:p>
            <w:pPr>
              <w:pStyle w:val="TableParagraph"/>
              <w:spacing w:line="210" w:lineRule="exact" w:before="2"/>
              <w:ind w:left="206"/>
              <w:rPr>
                <w:sz w:val="20"/>
              </w:rPr>
            </w:pPr>
            <w:r>
              <w:rPr>
                <w:sz w:val="20"/>
              </w:rPr>
              <w:t>EPIDEMIOLOGY</w:t>
            </w:r>
          </w:p>
        </w:tc>
        <w:tc>
          <w:tcPr>
            <w:tcW w:w="714" w:type="dxa"/>
          </w:tcPr>
          <w:p>
            <w:pPr>
              <w:pStyle w:val="TableParagraph"/>
              <w:ind w:right="198"/>
              <w:jc w:val="right"/>
              <w:rPr>
                <w:sz w:val="20"/>
              </w:rPr>
            </w:pPr>
            <w:r>
              <w:rPr>
                <w:w w:val="100"/>
                <w:sz w:val="20"/>
              </w:rPr>
              <w:t>3</w:t>
            </w:r>
          </w:p>
        </w:tc>
      </w:tr>
    </w:tbl>
    <w:p>
      <w:pPr>
        <w:pStyle w:val="BodyText"/>
        <w:spacing w:before="0"/>
        <w:ind w:left="0"/>
        <w:rPr>
          <w:sz w:val="18"/>
        </w:rPr>
      </w:pPr>
    </w:p>
    <w:p>
      <w:pPr>
        <w:pStyle w:val="BodyText"/>
        <w:spacing w:line="249" w:lineRule="auto" w:before="0"/>
        <w:ind w:left="199" w:right="906"/>
      </w:pPr>
      <w:r>
        <w:rPr/>
        <w:t>Details are given in the Course Descriptions part of this catalog.</w:t>
      </w:r>
    </w:p>
    <w:p>
      <w:pPr>
        <w:spacing w:after="0" w:line="249" w:lineRule="auto"/>
        <w:sectPr>
          <w:pgSz w:w="12240" w:h="15840"/>
          <w:pgMar w:header="746" w:footer="0" w:top="1320" w:bottom="280" w:left="880" w:right="300"/>
          <w:cols w:num="2" w:equalWidth="0">
            <w:col w:w="4963" w:space="523"/>
            <w:col w:w="5574"/>
          </w:cols>
        </w:sectPr>
      </w:pPr>
    </w:p>
    <w:p>
      <w:pPr>
        <w:pStyle w:val="Heading3"/>
      </w:pPr>
      <w:bookmarkStart w:name="Integrative Health and Wellness" w:id="55"/>
      <w:bookmarkEnd w:id="55"/>
      <w:r>
        <w:rPr/>
      </w:r>
      <w:bookmarkStart w:name="_bookmark27" w:id="56"/>
      <w:bookmarkEnd w:id="56"/>
      <w:r>
        <w:rPr/>
      </w:r>
      <w:r>
        <w:rPr/>
        <w:t>Integrative Health and Wellness</w:t>
      </w:r>
    </w:p>
    <w:p>
      <w:pPr>
        <w:pStyle w:val="BodyText"/>
        <w:spacing w:before="190"/>
      </w:pPr>
      <w:hyperlink r:id="rId62">
        <w:r>
          <w:rPr>
            <w:color w:val="0000FF"/>
            <w:u w:val="single" w:color="0000FF"/>
          </w:rPr>
          <w:t>http://graduate.umaryland.edu/wellness/</w:t>
        </w:r>
      </w:hyperlink>
    </w:p>
    <w:p>
      <w:pPr>
        <w:spacing w:line="439" w:lineRule="auto" w:before="192"/>
        <w:ind w:left="200" w:right="2455"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left="199" w:right="381"/>
        <w:jc w:val="both"/>
      </w:pPr>
      <w:r>
        <w:rPr/>
        <w:t>The Integrative Health and Wellness postbaccalaureate certificate is a 12-credit program that can be completed entirely online.</w:t>
      </w:r>
    </w:p>
    <w:p>
      <w:pPr>
        <w:pStyle w:val="BodyText"/>
        <w:spacing w:line="249" w:lineRule="auto" w:before="180"/>
        <w:ind w:left="199" w:right="38"/>
      </w:pPr>
      <w:r>
        <w:rPr/>
        <w:t>This program teaches students about integrative therapies and how individuals </w:t>
      </w:r>
      <w:r>
        <w:rPr>
          <w:spacing w:val="-3"/>
        </w:rPr>
        <w:t>can </w:t>
      </w:r>
      <w:r>
        <w:rPr/>
        <w:t>bring these therapies into their </w:t>
      </w:r>
      <w:r>
        <w:rPr>
          <w:spacing w:val="-3"/>
        </w:rPr>
        <w:t>own </w:t>
      </w:r>
      <w:r>
        <w:rPr/>
        <w:t>professional and personal experiences. The Integrative Health and Wellness certificate is designed </w:t>
      </w:r>
      <w:r>
        <w:rPr>
          <w:spacing w:val="-4"/>
        </w:rPr>
        <w:t>for </w:t>
      </w:r>
      <w:r>
        <w:rPr/>
        <w:t>students who are interested in learning more about an integrative, holistic approach to health and healing. This holistic approach appreciates and attends to the role </w:t>
      </w:r>
      <w:r>
        <w:rPr>
          <w:spacing w:val="-3"/>
        </w:rPr>
        <w:t>of </w:t>
      </w:r>
      <w:r>
        <w:rPr/>
        <w:t>the </w:t>
      </w:r>
      <w:r>
        <w:rPr>
          <w:spacing w:val="-4"/>
        </w:rPr>
        <w:t>body, </w:t>
      </w:r>
      <w:r>
        <w:rPr/>
        <w:t>mind, and spirit in creating and maintaining health and wellness. </w:t>
      </w:r>
      <w:r>
        <w:rPr>
          <w:spacing w:val="-3"/>
        </w:rPr>
        <w:t>In </w:t>
      </w:r>
      <w:r>
        <w:rPr/>
        <w:t>this program, students study the differences between the philosophy, </w:t>
      </w:r>
      <w:r>
        <w:rPr>
          <w:spacing w:val="-3"/>
        </w:rPr>
        <w:t>theory, </w:t>
      </w:r>
      <w:r>
        <w:rPr/>
        <w:t>and application </w:t>
      </w:r>
      <w:r>
        <w:rPr>
          <w:spacing w:val="-5"/>
        </w:rPr>
        <w:t>of </w:t>
      </w:r>
      <w:r>
        <w:rPr/>
        <w:t>allopathic medicine and integrative medicine. Students critically evaluate the benefits and drawbacks of both approaches as </w:t>
      </w:r>
      <w:r>
        <w:rPr>
          <w:spacing w:val="-3"/>
        </w:rPr>
        <w:t>well </w:t>
      </w:r>
      <w:r>
        <w:rPr/>
        <w:t>as the strengths and limitations </w:t>
      </w:r>
      <w:r>
        <w:rPr>
          <w:spacing w:val="-3"/>
        </w:rPr>
        <w:t>of </w:t>
      </w:r>
      <w:r>
        <w:rPr/>
        <w:t>the empirical evidence </w:t>
      </w:r>
      <w:r>
        <w:rPr>
          <w:spacing w:val="-4"/>
        </w:rPr>
        <w:t>for  </w:t>
      </w:r>
      <w:r>
        <w:rPr/>
        <w:t>the efficacy and safety of integrative health therapies. </w:t>
      </w:r>
      <w:r>
        <w:rPr>
          <w:spacing w:val="-3"/>
        </w:rPr>
        <w:t>In </w:t>
      </w:r>
      <w:r>
        <w:rPr/>
        <w:t>this program, students may practice the key integrative skills they are learning, including popular forms </w:t>
      </w:r>
      <w:r>
        <w:rPr>
          <w:spacing w:val="-3"/>
        </w:rPr>
        <w:t>of </w:t>
      </w:r>
      <w:r>
        <w:rPr/>
        <w:t>mind-body interventions, health coaching strategies, and integrative assessments and treatment plans. </w:t>
      </w:r>
      <w:r>
        <w:rPr>
          <w:spacing w:val="-3"/>
        </w:rPr>
        <w:t>In </w:t>
      </w:r>
      <w:r>
        <w:rPr/>
        <w:t>addition to professional growth, students </w:t>
      </w:r>
      <w:r>
        <w:rPr>
          <w:spacing w:val="-3"/>
        </w:rPr>
        <w:t>can </w:t>
      </w:r>
      <w:r>
        <w:rPr/>
        <w:t>benefit personally from self-reflection exercises and guided experiential learning. Individuals interested in this program will have backgrounds in health care, fitness, nutrition, </w:t>
      </w:r>
      <w:r>
        <w:rPr>
          <w:spacing w:val="-3"/>
        </w:rPr>
        <w:t>or </w:t>
      </w:r>
      <w:r>
        <w:rPr/>
        <w:t>psychology. However, the concepts presented in this certificate are useful </w:t>
      </w:r>
      <w:r>
        <w:rPr>
          <w:spacing w:val="-4"/>
        </w:rPr>
        <w:t>for </w:t>
      </w:r>
      <w:r>
        <w:rPr/>
        <w:t>students from a variety of backgrounds who are interested in integrative medicine and how it </w:t>
      </w:r>
      <w:r>
        <w:rPr>
          <w:spacing w:val="-3"/>
        </w:rPr>
        <w:t>can </w:t>
      </w:r>
      <w:r>
        <w:rPr/>
        <w:t>benefit them professionally and personally. Graduates </w:t>
      </w:r>
      <w:r>
        <w:rPr>
          <w:spacing w:val="-3"/>
        </w:rPr>
        <w:t>of </w:t>
      </w:r>
      <w:r>
        <w:rPr/>
        <w:t>this program will have the unique advantage </w:t>
      </w:r>
      <w:r>
        <w:rPr>
          <w:spacing w:val="-3"/>
        </w:rPr>
        <w:t>of </w:t>
      </w:r>
      <w:r>
        <w:rPr/>
        <w:t>having studied </w:t>
      </w:r>
      <w:r>
        <w:rPr>
          <w:spacing w:val="-3"/>
        </w:rPr>
        <w:t>with </w:t>
      </w:r>
      <w:r>
        <w:rPr/>
        <w:t>leading professionals in this field and possessing a sound knowledge of the empirical research in integrative medicine and basic proficiency in fundamental skills </w:t>
      </w:r>
      <w:r>
        <w:rPr>
          <w:spacing w:val="-4"/>
        </w:rPr>
        <w:t>for </w:t>
      </w:r>
      <w:r>
        <w:rPr/>
        <w:t>the practice </w:t>
      </w:r>
      <w:r>
        <w:rPr>
          <w:spacing w:val="-3"/>
        </w:rPr>
        <w:t>of </w:t>
      </w:r>
      <w:r>
        <w:rPr/>
        <w:t>integrative health and wellness. Integrative Health and Wellness also is a concentration </w:t>
      </w:r>
      <w:r>
        <w:rPr>
          <w:spacing w:val="-3"/>
        </w:rPr>
        <w:t>of </w:t>
      </w:r>
      <w:r>
        <w:rPr/>
        <w:t>study within the Master </w:t>
      </w:r>
      <w:r>
        <w:rPr>
          <w:spacing w:val="-3"/>
        </w:rPr>
        <w:t>of </w:t>
      </w:r>
      <w:r>
        <w:rPr/>
        <w:t>Science in </w:t>
      </w:r>
      <w:r>
        <w:rPr>
          <w:spacing w:val="-3"/>
        </w:rPr>
        <w:t>Health </w:t>
      </w:r>
      <w:r>
        <w:rPr/>
        <w:t>Science </w:t>
      </w:r>
      <w:r>
        <w:rPr>
          <w:spacing w:val="-3"/>
        </w:rPr>
        <w:t>(MSHS) </w:t>
      </w:r>
      <w:r>
        <w:rPr/>
        <w:t>program. Credits earned in the stand-alone Integrative Health and Wellness certificate program may </w:t>
      </w:r>
      <w:r>
        <w:rPr>
          <w:spacing w:val="-3"/>
        </w:rPr>
        <w:t>be </w:t>
      </w:r>
      <w:r>
        <w:rPr/>
        <w:t>applied toward  </w:t>
      </w:r>
      <w:r>
        <w:rPr>
          <w:spacing w:val="-3"/>
        </w:rPr>
        <w:t>MSHS </w:t>
      </w:r>
      <w:r>
        <w:rPr/>
        <w:t>degree</w:t>
      </w:r>
      <w:r>
        <w:rPr>
          <w:spacing w:val="3"/>
        </w:rPr>
        <w:t> </w:t>
      </w:r>
      <w:r>
        <w:rPr/>
        <w:t>requirements.</w:t>
      </w:r>
    </w:p>
    <w:p>
      <w:pPr>
        <w:pStyle w:val="Heading6"/>
        <w:spacing w:before="96"/>
      </w:pPr>
      <w:r>
        <w:rPr>
          <w:b w:val="0"/>
        </w:rPr>
        <w:br w:type="column"/>
      </w:r>
      <w:r>
        <w:rPr/>
        <w:t>Certificate Objectives</w:t>
      </w:r>
    </w:p>
    <w:p>
      <w:pPr>
        <w:pStyle w:val="BodyText"/>
        <w:spacing w:before="187"/>
      </w:pPr>
      <w:r>
        <w:rPr/>
        <w:t>This certificate is designed to:</w:t>
      </w:r>
    </w:p>
    <w:p>
      <w:pPr>
        <w:pStyle w:val="ListParagraph"/>
        <w:numPr>
          <w:ilvl w:val="1"/>
          <w:numId w:val="13"/>
        </w:numPr>
        <w:tabs>
          <w:tab w:pos="633" w:val="left" w:leader="none"/>
        </w:tabs>
        <w:spacing w:line="249" w:lineRule="auto" w:before="193" w:after="0"/>
        <w:ind w:left="632" w:right="813" w:hanging="216"/>
        <w:jc w:val="left"/>
        <w:rPr>
          <w:sz w:val="20"/>
        </w:rPr>
      </w:pPr>
      <w:r>
        <w:rPr>
          <w:sz w:val="20"/>
        </w:rPr>
        <w:t>Provide students </w:t>
      </w:r>
      <w:r>
        <w:rPr>
          <w:spacing w:val="-3"/>
          <w:sz w:val="20"/>
        </w:rPr>
        <w:t>with </w:t>
      </w:r>
      <w:r>
        <w:rPr>
          <w:sz w:val="20"/>
        </w:rPr>
        <w:t>empirically based knowledge of holistic approaches to health and</w:t>
      </w:r>
      <w:r>
        <w:rPr>
          <w:spacing w:val="-13"/>
          <w:sz w:val="20"/>
        </w:rPr>
        <w:t> </w:t>
      </w:r>
      <w:r>
        <w:rPr>
          <w:sz w:val="20"/>
        </w:rPr>
        <w:t>wellness.</w:t>
      </w:r>
    </w:p>
    <w:p>
      <w:pPr>
        <w:pStyle w:val="ListParagraph"/>
        <w:numPr>
          <w:ilvl w:val="1"/>
          <w:numId w:val="13"/>
        </w:numPr>
        <w:tabs>
          <w:tab w:pos="633" w:val="left" w:leader="none"/>
        </w:tabs>
        <w:spacing w:line="249" w:lineRule="auto" w:before="179" w:after="0"/>
        <w:ind w:left="632" w:right="631" w:hanging="216"/>
        <w:jc w:val="left"/>
        <w:rPr>
          <w:sz w:val="20"/>
        </w:rPr>
      </w:pPr>
      <w:r>
        <w:rPr>
          <w:sz w:val="20"/>
        </w:rPr>
        <w:t>Improve the quality and breadth </w:t>
      </w:r>
      <w:r>
        <w:rPr>
          <w:spacing w:val="-3"/>
          <w:sz w:val="20"/>
        </w:rPr>
        <w:t>of </w:t>
      </w:r>
      <w:r>
        <w:rPr>
          <w:sz w:val="20"/>
        </w:rPr>
        <w:t>care </w:t>
      </w:r>
      <w:r>
        <w:rPr>
          <w:spacing w:val="-3"/>
          <w:sz w:val="20"/>
        </w:rPr>
        <w:t>of </w:t>
      </w:r>
      <w:r>
        <w:rPr>
          <w:sz w:val="20"/>
        </w:rPr>
        <w:t>health care practitioners.</w:t>
      </w:r>
    </w:p>
    <w:p>
      <w:pPr>
        <w:pStyle w:val="ListParagraph"/>
        <w:numPr>
          <w:ilvl w:val="1"/>
          <w:numId w:val="13"/>
        </w:numPr>
        <w:tabs>
          <w:tab w:pos="633" w:val="left" w:leader="none"/>
        </w:tabs>
        <w:spacing w:line="249" w:lineRule="auto" w:before="184" w:after="0"/>
        <w:ind w:left="632" w:right="632" w:hanging="216"/>
        <w:jc w:val="left"/>
        <w:rPr>
          <w:sz w:val="20"/>
        </w:rPr>
      </w:pPr>
      <w:r>
        <w:rPr>
          <w:sz w:val="20"/>
        </w:rPr>
        <w:t>Plan and facilitate programs that will bring awareness to integrative health and wellness health care</w:t>
      </w:r>
      <w:r>
        <w:rPr>
          <w:spacing w:val="-20"/>
          <w:sz w:val="20"/>
        </w:rPr>
        <w:t> </w:t>
      </w:r>
      <w:r>
        <w:rPr>
          <w:sz w:val="20"/>
        </w:rPr>
        <w:t>options.</w:t>
      </w:r>
    </w:p>
    <w:p>
      <w:pPr>
        <w:pStyle w:val="ListParagraph"/>
        <w:numPr>
          <w:ilvl w:val="1"/>
          <w:numId w:val="13"/>
        </w:numPr>
        <w:tabs>
          <w:tab w:pos="633" w:val="left" w:leader="none"/>
        </w:tabs>
        <w:spacing w:line="249" w:lineRule="auto" w:before="179" w:after="0"/>
        <w:ind w:left="632" w:right="635" w:hanging="216"/>
        <w:jc w:val="left"/>
        <w:rPr>
          <w:sz w:val="20"/>
        </w:rPr>
      </w:pPr>
      <w:r>
        <w:rPr>
          <w:sz w:val="20"/>
        </w:rPr>
        <w:t>Work effectively within various health care facilities to provide complementary and integrative approaches for those seeking nonallopathic</w:t>
      </w:r>
      <w:r>
        <w:rPr>
          <w:spacing w:val="-5"/>
          <w:sz w:val="20"/>
        </w:rPr>
        <w:t> </w:t>
      </w:r>
      <w:r>
        <w:rPr>
          <w:sz w:val="20"/>
        </w:rPr>
        <w:t>treatments.</w:t>
      </w:r>
    </w:p>
    <w:p>
      <w:pPr>
        <w:pStyle w:val="ListParagraph"/>
        <w:numPr>
          <w:ilvl w:val="1"/>
          <w:numId w:val="13"/>
        </w:numPr>
        <w:tabs>
          <w:tab w:pos="633" w:val="left" w:leader="none"/>
        </w:tabs>
        <w:spacing w:line="249" w:lineRule="auto" w:before="184" w:after="0"/>
        <w:ind w:left="632" w:right="743" w:hanging="216"/>
        <w:jc w:val="both"/>
        <w:rPr>
          <w:sz w:val="20"/>
        </w:rPr>
      </w:pPr>
      <w:r>
        <w:rPr>
          <w:sz w:val="20"/>
        </w:rPr>
        <w:t>Build interdisciplinary teams and communicate with clinical providers, administrators, and patients using integrative</w:t>
      </w:r>
      <w:r>
        <w:rPr>
          <w:spacing w:val="-2"/>
          <w:sz w:val="20"/>
        </w:rPr>
        <w:t> </w:t>
      </w:r>
      <w:r>
        <w:rPr>
          <w:sz w:val="20"/>
        </w:rPr>
        <w:t>approaches.</w:t>
      </w:r>
    </w:p>
    <w:p>
      <w:pPr>
        <w:pStyle w:val="Heading6"/>
        <w:spacing w:before="180"/>
      </w:pPr>
      <w:r>
        <w:rPr/>
        <w:t>Learning Outcomes</w:t>
      </w:r>
    </w:p>
    <w:p>
      <w:pPr>
        <w:pStyle w:val="BodyText"/>
        <w:spacing w:before="192"/>
      </w:pPr>
      <w:r>
        <w:rPr/>
        <w:t>At completion of the program, students will be able to:</w:t>
      </w:r>
    </w:p>
    <w:p>
      <w:pPr>
        <w:pStyle w:val="ListParagraph"/>
        <w:numPr>
          <w:ilvl w:val="1"/>
          <w:numId w:val="13"/>
        </w:numPr>
        <w:tabs>
          <w:tab w:pos="633" w:val="left" w:leader="none"/>
        </w:tabs>
        <w:spacing w:line="249" w:lineRule="auto" w:before="188" w:after="0"/>
        <w:ind w:left="632" w:right="986" w:hanging="216"/>
        <w:jc w:val="left"/>
        <w:rPr>
          <w:sz w:val="20"/>
        </w:rPr>
      </w:pPr>
      <w:r>
        <w:rPr>
          <w:sz w:val="20"/>
        </w:rPr>
        <w:t>Describe the fundamental concepts </w:t>
      </w:r>
      <w:r>
        <w:rPr>
          <w:spacing w:val="-3"/>
          <w:sz w:val="20"/>
        </w:rPr>
        <w:t>of </w:t>
      </w:r>
      <w:r>
        <w:rPr>
          <w:sz w:val="20"/>
        </w:rPr>
        <w:t>integrative health and wellness, including the history, philosophies, theories, and methods </w:t>
      </w:r>
      <w:r>
        <w:rPr>
          <w:spacing w:val="-3"/>
          <w:sz w:val="20"/>
        </w:rPr>
        <w:t>of </w:t>
      </w:r>
      <w:r>
        <w:rPr>
          <w:sz w:val="20"/>
        </w:rPr>
        <w:t>prominent integrative</w:t>
      </w:r>
      <w:r>
        <w:rPr>
          <w:spacing w:val="-2"/>
          <w:sz w:val="20"/>
        </w:rPr>
        <w:t> </w:t>
      </w:r>
      <w:r>
        <w:rPr>
          <w:sz w:val="20"/>
        </w:rPr>
        <w:t>therapies.</w:t>
      </w:r>
    </w:p>
    <w:p>
      <w:pPr>
        <w:pStyle w:val="ListParagraph"/>
        <w:numPr>
          <w:ilvl w:val="1"/>
          <w:numId w:val="13"/>
        </w:numPr>
        <w:tabs>
          <w:tab w:pos="633" w:val="left" w:leader="none"/>
        </w:tabs>
        <w:spacing w:line="249" w:lineRule="auto" w:before="185" w:after="0"/>
        <w:ind w:left="632" w:right="689" w:hanging="216"/>
        <w:jc w:val="left"/>
        <w:rPr>
          <w:sz w:val="20"/>
        </w:rPr>
      </w:pPr>
      <w:r>
        <w:rPr>
          <w:sz w:val="20"/>
        </w:rPr>
        <w:t>Identify the differences between, and applications </w:t>
      </w:r>
      <w:r>
        <w:rPr>
          <w:spacing w:val="-4"/>
          <w:sz w:val="20"/>
        </w:rPr>
        <w:t>of, </w:t>
      </w:r>
      <w:r>
        <w:rPr>
          <w:sz w:val="20"/>
        </w:rPr>
        <w:t>allopathic medicine and integrative</w:t>
      </w:r>
      <w:r>
        <w:rPr>
          <w:spacing w:val="-17"/>
          <w:sz w:val="20"/>
        </w:rPr>
        <w:t> </w:t>
      </w:r>
      <w:r>
        <w:rPr>
          <w:sz w:val="20"/>
        </w:rPr>
        <w:t>medicine.</w:t>
      </w:r>
    </w:p>
    <w:p>
      <w:pPr>
        <w:pStyle w:val="ListParagraph"/>
        <w:numPr>
          <w:ilvl w:val="1"/>
          <w:numId w:val="13"/>
        </w:numPr>
        <w:tabs>
          <w:tab w:pos="632" w:val="left" w:leader="none"/>
        </w:tabs>
        <w:spacing w:line="249" w:lineRule="auto" w:before="179" w:after="0"/>
        <w:ind w:left="631" w:right="856" w:hanging="216"/>
        <w:jc w:val="left"/>
        <w:rPr>
          <w:sz w:val="20"/>
        </w:rPr>
      </w:pPr>
      <w:r>
        <w:rPr>
          <w:sz w:val="20"/>
        </w:rPr>
        <w:t>Explain the interaction among emotional, physical, mental, social, and spiritual aspects </w:t>
      </w:r>
      <w:r>
        <w:rPr>
          <w:spacing w:val="-3"/>
          <w:sz w:val="20"/>
        </w:rPr>
        <w:t>of </w:t>
      </w:r>
      <w:r>
        <w:rPr>
          <w:sz w:val="20"/>
        </w:rPr>
        <w:t>health and well-</w:t>
      </w:r>
      <w:r>
        <w:rPr>
          <w:spacing w:val="2"/>
          <w:sz w:val="20"/>
        </w:rPr>
        <w:t> </w:t>
      </w:r>
      <w:r>
        <w:rPr>
          <w:spacing w:val="-3"/>
          <w:sz w:val="20"/>
        </w:rPr>
        <w:t>being.</w:t>
      </w:r>
    </w:p>
    <w:p>
      <w:pPr>
        <w:pStyle w:val="ListParagraph"/>
        <w:numPr>
          <w:ilvl w:val="1"/>
          <w:numId w:val="13"/>
        </w:numPr>
        <w:tabs>
          <w:tab w:pos="632" w:val="left" w:leader="none"/>
        </w:tabs>
        <w:spacing w:line="249" w:lineRule="auto" w:before="185" w:after="0"/>
        <w:ind w:left="631" w:right="1144" w:hanging="216"/>
        <w:jc w:val="left"/>
        <w:rPr>
          <w:sz w:val="20"/>
        </w:rPr>
      </w:pPr>
      <w:r>
        <w:rPr>
          <w:sz w:val="20"/>
        </w:rPr>
        <w:t>Describe the types, uses, benefits, and potential adverse effects of commonly used mind-body approaches in the United</w:t>
      </w:r>
      <w:r>
        <w:rPr>
          <w:spacing w:val="-3"/>
          <w:sz w:val="20"/>
        </w:rPr>
        <w:t> </w:t>
      </w:r>
      <w:r>
        <w:rPr>
          <w:sz w:val="20"/>
        </w:rPr>
        <w:t>States.</w:t>
      </w:r>
    </w:p>
    <w:p>
      <w:pPr>
        <w:pStyle w:val="ListParagraph"/>
        <w:numPr>
          <w:ilvl w:val="1"/>
          <w:numId w:val="13"/>
        </w:numPr>
        <w:tabs>
          <w:tab w:pos="632" w:val="left" w:leader="none"/>
        </w:tabs>
        <w:spacing w:line="249" w:lineRule="auto" w:before="180" w:after="0"/>
        <w:ind w:left="631" w:right="654" w:hanging="216"/>
        <w:jc w:val="left"/>
        <w:rPr>
          <w:sz w:val="20"/>
        </w:rPr>
      </w:pPr>
      <w:r>
        <w:rPr>
          <w:sz w:val="20"/>
        </w:rPr>
        <w:t>Critique the strengths and limitations </w:t>
      </w:r>
      <w:r>
        <w:rPr>
          <w:spacing w:val="-3"/>
          <w:sz w:val="20"/>
        </w:rPr>
        <w:t>of </w:t>
      </w:r>
      <w:r>
        <w:rPr>
          <w:sz w:val="20"/>
        </w:rPr>
        <w:t>the empirical evidence for the </w:t>
      </w:r>
      <w:r>
        <w:rPr>
          <w:spacing w:val="-3"/>
          <w:sz w:val="20"/>
        </w:rPr>
        <w:t>efficacy, </w:t>
      </w:r>
      <w:r>
        <w:rPr>
          <w:sz w:val="20"/>
        </w:rPr>
        <w:t>safety, and mechanisms </w:t>
      </w:r>
      <w:r>
        <w:rPr>
          <w:spacing w:val="-3"/>
          <w:sz w:val="20"/>
        </w:rPr>
        <w:t>of </w:t>
      </w:r>
      <w:r>
        <w:rPr>
          <w:sz w:val="20"/>
        </w:rPr>
        <w:t>action </w:t>
      </w:r>
      <w:r>
        <w:rPr>
          <w:spacing w:val="-3"/>
          <w:sz w:val="20"/>
        </w:rPr>
        <w:t>of </w:t>
      </w:r>
      <w:r>
        <w:rPr>
          <w:sz w:val="20"/>
        </w:rPr>
        <w:t>integrative health</w:t>
      </w:r>
      <w:r>
        <w:rPr>
          <w:spacing w:val="2"/>
          <w:sz w:val="20"/>
        </w:rPr>
        <w:t> </w:t>
      </w:r>
      <w:r>
        <w:rPr>
          <w:sz w:val="20"/>
        </w:rPr>
        <w:t>therapies.</w:t>
      </w:r>
    </w:p>
    <w:p>
      <w:pPr>
        <w:pStyle w:val="ListParagraph"/>
        <w:numPr>
          <w:ilvl w:val="1"/>
          <w:numId w:val="13"/>
        </w:numPr>
        <w:tabs>
          <w:tab w:pos="632" w:val="left" w:leader="none"/>
        </w:tabs>
        <w:spacing w:line="249" w:lineRule="auto" w:before="184" w:after="0"/>
        <w:ind w:left="631" w:right="1366" w:hanging="216"/>
        <w:jc w:val="left"/>
        <w:rPr>
          <w:sz w:val="20"/>
        </w:rPr>
      </w:pPr>
      <w:r>
        <w:rPr>
          <w:sz w:val="20"/>
        </w:rPr>
        <w:t>Demonstrate basic proficiency in skills </w:t>
      </w:r>
      <w:r>
        <w:rPr>
          <w:spacing w:val="-4"/>
          <w:sz w:val="20"/>
        </w:rPr>
        <w:t>for </w:t>
      </w:r>
      <w:r>
        <w:rPr>
          <w:sz w:val="20"/>
        </w:rPr>
        <w:t>communicating and educating patients</w:t>
      </w:r>
      <w:r>
        <w:rPr>
          <w:spacing w:val="-20"/>
          <w:sz w:val="20"/>
        </w:rPr>
        <w:t> </w:t>
      </w:r>
      <w:r>
        <w:rPr>
          <w:sz w:val="20"/>
        </w:rPr>
        <w:t>about integrative health and wellness</w:t>
      </w:r>
      <w:r>
        <w:rPr>
          <w:spacing w:val="-15"/>
          <w:sz w:val="20"/>
        </w:rPr>
        <w:t> </w:t>
      </w:r>
      <w:r>
        <w:rPr>
          <w:sz w:val="20"/>
        </w:rPr>
        <w:t>approaches.</w:t>
      </w:r>
    </w:p>
    <w:p>
      <w:pPr>
        <w:pStyle w:val="ListParagraph"/>
        <w:numPr>
          <w:ilvl w:val="1"/>
          <w:numId w:val="13"/>
        </w:numPr>
        <w:tabs>
          <w:tab w:pos="632" w:val="left" w:leader="none"/>
        </w:tabs>
        <w:spacing w:line="249" w:lineRule="auto" w:before="180" w:after="0"/>
        <w:ind w:left="631" w:right="652" w:hanging="216"/>
        <w:jc w:val="left"/>
        <w:rPr>
          <w:sz w:val="20"/>
        </w:rPr>
      </w:pPr>
      <w:r>
        <w:rPr>
          <w:sz w:val="20"/>
        </w:rPr>
        <w:t>Use scientific evidence </w:t>
      </w:r>
      <w:r>
        <w:rPr>
          <w:spacing w:val="-4"/>
          <w:sz w:val="20"/>
        </w:rPr>
        <w:t>for </w:t>
      </w:r>
      <w:r>
        <w:rPr>
          <w:sz w:val="20"/>
        </w:rPr>
        <w:t>clinical decision-making, treatment recommendations, and outcome</w:t>
      </w:r>
      <w:r>
        <w:rPr>
          <w:spacing w:val="-22"/>
          <w:sz w:val="20"/>
        </w:rPr>
        <w:t> </w:t>
      </w:r>
      <w:r>
        <w:rPr>
          <w:sz w:val="20"/>
        </w:rPr>
        <w:t>evaluation.</w:t>
      </w:r>
    </w:p>
    <w:p>
      <w:pPr>
        <w:pStyle w:val="ListParagraph"/>
        <w:numPr>
          <w:ilvl w:val="1"/>
          <w:numId w:val="13"/>
        </w:numPr>
        <w:tabs>
          <w:tab w:pos="632" w:val="left" w:leader="none"/>
        </w:tabs>
        <w:spacing w:line="249" w:lineRule="auto" w:before="184" w:after="0"/>
        <w:ind w:left="631" w:right="929" w:hanging="216"/>
        <w:jc w:val="left"/>
        <w:rPr>
          <w:sz w:val="20"/>
        </w:rPr>
      </w:pPr>
      <w:r>
        <w:rPr>
          <w:sz w:val="20"/>
        </w:rPr>
        <w:t>Contrast integrative assessment </w:t>
      </w:r>
      <w:r>
        <w:rPr>
          <w:spacing w:val="-3"/>
          <w:sz w:val="20"/>
        </w:rPr>
        <w:t>with </w:t>
      </w:r>
      <w:r>
        <w:rPr>
          <w:sz w:val="20"/>
        </w:rPr>
        <w:t>conventional medical assessment and </w:t>
      </w:r>
      <w:r>
        <w:rPr>
          <w:spacing w:val="-3"/>
          <w:sz w:val="20"/>
        </w:rPr>
        <w:t>develop </w:t>
      </w:r>
      <w:r>
        <w:rPr>
          <w:sz w:val="20"/>
        </w:rPr>
        <w:t>an integrative treatment</w:t>
      </w:r>
      <w:r>
        <w:rPr>
          <w:spacing w:val="3"/>
          <w:sz w:val="20"/>
        </w:rPr>
        <w:t> </w:t>
      </w:r>
      <w:r>
        <w:rPr>
          <w:sz w:val="20"/>
        </w:rPr>
        <w:t>plan.</w:t>
      </w:r>
    </w:p>
    <w:p>
      <w:pPr>
        <w:pStyle w:val="ListParagraph"/>
        <w:numPr>
          <w:ilvl w:val="1"/>
          <w:numId w:val="13"/>
        </w:numPr>
        <w:tabs>
          <w:tab w:pos="632" w:val="left" w:leader="none"/>
        </w:tabs>
        <w:spacing w:line="240" w:lineRule="auto" w:before="180" w:after="0"/>
        <w:ind w:left="631" w:right="0" w:hanging="216"/>
        <w:jc w:val="left"/>
        <w:rPr>
          <w:sz w:val="20"/>
        </w:rPr>
      </w:pPr>
      <w:r>
        <w:rPr>
          <w:sz w:val="20"/>
        </w:rPr>
        <w:t>Analyze case studies demonstrating the application</w:t>
      </w:r>
      <w:r>
        <w:rPr>
          <w:spacing w:val="-11"/>
          <w:sz w:val="20"/>
        </w:rPr>
        <w:t> </w:t>
      </w:r>
      <w:r>
        <w:rPr>
          <w:spacing w:val="-5"/>
          <w:sz w:val="20"/>
        </w:rPr>
        <w:t>of</w:t>
      </w:r>
    </w:p>
    <w:p>
      <w:pPr>
        <w:spacing w:after="0" w:line="240" w:lineRule="auto"/>
        <w:jc w:val="left"/>
        <w:rPr>
          <w:sz w:val="20"/>
        </w:rPr>
        <w:sectPr>
          <w:pgSz w:w="12240" w:h="15840"/>
          <w:pgMar w:header="746" w:footer="0" w:top="1320" w:bottom="280" w:left="880" w:right="300"/>
          <w:cols w:num="2" w:equalWidth="0">
            <w:col w:w="5002" w:space="484"/>
            <w:col w:w="5574"/>
          </w:cols>
        </w:sectPr>
      </w:pPr>
    </w:p>
    <w:p>
      <w:pPr>
        <w:pStyle w:val="BodyText"/>
        <w:spacing w:line="249" w:lineRule="auto" w:before="100"/>
        <w:ind w:left="631" w:right="790"/>
      </w:pPr>
      <w:r>
        <w:rPr/>
        <w:t>integrative approaches for the treatment and prevention of common and chronic diseases.</w:t>
      </w:r>
    </w:p>
    <w:p>
      <w:pPr>
        <w:pStyle w:val="ListParagraph"/>
        <w:numPr>
          <w:ilvl w:val="1"/>
          <w:numId w:val="13"/>
        </w:numPr>
        <w:tabs>
          <w:tab w:pos="632" w:val="left" w:leader="none"/>
        </w:tabs>
        <w:spacing w:line="249" w:lineRule="auto" w:before="179" w:after="0"/>
        <w:ind w:left="632" w:right="196" w:hanging="216"/>
        <w:jc w:val="left"/>
        <w:rPr>
          <w:sz w:val="20"/>
        </w:rPr>
      </w:pPr>
      <w:r>
        <w:rPr>
          <w:sz w:val="20"/>
        </w:rPr>
        <w:t>Apply the philosophy and fundamental principles </w:t>
      </w:r>
      <w:r>
        <w:rPr>
          <w:spacing w:val="-3"/>
          <w:sz w:val="20"/>
        </w:rPr>
        <w:t>of </w:t>
      </w:r>
      <w:r>
        <w:rPr>
          <w:sz w:val="20"/>
        </w:rPr>
        <w:t>health and wellness coaching in </w:t>
      </w:r>
      <w:r>
        <w:rPr>
          <w:spacing w:val="-3"/>
          <w:sz w:val="20"/>
        </w:rPr>
        <w:t>your chosen </w:t>
      </w:r>
      <w:r>
        <w:rPr>
          <w:sz w:val="20"/>
        </w:rPr>
        <w:t>health care</w:t>
      </w:r>
      <w:r>
        <w:rPr>
          <w:spacing w:val="-2"/>
          <w:sz w:val="20"/>
        </w:rPr>
        <w:t> </w:t>
      </w:r>
      <w:r>
        <w:rPr>
          <w:sz w:val="20"/>
        </w:rPr>
        <w:t>profession.</w:t>
      </w:r>
    </w:p>
    <w:p>
      <w:pPr>
        <w:pStyle w:val="ListParagraph"/>
        <w:numPr>
          <w:ilvl w:val="1"/>
          <w:numId w:val="13"/>
        </w:numPr>
        <w:tabs>
          <w:tab w:pos="632" w:val="left" w:leader="none"/>
        </w:tabs>
        <w:spacing w:line="249" w:lineRule="auto" w:before="184" w:after="0"/>
        <w:ind w:left="632" w:right="180" w:hanging="216"/>
        <w:jc w:val="left"/>
        <w:rPr>
          <w:sz w:val="20"/>
        </w:rPr>
      </w:pPr>
      <w:r>
        <w:rPr>
          <w:sz w:val="20"/>
        </w:rPr>
        <w:t>Use knowledge of health behavioral change theories to inform coaching strategies and </w:t>
      </w:r>
      <w:r>
        <w:rPr>
          <w:spacing w:val="-3"/>
          <w:sz w:val="20"/>
        </w:rPr>
        <w:t>empower </w:t>
      </w:r>
      <w:r>
        <w:rPr>
          <w:sz w:val="20"/>
        </w:rPr>
        <w:t>clients’ change</w:t>
      </w:r>
      <w:r>
        <w:rPr>
          <w:spacing w:val="-1"/>
          <w:sz w:val="20"/>
        </w:rPr>
        <w:t> </w:t>
      </w:r>
      <w:r>
        <w:rPr>
          <w:spacing w:val="-3"/>
          <w:sz w:val="20"/>
        </w:rPr>
        <w:t>process.</w:t>
      </w:r>
    </w:p>
    <w:p>
      <w:pPr>
        <w:pStyle w:val="ListParagraph"/>
        <w:numPr>
          <w:ilvl w:val="1"/>
          <w:numId w:val="13"/>
        </w:numPr>
        <w:tabs>
          <w:tab w:pos="632" w:val="left" w:leader="none"/>
        </w:tabs>
        <w:spacing w:line="249" w:lineRule="auto" w:before="180" w:after="0"/>
        <w:ind w:left="632" w:right="389" w:hanging="216"/>
        <w:jc w:val="both"/>
        <w:rPr>
          <w:sz w:val="20"/>
        </w:rPr>
      </w:pPr>
      <w:r>
        <w:rPr>
          <w:sz w:val="20"/>
        </w:rPr>
        <w:t>Experience and reflect upon the use </w:t>
      </w:r>
      <w:r>
        <w:rPr>
          <w:spacing w:val="-3"/>
          <w:sz w:val="20"/>
        </w:rPr>
        <w:t>of </w:t>
      </w:r>
      <w:r>
        <w:rPr>
          <w:sz w:val="20"/>
        </w:rPr>
        <w:t>integrative approaches </w:t>
      </w:r>
      <w:r>
        <w:rPr>
          <w:spacing w:val="-4"/>
          <w:sz w:val="20"/>
        </w:rPr>
        <w:t>for </w:t>
      </w:r>
      <w:r>
        <w:rPr>
          <w:sz w:val="20"/>
        </w:rPr>
        <w:t>health and healing through guided experiential learning and</w:t>
      </w:r>
      <w:r>
        <w:rPr>
          <w:spacing w:val="-8"/>
          <w:sz w:val="20"/>
        </w:rPr>
        <w:t> </w:t>
      </w:r>
      <w:r>
        <w:rPr>
          <w:sz w:val="20"/>
        </w:rPr>
        <w:t>self-practice.</w:t>
      </w:r>
    </w:p>
    <w:p>
      <w:pPr>
        <w:pStyle w:val="Heading6"/>
        <w:spacing w:before="185"/>
        <w:ind w:left="199"/>
      </w:pPr>
      <w:r>
        <w:rPr/>
        <w:t>Program Admission</w:t>
      </w:r>
    </w:p>
    <w:p>
      <w:pPr>
        <w:pStyle w:val="BodyText"/>
        <w:spacing w:line="249" w:lineRule="auto" w:before="187"/>
        <w:ind w:left="199" w:right="212"/>
      </w:pPr>
      <w:r>
        <w:rPr/>
        <w:t>General application requirements for admission to postbaccalaureate certificate programs are outlined in the Admissions section of this catalog. UMB recognizes that the coursework designed for the Integrative Health and Wellness certificate has the potential to benefit learners who are pursuing multiple clinical and professional degrees and credentials. To apply for this postbaccalaureate certificate, individuals should have at least a bachelor’s degree and a professional or personal interest in integrative health and wellness. No specific undergraduate course of study is required.</w:t>
      </w:r>
    </w:p>
    <w:p>
      <w:pPr>
        <w:pStyle w:val="Heading6"/>
        <w:spacing w:before="191"/>
        <w:ind w:left="199"/>
      </w:pPr>
      <w:r>
        <w:rPr/>
        <w:t>Degree Requirements</w:t>
      </w:r>
    </w:p>
    <w:p>
      <w:pPr>
        <w:pStyle w:val="BodyText"/>
        <w:spacing w:line="249" w:lineRule="auto" w:before="187"/>
        <w:ind w:left="199" w:right="108"/>
      </w:pPr>
      <w:r>
        <w:rPr/>
        <w:t>Certificate candidates must complete a minimum </w:t>
      </w:r>
      <w:r>
        <w:rPr>
          <w:spacing w:val="-3"/>
        </w:rPr>
        <w:t>of </w:t>
      </w:r>
      <w:r>
        <w:rPr/>
        <w:t>12 credits. Students must maintain a minimum, cumulative 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All requirements </w:t>
      </w:r>
      <w:r>
        <w:rPr>
          <w:spacing w:val="-4"/>
        </w:rPr>
        <w:t>for </w:t>
      </w:r>
      <w:r>
        <w:rPr/>
        <w:t>the certificate must </w:t>
      </w:r>
      <w:r>
        <w:rPr>
          <w:spacing w:val="-3"/>
        </w:rPr>
        <w:t>be </w:t>
      </w:r>
      <w:r>
        <w:rPr/>
        <w:t>completed within three years after admission and all credits </w:t>
      </w:r>
      <w:r>
        <w:rPr>
          <w:spacing w:val="-4"/>
        </w:rPr>
        <w:t>for </w:t>
      </w:r>
      <w:r>
        <w:rPr/>
        <w:t>the certificate must </w:t>
      </w:r>
      <w:r>
        <w:rPr>
          <w:spacing w:val="-3"/>
        </w:rPr>
        <w:t>be </w:t>
      </w:r>
      <w:r>
        <w:rPr/>
        <w:t>completed at the University of Maryland,</w:t>
      </w:r>
      <w:r>
        <w:rPr>
          <w:spacing w:val="-14"/>
        </w:rPr>
        <w:t> </w:t>
      </w:r>
      <w:r>
        <w:rPr/>
        <w:t>Baltimore.</w:t>
      </w:r>
    </w:p>
    <w:p>
      <w:pPr>
        <w:pStyle w:val="BodyText"/>
        <w:spacing w:line="249" w:lineRule="auto" w:before="5"/>
        <w:ind w:left="199" w:right="23"/>
      </w:pPr>
      <w:r>
        <w:rPr/>
        <w:t>Complete guidelines and requirements for progression and completion are outlined in the Academic Performance and Progress in a Postbaccalaureate Certificate Program section of this catalog.</w:t>
      </w:r>
    </w:p>
    <w:p>
      <w:pPr>
        <w:pStyle w:val="Heading5"/>
        <w:spacing w:before="180"/>
      </w:pPr>
      <w:r>
        <w:rPr/>
        <w:t>Required Courses</w:t>
      </w:r>
    </w:p>
    <w:p>
      <w:pPr>
        <w:pStyle w:val="BodyText"/>
        <w:spacing w:line="249" w:lineRule="auto"/>
      </w:pPr>
      <w:r>
        <w:rPr/>
        <w:t>All courses are eight weeks in length, 3 credits, and offered online.</w:t>
      </w:r>
    </w:p>
    <w:p>
      <w:pPr>
        <w:pStyle w:val="BodyText"/>
        <w:spacing w:before="3"/>
        <w:ind w:left="0"/>
        <w:rPr>
          <w:sz w:val="9"/>
        </w:rPr>
      </w:pPr>
      <w:r>
        <w:rPr/>
        <w:br w:type="column"/>
      </w:r>
      <w:r>
        <w:rPr>
          <w:sz w:val="9"/>
        </w:rPr>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6"/>
        <w:gridCol w:w="3080"/>
        <w:gridCol w:w="665"/>
      </w:tblGrid>
      <w:tr>
        <w:trPr>
          <w:trHeight w:val="711" w:hRule="atLeast"/>
        </w:trPr>
        <w:tc>
          <w:tcPr>
            <w:tcW w:w="1206" w:type="dxa"/>
          </w:tcPr>
          <w:p>
            <w:pPr>
              <w:pStyle w:val="TableParagraph"/>
              <w:spacing w:line="223" w:lineRule="exact" w:before="0"/>
              <w:ind w:left="200"/>
              <w:rPr>
                <w:sz w:val="20"/>
              </w:rPr>
            </w:pPr>
            <w:r>
              <w:rPr>
                <w:sz w:val="20"/>
              </w:rPr>
              <w:t>MHS 628</w:t>
            </w:r>
          </w:p>
        </w:tc>
        <w:tc>
          <w:tcPr>
            <w:tcW w:w="3080" w:type="dxa"/>
          </w:tcPr>
          <w:p>
            <w:pPr>
              <w:pStyle w:val="TableParagraph"/>
              <w:spacing w:line="249" w:lineRule="auto" w:before="0"/>
              <w:ind w:left="222" w:right="655"/>
              <w:rPr>
                <w:sz w:val="20"/>
              </w:rPr>
            </w:pPr>
            <w:r>
              <w:rPr>
                <w:sz w:val="20"/>
              </w:rPr>
              <w:t>INTEGRATIVE HEALTH AND WELLNESS</w:t>
            </w:r>
          </w:p>
          <w:p>
            <w:pPr>
              <w:pStyle w:val="TableParagraph"/>
              <w:spacing w:line="219" w:lineRule="exact" w:before="0"/>
              <w:ind w:left="222"/>
              <w:rPr>
                <w:sz w:val="20"/>
              </w:rPr>
            </w:pPr>
            <w:r>
              <w:rPr>
                <w:sz w:val="20"/>
              </w:rPr>
              <w:t>COACHING</w:t>
            </w:r>
          </w:p>
        </w:tc>
        <w:tc>
          <w:tcPr>
            <w:tcW w:w="665" w:type="dxa"/>
          </w:tcPr>
          <w:p>
            <w:pPr>
              <w:pStyle w:val="TableParagraph"/>
              <w:spacing w:line="223" w:lineRule="exact" w:before="0"/>
              <w:ind w:right="198"/>
              <w:jc w:val="right"/>
              <w:rPr>
                <w:sz w:val="20"/>
              </w:rPr>
            </w:pPr>
            <w:r>
              <w:rPr>
                <w:w w:val="100"/>
                <w:sz w:val="20"/>
              </w:rPr>
              <w:t>3</w:t>
            </w:r>
          </w:p>
        </w:tc>
      </w:tr>
      <w:tr>
        <w:trPr>
          <w:trHeight w:val="711" w:hRule="atLeast"/>
        </w:trPr>
        <w:tc>
          <w:tcPr>
            <w:tcW w:w="1206" w:type="dxa"/>
          </w:tcPr>
          <w:p>
            <w:pPr>
              <w:pStyle w:val="TableParagraph"/>
              <w:ind w:left="200"/>
              <w:rPr>
                <w:sz w:val="20"/>
              </w:rPr>
            </w:pPr>
            <w:r>
              <w:rPr>
                <w:sz w:val="20"/>
              </w:rPr>
              <w:t>MHS 619</w:t>
            </w:r>
          </w:p>
        </w:tc>
        <w:tc>
          <w:tcPr>
            <w:tcW w:w="3080" w:type="dxa"/>
          </w:tcPr>
          <w:p>
            <w:pPr>
              <w:pStyle w:val="TableParagraph"/>
              <w:spacing w:line="249" w:lineRule="auto"/>
              <w:ind w:left="222" w:right="349"/>
              <w:rPr>
                <w:sz w:val="20"/>
              </w:rPr>
            </w:pPr>
            <w:r>
              <w:rPr>
                <w:sz w:val="20"/>
              </w:rPr>
              <w:t>CLINICAL APPLICATION OF INTEGRATIVE HEALTH</w:t>
            </w:r>
          </w:p>
          <w:p>
            <w:pPr>
              <w:pStyle w:val="TableParagraph"/>
              <w:spacing w:line="210" w:lineRule="exact" w:before="2"/>
              <w:ind w:left="222"/>
              <w:rPr>
                <w:sz w:val="20"/>
              </w:rPr>
            </w:pPr>
            <w:r>
              <w:rPr>
                <w:sz w:val="20"/>
              </w:rPr>
              <w:t>AND WELLNESS</w:t>
            </w:r>
          </w:p>
        </w:tc>
        <w:tc>
          <w:tcPr>
            <w:tcW w:w="665" w:type="dxa"/>
          </w:tcPr>
          <w:p>
            <w:pPr>
              <w:pStyle w:val="TableParagraph"/>
              <w:ind w:right="198"/>
              <w:jc w:val="right"/>
              <w:rPr>
                <w:sz w:val="20"/>
              </w:rPr>
            </w:pPr>
            <w:r>
              <w:rPr>
                <w:w w:val="100"/>
                <w:sz w:val="20"/>
              </w:rPr>
              <w:t>3</w:t>
            </w:r>
          </w:p>
        </w:tc>
      </w:tr>
    </w:tbl>
    <w:p>
      <w:pPr>
        <w:pStyle w:val="BodyText"/>
        <w:spacing w:line="249" w:lineRule="auto" w:before="187"/>
        <w:ind w:left="199" w:right="906"/>
      </w:pPr>
      <w:r>
        <w:rPr/>
        <w:t>Details are given in the Course Descriptions part of this catalog.</w:t>
      </w:r>
    </w:p>
    <w:p>
      <w:pPr>
        <w:spacing w:after="0" w:line="249" w:lineRule="auto"/>
        <w:sectPr>
          <w:pgSz w:w="12240" w:h="15840"/>
          <w:pgMar w:header="746" w:footer="0" w:top="1320" w:bottom="280" w:left="880" w:right="300"/>
          <w:cols w:num="2" w:equalWidth="0">
            <w:col w:w="5007" w:space="479"/>
            <w:col w:w="5574"/>
          </w:cols>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6"/>
        <w:gridCol w:w="2938"/>
        <w:gridCol w:w="808"/>
      </w:tblGrid>
      <w:tr>
        <w:trPr>
          <w:trHeight w:val="1191" w:hRule="atLeast"/>
        </w:trPr>
        <w:tc>
          <w:tcPr>
            <w:tcW w:w="1206" w:type="dxa"/>
          </w:tcPr>
          <w:p>
            <w:pPr>
              <w:pStyle w:val="TableParagraph"/>
              <w:spacing w:line="223" w:lineRule="exact" w:before="0"/>
              <w:ind w:right="221"/>
              <w:jc w:val="right"/>
              <w:rPr>
                <w:sz w:val="20"/>
              </w:rPr>
            </w:pPr>
            <w:r>
              <w:rPr>
                <w:sz w:val="20"/>
              </w:rPr>
              <w:t>MHS 612</w:t>
            </w:r>
          </w:p>
        </w:tc>
        <w:tc>
          <w:tcPr>
            <w:tcW w:w="2938" w:type="dxa"/>
          </w:tcPr>
          <w:p>
            <w:pPr>
              <w:pStyle w:val="TableParagraph"/>
              <w:spacing w:line="249" w:lineRule="auto" w:before="0"/>
              <w:ind w:left="222" w:right="487"/>
              <w:rPr>
                <w:sz w:val="20"/>
              </w:rPr>
            </w:pPr>
            <w:r>
              <w:rPr>
                <w:sz w:val="20"/>
              </w:rPr>
              <w:t>INTRODUCTION TO INTEGRATIVE HEALTH AND BIOLOGICAL AND BODY-BASED</w:t>
            </w:r>
          </w:p>
          <w:p>
            <w:pPr>
              <w:pStyle w:val="TableParagraph"/>
              <w:spacing w:line="219" w:lineRule="exact" w:before="0"/>
              <w:ind w:left="222"/>
              <w:rPr>
                <w:sz w:val="20"/>
              </w:rPr>
            </w:pPr>
            <w:r>
              <w:rPr>
                <w:sz w:val="20"/>
              </w:rPr>
              <w:t>INTERVENTIONS</w:t>
            </w:r>
          </w:p>
        </w:tc>
        <w:tc>
          <w:tcPr>
            <w:tcW w:w="808" w:type="dxa"/>
          </w:tcPr>
          <w:p>
            <w:pPr>
              <w:pStyle w:val="TableParagraph"/>
              <w:spacing w:line="223" w:lineRule="exact" w:before="0"/>
              <w:ind w:right="199"/>
              <w:jc w:val="right"/>
              <w:rPr>
                <w:sz w:val="20"/>
              </w:rPr>
            </w:pPr>
            <w:r>
              <w:rPr>
                <w:w w:val="100"/>
                <w:sz w:val="20"/>
              </w:rPr>
              <w:t>3</w:t>
            </w:r>
          </w:p>
        </w:tc>
      </w:tr>
      <w:tr>
        <w:trPr>
          <w:trHeight w:val="711" w:hRule="atLeast"/>
        </w:trPr>
        <w:tc>
          <w:tcPr>
            <w:tcW w:w="1206" w:type="dxa"/>
          </w:tcPr>
          <w:p>
            <w:pPr>
              <w:pStyle w:val="TableParagraph"/>
              <w:ind w:right="221"/>
              <w:jc w:val="right"/>
              <w:rPr>
                <w:sz w:val="20"/>
              </w:rPr>
            </w:pPr>
            <w:r>
              <w:rPr>
                <w:sz w:val="20"/>
              </w:rPr>
              <w:t>MHS 636</w:t>
            </w:r>
          </w:p>
        </w:tc>
        <w:tc>
          <w:tcPr>
            <w:tcW w:w="2938" w:type="dxa"/>
          </w:tcPr>
          <w:p>
            <w:pPr>
              <w:pStyle w:val="TableParagraph"/>
              <w:spacing w:line="249" w:lineRule="auto"/>
              <w:ind w:left="222" w:right="584"/>
              <w:rPr>
                <w:sz w:val="20"/>
              </w:rPr>
            </w:pPr>
            <w:r>
              <w:rPr>
                <w:sz w:val="20"/>
              </w:rPr>
              <w:t>ADVANCED SKILLS IN INTEGRATIVE MIND-</w:t>
            </w:r>
          </w:p>
          <w:p>
            <w:pPr>
              <w:pStyle w:val="TableParagraph"/>
              <w:spacing w:line="210" w:lineRule="exact" w:before="2"/>
              <w:ind w:left="222"/>
              <w:rPr>
                <w:sz w:val="20"/>
              </w:rPr>
            </w:pPr>
            <w:r>
              <w:rPr>
                <w:sz w:val="20"/>
              </w:rPr>
              <w:t>BODY INTERVENTIONS</w:t>
            </w:r>
          </w:p>
        </w:tc>
        <w:tc>
          <w:tcPr>
            <w:tcW w:w="808" w:type="dxa"/>
          </w:tcPr>
          <w:p>
            <w:pPr>
              <w:pStyle w:val="TableParagraph"/>
              <w:ind w:right="199"/>
              <w:jc w:val="right"/>
              <w:rPr>
                <w:sz w:val="20"/>
              </w:rPr>
            </w:pPr>
            <w:r>
              <w:rPr>
                <w:w w:val="100"/>
                <w:sz w:val="20"/>
              </w:rPr>
              <w:t>3</w:t>
            </w:r>
          </w:p>
        </w:tc>
      </w:tr>
    </w:tbl>
    <w:p>
      <w:pPr>
        <w:spacing w:after="0"/>
        <w:jc w:val="right"/>
        <w:rPr>
          <w:sz w:val="20"/>
        </w:rPr>
        <w:sectPr>
          <w:type w:val="continuous"/>
          <w:pgSz w:w="12240" w:h="15840"/>
          <w:pgMar w:top="1500" w:bottom="280" w:left="880" w:right="300"/>
        </w:sectPr>
      </w:pPr>
    </w:p>
    <w:p>
      <w:pPr>
        <w:pStyle w:val="Heading3"/>
      </w:pPr>
      <w:bookmarkStart w:name="Intercultural Leadership" w:id="57"/>
      <w:bookmarkEnd w:id="57"/>
      <w:r>
        <w:rPr/>
      </w:r>
      <w:bookmarkStart w:name="_bookmark28" w:id="58"/>
      <w:bookmarkEnd w:id="58"/>
      <w:r>
        <w:rPr/>
      </w:r>
      <w:r>
        <w:rPr/>
        <w:t>Intercultural Leadership</w:t>
      </w:r>
    </w:p>
    <w:p>
      <w:pPr>
        <w:pStyle w:val="BodyText"/>
        <w:spacing w:before="190"/>
      </w:pPr>
      <w:hyperlink r:id="rId63">
        <w:r>
          <w:rPr>
            <w:color w:val="0000FF"/>
            <w:u w:val="single" w:color="0000FF"/>
          </w:rPr>
          <w:t>http://www.graduate.umaryland.edu/Intercultural/</w:t>
        </w:r>
      </w:hyperlink>
    </w:p>
    <w:p>
      <w:pPr>
        <w:pStyle w:val="Heading6"/>
        <w:spacing w:before="192"/>
      </w:pPr>
      <w:r>
        <w:rPr/>
        <w:t>Degree Offered</w:t>
      </w:r>
    </w:p>
    <w:p>
      <w:pPr>
        <w:pStyle w:val="BodyText"/>
        <w:spacing w:before="188"/>
      </w:pPr>
      <w:r>
        <w:rPr/>
        <w:t>Post-baccalaureate Certificate</w:t>
      </w:r>
    </w:p>
    <w:p>
      <w:pPr>
        <w:pStyle w:val="BodyText"/>
        <w:spacing w:line="20" w:lineRule="exact" w:before="0"/>
        <w:ind w:left="540"/>
        <w:rPr>
          <w:sz w:val="2"/>
        </w:rPr>
      </w:pPr>
      <w:r>
        <w:rPr>
          <w:sz w:val="2"/>
        </w:rPr>
        <w:pict>
          <v:group style="width:3.4pt;height:.5pt;mso-position-horizontal-relative:char;mso-position-vertical-relative:line" coordorigin="0,0" coordsize="68,10">
            <v:rect style="position:absolute;left:0;top:0;width:68;height:10" filled="true" fillcolor="#000000" stroked="false">
              <v:fill type="solid"/>
            </v:rect>
          </v:group>
        </w:pict>
      </w:r>
      <w:r>
        <w:rPr>
          <w:sz w:val="2"/>
        </w:rPr>
      </w:r>
    </w:p>
    <w:p>
      <w:pPr>
        <w:pStyle w:val="Heading6"/>
        <w:spacing w:before="172"/>
      </w:pPr>
      <w:r>
        <w:rPr/>
        <w:t>Program Description</w:t>
      </w:r>
    </w:p>
    <w:p>
      <w:pPr>
        <w:pStyle w:val="BodyText"/>
        <w:spacing w:line="249" w:lineRule="auto" w:before="188"/>
        <w:ind w:left="199" w:right="174"/>
      </w:pPr>
      <w:r>
        <w:rPr>
          <w:color w:val="303030"/>
        </w:rPr>
        <w:t>The post-baccalaureate certificate in Intercultural Leadership equips professionals with an understanding of intercultural competence and the necessary tools for working across cultural differences. The program is a partnership of the UMB Graduate School and the University of Maryland Baltimore County's (UMBC) department of Modern Languages, Linguistics and Intercultural Communication.</w:t>
      </w:r>
    </w:p>
    <w:p>
      <w:pPr>
        <w:pStyle w:val="BodyText"/>
        <w:spacing w:line="249" w:lineRule="auto" w:before="188"/>
        <w:ind w:left="199" w:right="370"/>
      </w:pPr>
      <w:r>
        <w:rPr>
          <w:color w:val="303030"/>
        </w:rPr>
        <w:t>The program consists </w:t>
      </w:r>
      <w:r>
        <w:rPr>
          <w:color w:val="303030"/>
          <w:spacing w:val="-3"/>
        </w:rPr>
        <w:t>of </w:t>
      </w:r>
      <w:r>
        <w:rPr>
          <w:color w:val="303030"/>
        </w:rPr>
        <w:t>five courses totaling 13 credits. Instruction occurs predominantly online </w:t>
      </w:r>
      <w:r>
        <w:rPr>
          <w:color w:val="303030"/>
          <w:spacing w:val="-3"/>
        </w:rPr>
        <w:t>with </w:t>
      </w:r>
      <w:r>
        <w:rPr>
          <w:color w:val="303030"/>
        </w:rPr>
        <w:t>a mandatory on-site residency. The residency requires students to attend two consecutive </w:t>
      </w:r>
      <w:r>
        <w:rPr>
          <w:color w:val="303030"/>
          <w:spacing w:val="-3"/>
        </w:rPr>
        <w:t>days of</w:t>
      </w:r>
      <w:r>
        <w:rPr>
          <w:color w:val="303030"/>
        </w:rPr>
        <w:t> face-to-face</w:t>
      </w:r>
    </w:p>
    <w:p>
      <w:pPr>
        <w:pStyle w:val="BodyText"/>
        <w:spacing w:line="249" w:lineRule="auto" w:before="3"/>
        <w:ind w:left="199" w:right="128"/>
      </w:pPr>
      <w:r>
        <w:rPr>
          <w:color w:val="303030"/>
        </w:rPr>
        <w:t>lectures, trainings, discussions, and presentations at </w:t>
      </w:r>
      <w:r>
        <w:rPr>
          <w:color w:val="303030"/>
          <w:spacing w:val="-4"/>
        </w:rPr>
        <w:t>UMB. </w:t>
      </w:r>
      <w:r>
        <w:rPr>
          <w:color w:val="303030"/>
        </w:rPr>
        <w:t>The in-person interactions facilitate the group discussions that are essential to intercultural learning and  engagement.</w:t>
      </w:r>
    </w:p>
    <w:p>
      <w:pPr>
        <w:pStyle w:val="BodyText"/>
        <w:spacing w:line="249" w:lineRule="auto" w:before="181"/>
        <w:ind w:left="199" w:right="38"/>
      </w:pPr>
      <w:r>
        <w:rPr>
          <w:color w:val="303030"/>
        </w:rPr>
        <w:t>Students build </w:t>
      </w:r>
      <w:r>
        <w:rPr>
          <w:color w:val="303030"/>
          <w:spacing w:val="-3"/>
        </w:rPr>
        <w:t>on </w:t>
      </w:r>
      <w:r>
        <w:rPr>
          <w:color w:val="303030"/>
        </w:rPr>
        <w:t>existing competencies by exploring attitudes and perceptions </w:t>
      </w:r>
      <w:r>
        <w:rPr>
          <w:color w:val="303030"/>
          <w:spacing w:val="-3"/>
        </w:rPr>
        <w:t>of </w:t>
      </w:r>
      <w:r>
        <w:rPr>
          <w:color w:val="303030"/>
        </w:rPr>
        <w:t>self and others, by examining the historical foundations </w:t>
      </w:r>
      <w:r>
        <w:rPr>
          <w:color w:val="303030"/>
          <w:spacing w:val="-3"/>
        </w:rPr>
        <w:t>of </w:t>
      </w:r>
      <w:r>
        <w:rPr>
          <w:color w:val="303030"/>
        </w:rPr>
        <w:t>different cultural groups, </w:t>
      </w:r>
      <w:r>
        <w:rPr>
          <w:color w:val="303030"/>
          <w:spacing w:val="-3"/>
        </w:rPr>
        <w:t>by </w:t>
      </w:r>
      <w:r>
        <w:rPr>
          <w:color w:val="303030"/>
        </w:rPr>
        <w:t>learning effective strategies </w:t>
      </w:r>
      <w:r>
        <w:rPr>
          <w:color w:val="303030"/>
          <w:spacing w:val="-4"/>
        </w:rPr>
        <w:t>for </w:t>
      </w:r>
      <w:r>
        <w:rPr>
          <w:color w:val="303030"/>
        </w:rPr>
        <w:t>interacting </w:t>
      </w:r>
      <w:r>
        <w:rPr>
          <w:color w:val="303030"/>
          <w:spacing w:val="-3"/>
        </w:rPr>
        <w:t>with </w:t>
      </w:r>
      <w:r>
        <w:rPr>
          <w:color w:val="303030"/>
        </w:rPr>
        <w:t>diverse cultural groups, and by engaging in the practical application </w:t>
      </w:r>
      <w:r>
        <w:rPr>
          <w:color w:val="303030"/>
          <w:spacing w:val="-3"/>
        </w:rPr>
        <w:t>of </w:t>
      </w:r>
      <w:r>
        <w:rPr>
          <w:color w:val="303030"/>
        </w:rPr>
        <w:t>cultural responsiveness to actual scenarios at institutions. Completion </w:t>
      </w:r>
      <w:r>
        <w:rPr>
          <w:color w:val="303030"/>
          <w:spacing w:val="-3"/>
        </w:rPr>
        <w:t>of </w:t>
      </w:r>
      <w:r>
        <w:rPr>
          <w:color w:val="303030"/>
        </w:rPr>
        <w:t>the program will result in increased knowledge and understanding </w:t>
      </w:r>
      <w:r>
        <w:rPr>
          <w:color w:val="303030"/>
          <w:spacing w:val="-3"/>
        </w:rPr>
        <w:t>of </w:t>
      </w:r>
      <w:r>
        <w:rPr>
          <w:color w:val="303030"/>
        </w:rPr>
        <w:t>concepts related to culture, diversity, and inclusion; effective principles </w:t>
      </w:r>
      <w:r>
        <w:rPr>
          <w:color w:val="303030"/>
          <w:spacing w:val="-4"/>
        </w:rPr>
        <w:t>for </w:t>
      </w:r>
      <w:r>
        <w:rPr>
          <w:color w:val="303030"/>
        </w:rPr>
        <w:t>engaging in dialogue; an individual's personal </w:t>
      </w:r>
      <w:r>
        <w:rPr>
          <w:color w:val="303030"/>
          <w:spacing w:val="-3"/>
        </w:rPr>
        <w:t>level </w:t>
      </w:r>
      <w:r>
        <w:rPr>
          <w:color w:val="303030"/>
        </w:rPr>
        <w:t>of intercultural competence, and; knowledge of past and present national policies and legislation impacting racial and cultural groups. The program will also engage students in the practical application </w:t>
      </w:r>
      <w:r>
        <w:rPr>
          <w:color w:val="303030"/>
          <w:spacing w:val="-3"/>
        </w:rPr>
        <w:t>of </w:t>
      </w:r>
      <w:r>
        <w:rPr>
          <w:color w:val="303030"/>
        </w:rPr>
        <w:t>strategies to positively influence the climate </w:t>
      </w:r>
      <w:r>
        <w:rPr>
          <w:color w:val="303030"/>
          <w:spacing w:val="-4"/>
        </w:rPr>
        <w:t>for</w:t>
      </w:r>
      <w:r>
        <w:rPr>
          <w:color w:val="303030"/>
          <w:spacing w:val="3"/>
        </w:rPr>
        <w:t> </w:t>
      </w:r>
      <w:r>
        <w:rPr>
          <w:color w:val="303030"/>
        </w:rPr>
        <w:t>diversity.</w:t>
      </w:r>
    </w:p>
    <w:p>
      <w:pPr>
        <w:pStyle w:val="Heading6"/>
        <w:spacing w:before="193"/>
        <w:ind w:left="199"/>
      </w:pPr>
      <w:r>
        <w:rPr/>
        <w:t>Program Admission</w:t>
      </w:r>
    </w:p>
    <w:p>
      <w:pPr>
        <w:pStyle w:val="BodyText"/>
        <w:spacing w:line="249" w:lineRule="auto" w:before="187"/>
        <w:ind w:left="199" w:right="80"/>
      </w:pPr>
      <w:r>
        <w:rPr/>
        <w:t>Candidates for admission must meet the minimum standards of admission established by the Graduate School and provide the requisite credentials. Admission to the certificate program is selective. A U.S. bachelor’s degree or its equivalent from a non-U.S. educational institution is required. No specific undergraduate course of study is required or recommended. Graduate Record Examinations are not required for admission.</w:t>
      </w:r>
    </w:p>
    <w:p>
      <w:pPr>
        <w:pStyle w:val="Heading6"/>
        <w:spacing w:before="96"/>
        <w:ind w:left="199"/>
      </w:pPr>
      <w:r>
        <w:rPr>
          <w:b w:val="0"/>
        </w:rPr>
        <w:br w:type="column"/>
      </w:r>
      <w:r>
        <w:rPr/>
        <w:t>Degree Requirements</w:t>
      </w:r>
    </w:p>
    <w:p>
      <w:pPr>
        <w:pStyle w:val="BodyText"/>
        <w:spacing w:line="249" w:lineRule="auto" w:before="187"/>
        <w:ind w:left="199" w:right="650"/>
      </w:pPr>
      <w:r>
        <w:rPr/>
        <w:t>Candidates for admission must meet the minimum standards of admission established by the Graduate School and provide the requisite credentials. Admission to the certificate program is selective. A U.S. bachelor’s degree or its equivalent from a non-U.S. educational institution is required. No specific undergraduate course of study is required or recommended. Graduate Record Examinations are not required for admission.</w:t>
      </w:r>
    </w:p>
    <w:p>
      <w:pPr>
        <w:pStyle w:val="Heading5"/>
        <w:spacing w:before="184"/>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8"/>
        <w:gridCol w:w="3092"/>
        <w:gridCol w:w="641"/>
      </w:tblGrid>
      <w:tr>
        <w:trPr>
          <w:trHeight w:val="711" w:hRule="atLeast"/>
        </w:trPr>
        <w:tc>
          <w:tcPr>
            <w:tcW w:w="1218" w:type="dxa"/>
          </w:tcPr>
          <w:p>
            <w:pPr>
              <w:pStyle w:val="TableParagraph"/>
              <w:spacing w:line="223" w:lineRule="exact" w:before="0"/>
              <w:ind w:left="200"/>
              <w:rPr>
                <w:sz w:val="20"/>
              </w:rPr>
            </w:pPr>
            <w:r>
              <w:rPr>
                <w:sz w:val="20"/>
              </w:rPr>
              <w:t>MLL 625</w:t>
            </w:r>
          </w:p>
        </w:tc>
        <w:tc>
          <w:tcPr>
            <w:tcW w:w="3092" w:type="dxa"/>
          </w:tcPr>
          <w:p>
            <w:pPr>
              <w:pStyle w:val="TableParagraph"/>
              <w:spacing w:line="249" w:lineRule="auto" w:before="0"/>
              <w:ind w:left="196" w:right="757"/>
              <w:rPr>
                <w:sz w:val="20"/>
              </w:rPr>
            </w:pPr>
            <w:r>
              <w:rPr>
                <w:sz w:val="20"/>
              </w:rPr>
              <w:t>INTERCULTURAL </w:t>
            </w:r>
            <w:r>
              <w:rPr>
                <w:spacing w:val="-2"/>
                <w:sz w:val="20"/>
              </w:rPr>
              <w:t>AND </w:t>
            </w:r>
            <w:r>
              <w:rPr>
                <w:sz w:val="20"/>
              </w:rPr>
              <w:t>CROSS-CULTURAL</w:t>
            </w:r>
          </w:p>
          <w:p>
            <w:pPr>
              <w:pStyle w:val="TableParagraph"/>
              <w:spacing w:line="219" w:lineRule="exact" w:before="0"/>
              <w:ind w:left="196"/>
              <w:rPr>
                <w:sz w:val="20"/>
              </w:rPr>
            </w:pPr>
            <w:r>
              <w:rPr>
                <w:sz w:val="20"/>
              </w:rPr>
              <w:t>COMMUNICATION</w:t>
            </w:r>
          </w:p>
        </w:tc>
        <w:tc>
          <w:tcPr>
            <w:tcW w:w="641" w:type="dxa"/>
          </w:tcPr>
          <w:p>
            <w:pPr>
              <w:pStyle w:val="TableParagraph"/>
              <w:spacing w:line="223" w:lineRule="exact" w:before="0"/>
              <w:ind w:right="198"/>
              <w:jc w:val="right"/>
              <w:rPr>
                <w:sz w:val="20"/>
              </w:rPr>
            </w:pPr>
            <w:r>
              <w:rPr>
                <w:w w:val="100"/>
                <w:sz w:val="20"/>
              </w:rPr>
              <w:t>3</w:t>
            </w:r>
          </w:p>
        </w:tc>
      </w:tr>
      <w:tr>
        <w:trPr>
          <w:trHeight w:val="720" w:hRule="atLeast"/>
        </w:trPr>
        <w:tc>
          <w:tcPr>
            <w:tcW w:w="1218" w:type="dxa"/>
          </w:tcPr>
          <w:p>
            <w:pPr>
              <w:pStyle w:val="TableParagraph"/>
              <w:ind w:left="200"/>
              <w:rPr>
                <w:sz w:val="20"/>
              </w:rPr>
            </w:pPr>
            <w:r>
              <w:rPr>
                <w:sz w:val="20"/>
              </w:rPr>
              <w:t>INCL 632</w:t>
            </w:r>
          </w:p>
        </w:tc>
        <w:tc>
          <w:tcPr>
            <w:tcW w:w="3092" w:type="dxa"/>
          </w:tcPr>
          <w:p>
            <w:pPr>
              <w:pStyle w:val="TableParagraph"/>
              <w:spacing w:line="249" w:lineRule="auto"/>
              <w:ind w:left="196" w:right="326"/>
              <w:rPr>
                <w:sz w:val="20"/>
              </w:rPr>
            </w:pPr>
            <w:r>
              <w:rPr>
                <w:sz w:val="20"/>
              </w:rPr>
              <w:t>HISTORICAL EXPLORATION OF RACE IN</w:t>
            </w:r>
          </w:p>
          <w:p>
            <w:pPr>
              <w:pStyle w:val="TableParagraph"/>
              <w:spacing w:line="219" w:lineRule="exact" w:before="2"/>
              <w:ind w:left="196"/>
              <w:rPr>
                <w:sz w:val="20"/>
              </w:rPr>
            </w:pPr>
            <w:r>
              <w:rPr>
                <w:sz w:val="20"/>
              </w:rPr>
              <w:t>THE US</w:t>
            </w:r>
          </w:p>
        </w:tc>
        <w:tc>
          <w:tcPr>
            <w:tcW w:w="641" w:type="dxa"/>
          </w:tcPr>
          <w:p>
            <w:pPr>
              <w:pStyle w:val="TableParagraph"/>
              <w:ind w:right="198"/>
              <w:jc w:val="right"/>
              <w:rPr>
                <w:sz w:val="20"/>
              </w:rPr>
            </w:pPr>
            <w:r>
              <w:rPr>
                <w:w w:val="100"/>
                <w:sz w:val="20"/>
              </w:rPr>
              <w:t>3</w:t>
            </w:r>
          </w:p>
        </w:tc>
      </w:tr>
      <w:tr>
        <w:trPr>
          <w:trHeight w:val="720" w:hRule="atLeast"/>
        </w:trPr>
        <w:tc>
          <w:tcPr>
            <w:tcW w:w="1218" w:type="dxa"/>
          </w:tcPr>
          <w:p>
            <w:pPr>
              <w:pStyle w:val="TableParagraph"/>
              <w:ind w:left="200"/>
              <w:rPr>
                <w:sz w:val="20"/>
              </w:rPr>
            </w:pPr>
            <w:r>
              <w:rPr>
                <w:sz w:val="20"/>
              </w:rPr>
              <w:t>INCL 633</w:t>
            </w:r>
          </w:p>
        </w:tc>
        <w:tc>
          <w:tcPr>
            <w:tcW w:w="3092" w:type="dxa"/>
          </w:tcPr>
          <w:p>
            <w:pPr>
              <w:pStyle w:val="TableParagraph"/>
              <w:spacing w:line="249" w:lineRule="auto"/>
              <w:ind w:left="196" w:right="1170"/>
              <w:rPr>
                <w:sz w:val="20"/>
              </w:rPr>
            </w:pPr>
            <w:r>
              <w:rPr>
                <w:sz w:val="20"/>
              </w:rPr>
              <w:t>HISTORICAL EXPLORATION OF</w:t>
            </w:r>
          </w:p>
          <w:p>
            <w:pPr>
              <w:pStyle w:val="TableParagraph"/>
              <w:spacing w:line="219" w:lineRule="exact" w:before="2"/>
              <w:ind w:left="196"/>
              <w:rPr>
                <w:sz w:val="20"/>
              </w:rPr>
            </w:pPr>
            <w:r>
              <w:rPr>
                <w:sz w:val="20"/>
              </w:rPr>
              <w:t>CULTURE IN THE US</w:t>
            </w:r>
          </w:p>
        </w:tc>
        <w:tc>
          <w:tcPr>
            <w:tcW w:w="641" w:type="dxa"/>
          </w:tcPr>
          <w:p>
            <w:pPr>
              <w:pStyle w:val="TableParagraph"/>
              <w:ind w:right="198"/>
              <w:jc w:val="right"/>
              <w:rPr>
                <w:sz w:val="20"/>
              </w:rPr>
            </w:pPr>
            <w:r>
              <w:rPr>
                <w:w w:val="100"/>
                <w:sz w:val="20"/>
              </w:rPr>
              <w:t>3</w:t>
            </w:r>
          </w:p>
        </w:tc>
      </w:tr>
      <w:tr>
        <w:trPr>
          <w:trHeight w:val="720" w:hRule="atLeast"/>
        </w:trPr>
        <w:tc>
          <w:tcPr>
            <w:tcW w:w="1218" w:type="dxa"/>
          </w:tcPr>
          <w:p>
            <w:pPr>
              <w:pStyle w:val="TableParagraph"/>
              <w:ind w:left="200"/>
              <w:rPr>
                <w:sz w:val="20"/>
              </w:rPr>
            </w:pPr>
            <w:r>
              <w:rPr>
                <w:sz w:val="20"/>
              </w:rPr>
              <w:t>INCL 640</w:t>
            </w:r>
          </w:p>
        </w:tc>
        <w:tc>
          <w:tcPr>
            <w:tcW w:w="3092" w:type="dxa"/>
          </w:tcPr>
          <w:p>
            <w:pPr>
              <w:pStyle w:val="TableParagraph"/>
              <w:spacing w:line="249" w:lineRule="auto"/>
              <w:ind w:left="196" w:right="403"/>
              <w:rPr>
                <w:sz w:val="20"/>
              </w:rPr>
            </w:pPr>
            <w:r>
              <w:rPr>
                <w:sz w:val="20"/>
              </w:rPr>
              <w:t>PRACTICAL APPLICATION OF INTERCULTURAL</w:t>
            </w:r>
          </w:p>
          <w:p>
            <w:pPr>
              <w:pStyle w:val="TableParagraph"/>
              <w:spacing w:line="219" w:lineRule="exact" w:before="2"/>
              <w:ind w:left="196"/>
              <w:rPr>
                <w:sz w:val="20"/>
              </w:rPr>
            </w:pPr>
            <w:r>
              <w:rPr>
                <w:sz w:val="20"/>
              </w:rPr>
              <w:t>LEADERSHIP</w:t>
            </w:r>
          </w:p>
        </w:tc>
        <w:tc>
          <w:tcPr>
            <w:tcW w:w="641" w:type="dxa"/>
          </w:tcPr>
          <w:p>
            <w:pPr>
              <w:pStyle w:val="TableParagraph"/>
              <w:ind w:right="198"/>
              <w:jc w:val="right"/>
              <w:rPr>
                <w:sz w:val="20"/>
              </w:rPr>
            </w:pPr>
            <w:r>
              <w:rPr>
                <w:w w:val="100"/>
                <w:sz w:val="20"/>
              </w:rPr>
              <w:t>3</w:t>
            </w:r>
          </w:p>
        </w:tc>
      </w:tr>
      <w:tr>
        <w:trPr>
          <w:trHeight w:val="471" w:hRule="atLeast"/>
        </w:trPr>
        <w:tc>
          <w:tcPr>
            <w:tcW w:w="1218" w:type="dxa"/>
          </w:tcPr>
          <w:p>
            <w:pPr>
              <w:pStyle w:val="TableParagraph"/>
              <w:ind w:left="200"/>
              <w:rPr>
                <w:sz w:val="20"/>
              </w:rPr>
            </w:pPr>
            <w:r>
              <w:rPr>
                <w:sz w:val="20"/>
              </w:rPr>
              <w:t>INCL 643</w:t>
            </w:r>
          </w:p>
        </w:tc>
        <w:tc>
          <w:tcPr>
            <w:tcW w:w="3092" w:type="dxa"/>
          </w:tcPr>
          <w:p>
            <w:pPr>
              <w:pStyle w:val="TableParagraph"/>
              <w:ind w:left="196"/>
              <w:rPr>
                <w:sz w:val="20"/>
              </w:rPr>
            </w:pPr>
            <w:r>
              <w:rPr>
                <w:sz w:val="20"/>
              </w:rPr>
              <w:t>INTERCULTURAL IMPACT</w:t>
            </w:r>
          </w:p>
          <w:p>
            <w:pPr>
              <w:pStyle w:val="TableParagraph"/>
              <w:spacing w:line="210" w:lineRule="exact" w:before="10"/>
              <w:ind w:left="196"/>
              <w:rPr>
                <w:sz w:val="20"/>
              </w:rPr>
            </w:pPr>
            <w:r>
              <w:rPr>
                <w:sz w:val="20"/>
              </w:rPr>
              <w:t>INSTITUTE</w:t>
            </w:r>
          </w:p>
        </w:tc>
        <w:tc>
          <w:tcPr>
            <w:tcW w:w="641" w:type="dxa"/>
          </w:tcPr>
          <w:p>
            <w:pPr>
              <w:pStyle w:val="TableParagraph"/>
              <w:ind w:right="198"/>
              <w:jc w:val="right"/>
              <w:rPr>
                <w:sz w:val="20"/>
              </w:rPr>
            </w:pPr>
            <w:r>
              <w:rPr>
                <w:w w:val="100"/>
                <w:sz w:val="20"/>
              </w:rPr>
              <w:t>3</w:t>
            </w:r>
          </w:p>
        </w:tc>
      </w:tr>
    </w:tbl>
    <w:p>
      <w:pPr>
        <w:pStyle w:val="BodyText"/>
        <w:spacing w:before="7"/>
        <w:ind w:left="0"/>
        <w:rPr>
          <w:sz w:val="17"/>
        </w:rPr>
      </w:pPr>
    </w:p>
    <w:p>
      <w:pPr>
        <w:pStyle w:val="BodyText"/>
        <w:spacing w:line="249" w:lineRule="auto" w:before="0"/>
        <w:ind w:right="905"/>
      </w:pPr>
      <w:r>
        <w:rPr/>
        <w:t>Details are given in the Course Descriptions part of this catalog.</w:t>
      </w:r>
    </w:p>
    <w:p>
      <w:pPr>
        <w:spacing w:after="0" w:line="249" w:lineRule="auto"/>
        <w:sectPr>
          <w:pgSz w:w="12240" w:h="15840"/>
          <w:pgMar w:header="746" w:footer="0" w:top="1320" w:bottom="280" w:left="880" w:right="300"/>
          <w:cols w:num="2" w:equalWidth="0">
            <w:col w:w="5004" w:space="482"/>
            <w:col w:w="5574"/>
          </w:cols>
        </w:sectPr>
      </w:pPr>
    </w:p>
    <w:p>
      <w:pPr>
        <w:pStyle w:val="Heading3"/>
        <w:ind w:right="13"/>
      </w:pPr>
      <w:bookmarkStart w:name="Leadership and Administration in Hospice" w:id="59"/>
      <w:bookmarkEnd w:id="59"/>
      <w:r>
        <w:rPr/>
      </w:r>
      <w:bookmarkStart w:name="_bookmark29" w:id="60"/>
      <w:bookmarkEnd w:id="60"/>
      <w:r>
        <w:rPr/>
      </w:r>
      <w:r>
        <w:rPr/>
        <w:t>Leadership and Administration in Hospice and Palliative Care</w:t>
      </w:r>
    </w:p>
    <w:p>
      <w:pPr>
        <w:pStyle w:val="BodyText"/>
        <w:spacing w:line="249" w:lineRule="auto" w:before="190"/>
        <w:ind w:right="67"/>
      </w:pPr>
      <w:hyperlink r:id="rId64">
        <w:r>
          <w:rPr>
            <w:color w:val="0000FF"/>
            <w:u w:val="single" w:color="0000FF"/>
          </w:rPr>
          <w:t>https://www.graduate.umaryland.edu/palliative/About-the-</w:t>
        </w:r>
      </w:hyperlink>
      <w:r>
        <w:rPr>
          <w:color w:val="0000FF"/>
        </w:rPr>
        <w:t> </w:t>
      </w:r>
      <w:hyperlink r:id="rId64">
        <w:r>
          <w:rPr>
            <w:color w:val="0000FF"/>
            <w:u w:val="single" w:color="0000FF"/>
          </w:rPr>
          <w:t>Program/</w:t>
        </w:r>
      </w:hyperlink>
    </w:p>
    <w:p>
      <w:pPr>
        <w:spacing w:line="439" w:lineRule="auto" w:before="179"/>
        <w:ind w:left="200" w:right="2445"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right="51"/>
      </w:pPr>
      <w:r>
        <w:rPr/>
        <w:t>Leadership and Administration in Hospice and Palliative Care is a 12-credit, online postbaccalaureate graduate certificate program designed to provide learners with experiences designed to foster a deeper knowledge and understanding of the numerous administrative issues in caring for patients with a serious illness. Specifically, participants learn about assessing the need for a hospice program or palliative care program, and how to develop each program. Leadership and administrative skills such as team building, quality improvement, service and performance excellence, staffing, operational aspects, financial management, human resources management, organizational integrity and compliant will be covered for both hospice and palliative care practice. Participants will become intimately knowledgeable about the standards and regulations for hospice and palliative care practice, and their incumbent compensation models. Enrollees will also learning how to develop, implement and maintain an ongoing data driven process that reflects the complexity of the organization and focuses on clinical, economic and humanistic outcomes. Learners will also assure strategic alignment of program operationalization with established organizational mission and vision with consideration for growth. Last, participants will learn about the principles of adult learning and staff development, including principles of instructional design, and methods of informal learning (including social media).</w:t>
      </w:r>
    </w:p>
    <w:p>
      <w:pPr>
        <w:pStyle w:val="BodyText"/>
        <w:spacing w:line="249" w:lineRule="auto" w:before="197"/>
        <w:ind w:right="184"/>
      </w:pPr>
      <w:r>
        <w:rPr/>
        <w:t>Leadership and Administration in Hospice and Palliative Care is also a concentration of study within the Master of Science in Palliative Care (PALC-MS) program. Credits earned in the stand-alone certificate program may be applied toward the PALC-MS degree requirements.</w:t>
      </w:r>
    </w:p>
    <w:p>
      <w:pPr>
        <w:pStyle w:val="Heading6"/>
        <w:spacing w:before="186"/>
      </w:pPr>
      <w:r>
        <w:rPr/>
        <w:t>Degree Requirements</w:t>
      </w:r>
    </w:p>
    <w:p>
      <w:pPr>
        <w:pStyle w:val="BodyText"/>
        <w:spacing w:line="249" w:lineRule="auto" w:before="187"/>
        <w:ind w:right="91"/>
      </w:pPr>
      <w:r>
        <w:rPr/>
        <w:t>Certificate candidates must complete a minimum </w:t>
      </w:r>
      <w:r>
        <w:rPr>
          <w:spacing w:val="-3"/>
        </w:rPr>
        <w:t>of </w:t>
      </w:r>
      <w:r>
        <w:rPr/>
        <w:t>12 credits. Students must maintain a minimum, cumulative 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courses </w:t>
      </w:r>
      <w:r>
        <w:rPr>
          <w:spacing w:val="-3"/>
        </w:rPr>
        <w:t>taken </w:t>
      </w:r>
      <w:r>
        <w:rPr/>
        <w:t>as Pass/Fail (P/F) </w:t>
      </w:r>
      <w:r>
        <w:rPr>
          <w:spacing w:val="-3"/>
        </w:rPr>
        <w:t>or </w:t>
      </w:r>
      <w:r>
        <w:rPr/>
        <w:t>Audit </w:t>
      </w:r>
      <w:r>
        <w:rPr>
          <w:spacing w:val="-3"/>
        </w:rPr>
        <w:t>(AU) </w:t>
      </w:r>
      <w:r>
        <w:rPr/>
        <w:t>do not count toward the certificate. </w:t>
      </w:r>
      <w:r>
        <w:rPr>
          <w:spacing w:val="-2"/>
        </w:rPr>
        <w:t>All </w:t>
      </w:r>
      <w:r>
        <w:rPr/>
        <w:t>requirements </w:t>
      </w:r>
      <w:r>
        <w:rPr>
          <w:spacing w:val="-4"/>
        </w:rPr>
        <w:t>for </w:t>
      </w:r>
      <w:r>
        <w:rPr/>
        <w:t>the certificate must </w:t>
      </w:r>
      <w:r>
        <w:rPr>
          <w:spacing w:val="-3"/>
        </w:rPr>
        <w:t>be </w:t>
      </w:r>
      <w:r>
        <w:rPr/>
        <w:t>completed</w:t>
      </w:r>
      <w:r>
        <w:rPr>
          <w:spacing w:val="4"/>
        </w:rPr>
        <w:t> </w:t>
      </w:r>
      <w:r>
        <w:rPr/>
        <w:t>within</w:t>
      </w:r>
    </w:p>
    <w:p>
      <w:pPr>
        <w:pStyle w:val="BodyText"/>
        <w:spacing w:line="249" w:lineRule="auto" w:before="96"/>
        <w:ind w:right="606"/>
      </w:pPr>
      <w:r>
        <w:rPr/>
        <w:br w:type="column"/>
      </w:r>
      <w:r>
        <w:rPr/>
        <w:t>three years after admission and all credits for the certificate must be completed at the University of Maryland, Baltimore. Complete guideline and requirements for progression and completion are outlined in the Academic Performance and Progress in a Postbaccalaureate Certificate Program section of this catalog.</w:t>
      </w:r>
    </w:p>
    <w:p>
      <w:pPr>
        <w:pStyle w:val="Heading5"/>
        <w:spacing w:before="177"/>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3042"/>
        <w:gridCol w:w="661"/>
      </w:tblGrid>
      <w:tr>
        <w:trPr>
          <w:trHeight w:val="471" w:hRule="atLeast"/>
        </w:trPr>
        <w:tc>
          <w:tcPr>
            <w:tcW w:w="1249" w:type="dxa"/>
          </w:tcPr>
          <w:p>
            <w:pPr>
              <w:pStyle w:val="TableParagraph"/>
              <w:spacing w:line="223" w:lineRule="exact" w:before="0"/>
              <w:ind w:left="200"/>
              <w:rPr>
                <w:sz w:val="20"/>
              </w:rPr>
            </w:pPr>
            <w:r>
              <w:rPr>
                <w:sz w:val="20"/>
              </w:rPr>
              <w:t>PALC 608</w:t>
            </w:r>
          </w:p>
        </w:tc>
        <w:tc>
          <w:tcPr>
            <w:tcW w:w="3042" w:type="dxa"/>
          </w:tcPr>
          <w:p>
            <w:pPr>
              <w:pStyle w:val="TableParagraph"/>
              <w:spacing w:line="223" w:lineRule="exact" w:before="0"/>
              <w:ind w:left="184"/>
              <w:rPr>
                <w:sz w:val="20"/>
              </w:rPr>
            </w:pPr>
            <w:r>
              <w:rPr>
                <w:sz w:val="20"/>
              </w:rPr>
              <w:t>HOSPICE LEADERSHIP</w:t>
            </w:r>
          </w:p>
          <w:p>
            <w:pPr>
              <w:pStyle w:val="TableParagraph"/>
              <w:spacing w:line="219" w:lineRule="exact" w:before="10"/>
              <w:ind w:left="184"/>
              <w:rPr>
                <w:sz w:val="20"/>
              </w:rPr>
            </w:pPr>
            <w:r>
              <w:rPr>
                <w:sz w:val="20"/>
              </w:rPr>
              <w:t>AND ADMINISTRATION</w:t>
            </w:r>
          </w:p>
        </w:tc>
        <w:tc>
          <w:tcPr>
            <w:tcW w:w="661" w:type="dxa"/>
          </w:tcPr>
          <w:p>
            <w:pPr>
              <w:pStyle w:val="TableParagraph"/>
              <w:spacing w:line="223" w:lineRule="exact" w:before="0"/>
              <w:ind w:right="199"/>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609</w:t>
            </w:r>
          </w:p>
        </w:tc>
        <w:tc>
          <w:tcPr>
            <w:tcW w:w="3042" w:type="dxa"/>
          </w:tcPr>
          <w:p>
            <w:pPr>
              <w:pStyle w:val="TableParagraph"/>
              <w:spacing w:line="249" w:lineRule="auto"/>
              <w:ind w:left="184"/>
              <w:rPr>
                <w:sz w:val="20"/>
              </w:rPr>
            </w:pPr>
            <w:r>
              <w:rPr>
                <w:sz w:val="20"/>
              </w:rPr>
              <w:t>PALLIATIVE </w:t>
            </w:r>
            <w:r>
              <w:rPr>
                <w:spacing w:val="-6"/>
                <w:sz w:val="20"/>
              </w:rPr>
              <w:t>CARE </w:t>
            </w:r>
            <w:r>
              <w:rPr>
                <w:sz w:val="20"/>
              </w:rPr>
              <w:t>LEADERSHIP</w:t>
            </w:r>
            <w:r>
              <w:rPr>
                <w:spacing w:val="-2"/>
                <w:sz w:val="20"/>
              </w:rPr>
              <w:t> AND</w:t>
            </w:r>
          </w:p>
          <w:p>
            <w:pPr>
              <w:pStyle w:val="TableParagraph"/>
              <w:spacing w:line="219" w:lineRule="exact" w:before="2"/>
              <w:ind w:left="184"/>
              <w:rPr>
                <w:sz w:val="20"/>
              </w:rPr>
            </w:pPr>
            <w:r>
              <w:rPr>
                <w:sz w:val="20"/>
              </w:rPr>
              <w:t>ADMINISTRATION</w:t>
            </w:r>
          </w:p>
        </w:tc>
        <w:tc>
          <w:tcPr>
            <w:tcW w:w="661" w:type="dxa"/>
          </w:tcPr>
          <w:p>
            <w:pPr>
              <w:pStyle w:val="TableParagraph"/>
              <w:ind w:right="199"/>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610</w:t>
            </w:r>
          </w:p>
        </w:tc>
        <w:tc>
          <w:tcPr>
            <w:tcW w:w="3042" w:type="dxa"/>
          </w:tcPr>
          <w:p>
            <w:pPr>
              <w:pStyle w:val="TableParagraph"/>
              <w:spacing w:line="249" w:lineRule="auto"/>
              <w:ind w:left="184" w:right="343"/>
              <w:rPr>
                <w:sz w:val="20"/>
              </w:rPr>
            </w:pPr>
            <w:r>
              <w:rPr>
                <w:sz w:val="20"/>
              </w:rPr>
              <w:t>PRACTICE DEVELOPMENT AND STRATEGIC</w:t>
            </w:r>
          </w:p>
          <w:p>
            <w:pPr>
              <w:pStyle w:val="TableParagraph"/>
              <w:spacing w:line="219" w:lineRule="exact" w:before="2"/>
              <w:ind w:left="184"/>
              <w:rPr>
                <w:sz w:val="20"/>
              </w:rPr>
            </w:pPr>
            <w:r>
              <w:rPr>
                <w:sz w:val="20"/>
              </w:rPr>
              <w:t>PLANNING</w:t>
            </w:r>
          </w:p>
        </w:tc>
        <w:tc>
          <w:tcPr>
            <w:tcW w:w="661" w:type="dxa"/>
          </w:tcPr>
          <w:p>
            <w:pPr>
              <w:pStyle w:val="TableParagraph"/>
              <w:ind w:right="199"/>
              <w:jc w:val="right"/>
              <w:rPr>
                <w:sz w:val="20"/>
              </w:rPr>
            </w:pPr>
            <w:r>
              <w:rPr>
                <w:w w:val="100"/>
                <w:sz w:val="20"/>
              </w:rPr>
              <w:t>3</w:t>
            </w:r>
          </w:p>
        </w:tc>
      </w:tr>
      <w:tr>
        <w:trPr>
          <w:trHeight w:val="951" w:hRule="atLeast"/>
        </w:trPr>
        <w:tc>
          <w:tcPr>
            <w:tcW w:w="1249" w:type="dxa"/>
          </w:tcPr>
          <w:p>
            <w:pPr>
              <w:pStyle w:val="TableParagraph"/>
              <w:ind w:left="200"/>
              <w:rPr>
                <w:sz w:val="20"/>
              </w:rPr>
            </w:pPr>
            <w:r>
              <w:rPr>
                <w:sz w:val="20"/>
              </w:rPr>
              <w:t>PALC 602</w:t>
            </w:r>
          </w:p>
        </w:tc>
        <w:tc>
          <w:tcPr>
            <w:tcW w:w="3042" w:type="dxa"/>
          </w:tcPr>
          <w:p>
            <w:pPr>
              <w:pStyle w:val="TableParagraph"/>
              <w:spacing w:line="249" w:lineRule="auto"/>
              <w:ind w:left="184" w:right="1088"/>
              <w:rPr>
                <w:sz w:val="20"/>
              </w:rPr>
            </w:pPr>
            <w:r>
              <w:rPr>
                <w:sz w:val="20"/>
              </w:rPr>
              <w:t>PRINCIPLES AND PRACTICES OF PALLIATIVE CARE</w:t>
            </w:r>
          </w:p>
          <w:p>
            <w:pPr>
              <w:pStyle w:val="TableParagraph"/>
              <w:spacing w:line="210" w:lineRule="exact" w:before="2"/>
              <w:ind w:left="184"/>
              <w:rPr>
                <w:sz w:val="20"/>
              </w:rPr>
            </w:pPr>
            <w:r>
              <w:rPr>
                <w:sz w:val="20"/>
              </w:rPr>
              <w:t>EDUCATION</w:t>
            </w:r>
          </w:p>
        </w:tc>
        <w:tc>
          <w:tcPr>
            <w:tcW w:w="661" w:type="dxa"/>
          </w:tcPr>
          <w:p>
            <w:pPr>
              <w:pStyle w:val="TableParagraph"/>
              <w:ind w:right="199"/>
              <w:jc w:val="right"/>
              <w:rPr>
                <w:sz w:val="20"/>
              </w:rPr>
            </w:pPr>
            <w:r>
              <w:rPr>
                <w:w w:val="100"/>
                <w:sz w:val="20"/>
              </w:rPr>
              <w:t>3</w:t>
            </w:r>
          </w:p>
        </w:tc>
      </w:tr>
    </w:tbl>
    <w:p>
      <w:pPr>
        <w:pStyle w:val="BodyText"/>
        <w:spacing w:before="0"/>
        <w:ind w:left="0"/>
        <w:rPr>
          <w:sz w:val="18"/>
        </w:rPr>
      </w:pPr>
    </w:p>
    <w:p>
      <w:pPr>
        <w:pStyle w:val="BodyText"/>
        <w:spacing w:line="249" w:lineRule="auto" w:before="0"/>
        <w:ind w:right="905"/>
      </w:pPr>
      <w:r>
        <w:rPr/>
        <w:t>Details are given in the Course Descriptions part of this catalog.</w:t>
      </w:r>
    </w:p>
    <w:p>
      <w:pPr>
        <w:spacing w:after="0" w:line="249" w:lineRule="auto"/>
        <w:sectPr>
          <w:pgSz w:w="12240" w:h="15840"/>
          <w:pgMar w:header="746" w:footer="0" w:top="1320" w:bottom="280" w:left="880" w:right="300"/>
          <w:cols w:num="2" w:equalWidth="0">
            <w:col w:w="4992" w:space="494"/>
            <w:col w:w="5574"/>
          </w:cols>
        </w:sectPr>
      </w:pPr>
    </w:p>
    <w:p>
      <w:pPr>
        <w:pStyle w:val="Heading3"/>
      </w:pPr>
      <w:bookmarkStart w:name="Marine Estuarine Environmental Sciences" w:id="61"/>
      <w:bookmarkEnd w:id="61"/>
      <w:r>
        <w:rPr/>
      </w:r>
      <w:bookmarkStart w:name="_bookmark30" w:id="62"/>
      <w:bookmarkEnd w:id="62"/>
      <w:r>
        <w:rPr/>
      </w:r>
      <w:r>
        <w:rPr/>
        <w:t>Marine Estuarine Environmental Sciences</w:t>
      </w:r>
    </w:p>
    <w:p>
      <w:pPr>
        <w:pStyle w:val="Heading6"/>
        <w:spacing w:before="190"/>
      </w:pPr>
      <w:r>
        <w:rPr/>
        <w:t>University System of Maryland</w:t>
      </w:r>
    </w:p>
    <w:p>
      <w:pPr>
        <w:spacing w:line="439" w:lineRule="auto" w:before="192"/>
        <w:ind w:left="200" w:right="3079" w:firstLine="0"/>
        <w:jc w:val="left"/>
        <w:rPr>
          <w:sz w:val="20"/>
        </w:rPr>
      </w:pPr>
      <w:hyperlink r:id="rId65">
        <w:r>
          <w:rPr>
            <w:color w:val="0000FF"/>
            <w:sz w:val="20"/>
            <w:u w:val="single" w:color="0000FF"/>
          </w:rPr>
          <w:t>http://mees.umd.edu/</w:t>
        </w:r>
      </w:hyperlink>
      <w:r>
        <w:rPr>
          <w:color w:val="0000FF"/>
          <w:sz w:val="20"/>
        </w:rPr>
        <w:t> </w:t>
      </w:r>
      <w:r>
        <w:rPr>
          <w:b/>
          <w:sz w:val="20"/>
        </w:rPr>
        <w:t>Degrees Offered </w:t>
      </w:r>
      <w:r>
        <w:rPr>
          <w:sz w:val="20"/>
        </w:rPr>
        <w:t>PhD, MS</w:t>
      </w:r>
    </w:p>
    <w:p>
      <w:pPr>
        <w:pStyle w:val="Heading6"/>
        <w:spacing w:line="225" w:lineRule="exact" w:before="0"/>
      </w:pPr>
      <w:r>
        <w:rPr/>
        <w:t>Program Description</w:t>
      </w:r>
    </w:p>
    <w:p>
      <w:pPr>
        <w:pStyle w:val="BodyText"/>
        <w:spacing w:line="249" w:lineRule="auto" w:before="193"/>
        <w:ind w:left="199" w:right="86"/>
      </w:pPr>
      <w:r>
        <w:rPr/>
        <w:t>The specific objective of the systemwide University graduate program in Marine Estuarine Environmental Sciences (MEES) is the training of qualified graduate students, working toward an MS or PhD degree, who have research interests in fields of study that involve interactions between biological systems and physical or chemical systems in marine, estuarine, or terrestrial environments. The program comprises six areas of specialization: ecology, environmental chemistry, environmental molecular biology and biotechnology, environmental science, fisheries science, and oceanography. Students work with their advisory committee to develop a customized course of study based on research interests and previous experience.</w:t>
      </w:r>
    </w:p>
    <w:p>
      <w:pPr>
        <w:pStyle w:val="BodyText"/>
        <w:spacing w:line="249" w:lineRule="auto" w:before="187"/>
        <w:ind w:right="19"/>
      </w:pPr>
      <w:r>
        <w:rPr/>
        <w:t>Each student is required to complete a thesis or dissertation reporting the results of an original investigation. The research problem is selected and pursued under the guidance of the student’s advisor and advisory committee.</w:t>
      </w:r>
    </w:p>
    <w:p>
      <w:pPr>
        <w:pStyle w:val="BodyText"/>
        <w:spacing w:line="249" w:lineRule="auto" w:before="186"/>
        <w:ind w:right="36"/>
      </w:pPr>
      <w:r>
        <w:rPr/>
        <w:t>Students may conduct their research in the laboratories and facilities of the University of Maryland, College Park; University of Maryland, Baltimore; University of Maryland, Baltimore County; or University of Maryland, Eastern Shore;or in a laboratory of the University of Maryland Center for Environmental Science: Chesapeake Biological Laboratory in Solomons, Md.; the Horn Point Laboratory in Cambridge, Md.; and the Appalachian Laboratory in Frostburg, Md.; or at the Center of Marine Biotechnology in Baltimore. The Chesapeake and Horn Point laboratories are located on the Chesapeake Bay.</w:t>
      </w:r>
    </w:p>
    <w:p>
      <w:pPr>
        <w:pStyle w:val="BodyText"/>
        <w:spacing w:line="249" w:lineRule="auto" w:before="8"/>
        <w:ind w:right="36"/>
      </w:pPr>
      <w:r>
        <w:rPr/>
        <w:t>They include excellent facilities for the culture of estuarine organisms. The laboratories are provided with running saltwater, which may be heated or cooled and may be filtered. At Horn Point, there are extensive marshes, intertidal areas, oyster reefs, tidal creeks, and rock jetties. The Appalachian Laboratory, located in the mountains of Western Maryland, specializes in terrestrial and freshwater ecology.</w:t>
      </w:r>
    </w:p>
    <w:p>
      <w:pPr>
        <w:pStyle w:val="Heading6"/>
        <w:spacing w:before="183"/>
      </w:pPr>
      <w:r>
        <w:rPr/>
        <w:t>Program Admission</w:t>
      </w:r>
    </w:p>
    <w:p>
      <w:pPr>
        <w:pStyle w:val="BodyText"/>
        <w:spacing w:before="193"/>
      </w:pPr>
      <w:r>
        <w:rPr/>
        <w:t>Applications for admission in the fall semester must be</w:t>
      </w:r>
    </w:p>
    <w:p>
      <w:pPr>
        <w:pStyle w:val="BodyText"/>
        <w:spacing w:line="249" w:lineRule="auto" w:before="96"/>
        <w:ind w:right="631"/>
      </w:pPr>
      <w:r>
        <w:rPr/>
        <w:br w:type="column"/>
      </w:r>
      <w:r>
        <w:rPr/>
        <w:t>filed by Feb. 1; however, to </w:t>
      </w:r>
      <w:r>
        <w:rPr>
          <w:spacing w:val="-3"/>
        </w:rPr>
        <w:t>be </w:t>
      </w:r>
      <w:r>
        <w:rPr/>
        <w:t>considered </w:t>
      </w:r>
      <w:r>
        <w:rPr>
          <w:spacing w:val="-4"/>
        </w:rPr>
        <w:t>for </w:t>
      </w:r>
      <w:r>
        <w:rPr/>
        <w:t>financial support, it is </w:t>
      </w:r>
      <w:r>
        <w:rPr>
          <w:spacing w:val="-3"/>
        </w:rPr>
        <w:t>better </w:t>
      </w:r>
      <w:r>
        <w:rPr/>
        <w:t>to apply by Dec. 1. Some students </w:t>
      </w:r>
      <w:r>
        <w:rPr>
          <w:spacing w:val="-3"/>
        </w:rPr>
        <w:t>will be </w:t>
      </w:r>
      <w:r>
        <w:rPr/>
        <w:t>admitted </w:t>
      </w:r>
      <w:r>
        <w:rPr>
          <w:spacing w:val="-4"/>
        </w:rPr>
        <w:t>for </w:t>
      </w:r>
      <w:r>
        <w:rPr/>
        <w:t>the semester starting in </w:t>
      </w:r>
      <w:r>
        <w:rPr>
          <w:spacing w:val="-3"/>
        </w:rPr>
        <w:t>January, </w:t>
      </w:r>
      <w:r>
        <w:rPr/>
        <w:t>for which the deadline is Sept. </w:t>
      </w:r>
      <w:r>
        <w:rPr>
          <w:spacing w:val="-3"/>
        </w:rPr>
        <w:t>1. </w:t>
      </w:r>
      <w:r>
        <w:rPr/>
        <w:t>Applicants must submit an official application to the Graduate </w:t>
      </w:r>
      <w:r>
        <w:rPr>
          <w:spacing w:val="-3"/>
        </w:rPr>
        <w:t>School </w:t>
      </w:r>
      <w:r>
        <w:rPr/>
        <w:t>at the University of Maryland, College Park along </w:t>
      </w:r>
      <w:r>
        <w:rPr>
          <w:spacing w:val="-3"/>
        </w:rPr>
        <w:t>with </w:t>
      </w:r>
      <w:r>
        <w:rPr/>
        <w:t>official transcripts </w:t>
      </w:r>
      <w:r>
        <w:rPr>
          <w:spacing w:val="-3"/>
        </w:rPr>
        <w:t>of </w:t>
      </w:r>
      <w:r>
        <w:rPr/>
        <w:t>all previous collegiate work, three letters </w:t>
      </w:r>
      <w:r>
        <w:rPr>
          <w:spacing w:val="-3"/>
        </w:rPr>
        <w:t>of </w:t>
      </w:r>
      <w:r>
        <w:rPr/>
        <w:t>recommendation, and scores </w:t>
      </w:r>
      <w:r>
        <w:rPr>
          <w:spacing w:val="-3"/>
        </w:rPr>
        <w:t>on </w:t>
      </w:r>
      <w:r>
        <w:rPr/>
        <w:t>the general test (aptitude) of the Graduate </w:t>
      </w:r>
      <w:r>
        <w:rPr>
          <w:spacing w:val="-3"/>
        </w:rPr>
        <w:t>Record </w:t>
      </w:r>
      <w:r>
        <w:rPr/>
        <w:t>Examinations. It is particularly important that a student articulate clearly in the application a statement </w:t>
      </w:r>
      <w:r>
        <w:rPr>
          <w:spacing w:val="-3"/>
        </w:rPr>
        <w:t>of </w:t>
      </w:r>
      <w:r>
        <w:rPr/>
        <w:t>goals and objectives pertaining to their future work in the field. Because of the interdisciplinary and interdepartmental nature </w:t>
      </w:r>
      <w:r>
        <w:rPr>
          <w:spacing w:val="-3"/>
        </w:rPr>
        <w:t>of </w:t>
      </w:r>
      <w:r>
        <w:rPr/>
        <w:t>the program, only students for whom a specific advisor is identified in advance can </w:t>
      </w:r>
      <w:r>
        <w:rPr>
          <w:spacing w:val="-3"/>
        </w:rPr>
        <w:t>be </w:t>
      </w:r>
      <w:r>
        <w:rPr/>
        <w:t>admitted. </w:t>
      </w:r>
      <w:r>
        <w:rPr>
          <w:spacing w:val="-3"/>
        </w:rPr>
        <w:t>Prior </w:t>
      </w:r>
      <w:r>
        <w:rPr/>
        <w:t>communication </w:t>
      </w:r>
      <w:r>
        <w:rPr>
          <w:spacing w:val="-3"/>
        </w:rPr>
        <w:t>with </w:t>
      </w:r>
      <w:r>
        <w:rPr/>
        <w:t>individual members </w:t>
      </w:r>
      <w:r>
        <w:rPr>
          <w:spacing w:val="-3"/>
        </w:rPr>
        <w:t>of </w:t>
      </w:r>
      <w:r>
        <w:rPr/>
        <w:t>the faculty is</w:t>
      </w:r>
      <w:r>
        <w:rPr>
          <w:spacing w:val="-7"/>
        </w:rPr>
        <w:t> </w:t>
      </w:r>
      <w:r>
        <w:rPr/>
        <w:t>encouraged.</w:t>
      </w:r>
    </w:p>
    <w:p>
      <w:pPr>
        <w:pStyle w:val="Heading5"/>
        <w:spacing w:before="185"/>
      </w:pPr>
      <w:r>
        <w:rPr/>
        <w:t>Required Courses</w:t>
      </w:r>
    </w:p>
    <w:p>
      <w:pPr>
        <w:pStyle w:val="BodyText"/>
        <w:spacing w:line="249" w:lineRule="auto" w:before="190"/>
        <w:ind w:right="573"/>
      </w:pPr>
      <w:r>
        <w:rPr/>
        <w:t>Students plan their courses under the direction of their academic advisors and an advisory committee. Students must complete graduate course requirements as determined by the area of specialization through which they are enrolled. Students may take courses from departments of several University System of Maryland institutions approved by the MEES program committee. Students conducting research for a master’s or doctoral degree under the direction of a faculty member must enroll in one of the following:</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8"/>
        <w:gridCol w:w="2418"/>
        <w:gridCol w:w="1262"/>
      </w:tblGrid>
      <w:tr>
        <w:trPr>
          <w:trHeight w:val="471" w:hRule="atLeast"/>
        </w:trPr>
        <w:tc>
          <w:tcPr>
            <w:tcW w:w="1278" w:type="dxa"/>
          </w:tcPr>
          <w:p>
            <w:pPr>
              <w:pStyle w:val="TableParagraph"/>
              <w:spacing w:line="223" w:lineRule="exact" w:before="0"/>
              <w:ind w:left="200"/>
              <w:rPr>
                <w:sz w:val="20"/>
              </w:rPr>
            </w:pPr>
            <w:r>
              <w:rPr>
                <w:sz w:val="20"/>
              </w:rPr>
              <w:t>MEES 799</w:t>
            </w:r>
          </w:p>
        </w:tc>
        <w:tc>
          <w:tcPr>
            <w:tcW w:w="2418" w:type="dxa"/>
          </w:tcPr>
          <w:p>
            <w:pPr>
              <w:pStyle w:val="TableParagraph"/>
              <w:spacing w:line="223" w:lineRule="exact" w:before="0"/>
              <w:ind w:left="189"/>
              <w:rPr>
                <w:sz w:val="20"/>
              </w:rPr>
            </w:pPr>
            <w:r>
              <w:rPr>
                <w:sz w:val="20"/>
              </w:rPr>
              <w:t>MASTER?S THESIS</w:t>
            </w:r>
          </w:p>
          <w:p>
            <w:pPr>
              <w:pStyle w:val="TableParagraph"/>
              <w:spacing w:line="219" w:lineRule="exact" w:before="10"/>
              <w:ind w:left="189"/>
              <w:rPr>
                <w:sz w:val="20"/>
              </w:rPr>
            </w:pPr>
            <w:r>
              <w:rPr>
                <w:sz w:val="20"/>
              </w:rPr>
              <w:t>RESEARCH</w:t>
            </w:r>
          </w:p>
        </w:tc>
        <w:tc>
          <w:tcPr>
            <w:tcW w:w="1262" w:type="dxa"/>
          </w:tcPr>
          <w:p>
            <w:pPr>
              <w:pStyle w:val="TableParagraph"/>
              <w:spacing w:line="223" w:lineRule="exact" w:before="0"/>
              <w:ind w:left="487"/>
              <w:rPr>
                <w:sz w:val="20"/>
              </w:rPr>
            </w:pPr>
            <w:r>
              <w:rPr>
                <w:sz w:val="20"/>
              </w:rPr>
              <w:t>1 TO 6</w:t>
            </w:r>
          </w:p>
        </w:tc>
      </w:tr>
      <w:tr>
        <w:trPr>
          <w:trHeight w:val="711" w:hRule="atLeast"/>
        </w:trPr>
        <w:tc>
          <w:tcPr>
            <w:tcW w:w="1278" w:type="dxa"/>
          </w:tcPr>
          <w:p>
            <w:pPr>
              <w:pStyle w:val="TableParagraph"/>
              <w:ind w:left="200"/>
              <w:rPr>
                <w:sz w:val="20"/>
              </w:rPr>
            </w:pPr>
            <w:r>
              <w:rPr>
                <w:sz w:val="20"/>
              </w:rPr>
              <w:t>MEES 899</w:t>
            </w:r>
          </w:p>
        </w:tc>
        <w:tc>
          <w:tcPr>
            <w:tcW w:w="2418" w:type="dxa"/>
          </w:tcPr>
          <w:p>
            <w:pPr>
              <w:pStyle w:val="TableParagraph"/>
              <w:spacing w:line="249" w:lineRule="auto"/>
              <w:ind w:left="189" w:right="775"/>
              <w:rPr>
                <w:sz w:val="20"/>
              </w:rPr>
            </w:pPr>
            <w:r>
              <w:rPr>
                <w:sz w:val="20"/>
              </w:rPr>
              <w:t>DOCTORAL DISSERTATION</w:t>
            </w:r>
          </w:p>
          <w:p>
            <w:pPr>
              <w:pStyle w:val="TableParagraph"/>
              <w:spacing w:line="210" w:lineRule="exact" w:before="2"/>
              <w:ind w:left="189"/>
              <w:rPr>
                <w:sz w:val="20"/>
              </w:rPr>
            </w:pPr>
            <w:r>
              <w:rPr>
                <w:sz w:val="20"/>
              </w:rPr>
              <w:t>RESEARCH</w:t>
            </w:r>
          </w:p>
        </w:tc>
        <w:tc>
          <w:tcPr>
            <w:tcW w:w="1262" w:type="dxa"/>
          </w:tcPr>
          <w:p>
            <w:pPr>
              <w:pStyle w:val="TableParagraph"/>
              <w:ind w:right="199"/>
              <w:jc w:val="right"/>
              <w:rPr>
                <w:sz w:val="20"/>
              </w:rPr>
            </w:pPr>
            <w:r>
              <w:rPr>
                <w:sz w:val="20"/>
              </w:rPr>
              <w:t>1</w:t>
            </w:r>
            <w:r>
              <w:rPr>
                <w:spacing w:val="5"/>
                <w:sz w:val="20"/>
              </w:rPr>
              <w:t> </w:t>
            </w:r>
            <w:r>
              <w:rPr>
                <w:sz w:val="20"/>
              </w:rPr>
              <w:t>TO</w:t>
            </w:r>
          </w:p>
          <w:p>
            <w:pPr>
              <w:pStyle w:val="TableParagraph"/>
              <w:spacing w:before="10"/>
              <w:ind w:right="205"/>
              <w:jc w:val="right"/>
              <w:rPr>
                <w:sz w:val="20"/>
              </w:rPr>
            </w:pPr>
            <w:r>
              <w:rPr>
                <w:sz w:val="20"/>
              </w:rPr>
              <w:t>12</w:t>
            </w:r>
          </w:p>
        </w:tc>
      </w:tr>
    </w:tbl>
    <w:p>
      <w:pPr>
        <w:pStyle w:val="BodyText"/>
        <w:spacing w:before="7"/>
        <w:ind w:left="0"/>
        <w:rPr>
          <w:sz w:val="17"/>
        </w:rPr>
      </w:pPr>
    </w:p>
    <w:p>
      <w:pPr>
        <w:pStyle w:val="BodyText"/>
        <w:spacing w:line="249" w:lineRule="auto" w:before="0"/>
        <w:ind w:right="594"/>
      </w:pPr>
      <w:r>
        <w:rPr/>
        <w:t>Students enrolled in the MEES program at UMB are encouraged to avail themselves of the course offerings (GPLS) of the school’s Graduate Program in Life Sciences.</w:t>
      </w:r>
    </w:p>
    <w:p>
      <w:pPr>
        <w:spacing w:after="0" w:line="249" w:lineRule="auto"/>
        <w:sectPr>
          <w:pgSz w:w="12240" w:h="15840"/>
          <w:pgMar w:header="746" w:footer="0" w:top="1320" w:bottom="280" w:left="880" w:right="300"/>
          <w:cols w:num="2" w:equalWidth="0">
            <w:col w:w="4988" w:space="498"/>
            <w:col w:w="5574"/>
          </w:cols>
        </w:sectPr>
      </w:pPr>
    </w:p>
    <w:p>
      <w:pPr>
        <w:pStyle w:val="Heading3"/>
      </w:pPr>
      <w:bookmarkStart w:name="Medical and Research Technology" w:id="63"/>
      <w:bookmarkEnd w:id="63"/>
      <w:r>
        <w:rPr/>
      </w:r>
      <w:bookmarkStart w:name="_bookmark31" w:id="64"/>
      <w:bookmarkEnd w:id="64"/>
      <w:r>
        <w:rPr/>
      </w:r>
      <w:r>
        <w:rPr/>
        <w:t>Medical and Research Technology</w:t>
      </w:r>
    </w:p>
    <w:p>
      <w:pPr>
        <w:pStyle w:val="BodyText"/>
        <w:spacing w:before="190"/>
      </w:pPr>
      <w:hyperlink r:id="rId66">
        <w:r>
          <w:rPr>
            <w:color w:val="0000FF"/>
            <w:u w:val="single" w:color="0000FF"/>
          </w:rPr>
          <w:t>http://medschool.umaryland.edu/dmrt/</w:t>
        </w:r>
      </w:hyperlink>
    </w:p>
    <w:p>
      <w:pPr>
        <w:pStyle w:val="Heading6"/>
        <w:spacing w:before="192"/>
      </w:pPr>
      <w:r>
        <w:rPr/>
        <w:t>Degree Offered</w:t>
      </w:r>
    </w:p>
    <w:p>
      <w:pPr>
        <w:pStyle w:val="BodyText"/>
        <w:spacing w:before="188"/>
      </w:pPr>
      <w:r>
        <w:rPr/>
        <w:t>MS</w:t>
      </w:r>
    </w:p>
    <w:p>
      <w:pPr>
        <w:pStyle w:val="Heading6"/>
        <w:spacing w:before="192"/>
      </w:pPr>
      <w:r>
        <w:rPr/>
        <w:t>Program Description</w:t>
      </w:r>
    </w:p>
    <w:p>
      <w:pPr>
        <w:pStyle w:val="BodyText"/>
        <w:spacing w:line="249" w:lineRule="auto" w:before="188"/>
        <w:ind w:left="199" w:right="27"/>
      </w:pPr>
      <w:r>
        <w:rPr/>
        <w:t>The Medical and Research Technology Master of Science program provides medical technologists and laboratory scientists with advanced knowledge and skills to enhance their professional development. Graduates of the program hold a variety of jobs, including laboratory supervisors and managers, medical technology educators, academic and biotechnology researchers, technical representatives for industry, directors of marketing, clinical trial coordinators, and scientists in governmental regulatory agencies.</w:t>
      </w:r>
    </w:p>
    <w:p>
      <w:pPr>
        <w:pStyle w:val="BodyText"/>
        <w:spacing w:line="249" w:lineRule="auto" w:before="189"/>
        <w:ind w:left="199" w:right="54"/>
      </w:pPr>
      <w:r>
        <w:rPr/>
        <w:t>Designed for medical technologists and students with undergraduate life science degrees, the program offers two tracks: biomedical science (research track; thesis required) and laboratory management (management track; nonthesis option). In the biomedical science track, the student acquires the advanced training and skills needed for research in the biomedical field. The laboratory management track develops skills in laboratory administration. Students will find the program flexible and may tailor and arrange the program to fit individual interests and backgrounds.</w:t>
      </w:r>
    </w:p>
    <w:p>
      <w:pPr>
        <w:pStyle w:val="Heading6"/>
        <w:spacing w:before="185"/>
        <w:ind w:left="199"/>
      </w:pPr>
      <w:r>
        <w:rPr/>
        <w:t>Program Admissions</w:t>
      </w:r>
    </w:p>
    <w:p>
      <w:pPr>
        <w:pStyle w:val="BodyText"/>
        <w:spacing w:line="249" w:lineRule="auto" w:before="193"/>
        <w:ind w:left="199" w:right="88"/>
      </w:pPr>
      <w:r>
        <w:rPr/>
        <w:t>Beyond the Graduate School’s minimum admission requirements, applicants must have a bachelor’s degree in medical technology or a life science discipline related to laboratory sciences. Examples of related life science disciplines include biochemistry, microbiology, molecular biology, immunology, cell biology, and biotechnology.</w:t>
      </w:r>
    </w:p>
    <w:p>
      <w:pPr>
        <w:pStyle w:val="Heading6"/>
        <w:spacing w:before="182"/>
      </w:pPr>
      <w:r>
        <w:rPr/>
        <w:t>Degree Requirements</w:t>
      </w:r>
    </w:p>
    <w:p>
      <w:pPr>
        <w:pStyle w:val="BodyText"/>
        <w:spacing w:line="249" w:lineRule="auto" w:before="192"/>
        <w:ind w:right="54"/>
      </w:pPr>
      <w:r>
        <w:rPr/>
        <w:t>The master’s degree program requires a minimum </w:t>
      </w:r>
      <w:r>
        <w:rPr>
          <w:spacing w:val="-3"/>
        </w:rPr>
        <w:t>of </w:t>
      </w:r>
      <w:r>
        <w:rPr/>
        <w:t>24 credits and 6 master’s thesis research credits (30 credits total) </w:t>
      </w:r>
      <w:r>
        <w:rPr>
          <w:spacing w:val="-4"/>
        </w:rPr>
        <w:t>for </w:t>
      </w:r>
      <w:r>
        <w:rPr/>
        <w:t>the biomedical research track and a minimum </w:t>
      </w:r>
      <w:r>
        <w:rPr>
          <w:spacing w:val="-3"/>
        </w:rPr>
        <w:t>of </w:t>
      </w:r>
      <w:r>
        <w:rPr/>
        <w:t>36 credits </w:t>
      </w:r>
      <w:r>
        <w:rPr>
          <w:spacing w:val="-4"/>
        </w:rPr>
        <w:t>for </w:t>
      </w:r>
      <w:r>
        <w:rPr/>
        <w:t>the laboratory management track. </w:t>
      </w:r>
      <w:r>
        <w:rPr>
          <w:spacing w:val="-3"/>
        </w:rPr>
        <w:t>Courses </w:t>
      </w:r>
      <w:r>
        <w:rPr/>
        <w:t>are selected with the approval </w:t>
      </w:r>
      <w:r>
        <w:rPr>
          <w:spacing w:val="-3"/>
        </w:rPr>
        <w:t>of </w:t>
      </w:r>
      <w:r>
        <w:rPr/>
        <w:t>the program director and graduate faculty committee, </w:t>
      </w:r>
      <w:r>
        <w:rPr>
          <w:spacing w:val="-3"/>
        </w:rPr>
        <w:t>from </w:t>
      </w:r>
      <w:r>
        <w:rPr/>
        <w:t>the following</w:t>
      </w:r>
      <w:r>
        <w:rPr>
          <w:spacing w:val="-10"/>
        </w:rPr>
        <w:t> </w:t>
      </w:r>
      <w:r>
        <w:rPr/>
        <w:t>categories:</w:t>
      </w:r>
    </w:p>
    <w:p>
      <w:pPr>
        <w:pStyle w:val="Heading5"/>
        <w:spacing w:before="176"/>
      </w:pPr>
      <w:r>
        <w:rPr/>
        <w:pict>
          <v:shape style="position:absolute;margin-left:49.279999pt;margin-top:21.620306pt;width:247.55pt;height:47.2pt;mso-position-horizontal-relative:page;mso-position-vertical-relative:paragraph;z-index:1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2"/>
                    <w:gridCol w:w="2884"/>
                    <w:gridCol w:w="767"/>
                  </w:tblGrid>
                  <w:tr>
                    <w:trPr>
                      <w:trHeight w:val="231" w:hRule="atLeast"/>
                    </w:trPr>
                    <w:tc>
                      <w:tcPr>
                        <w:tcW w:w="1302" w:type="dxa"/>
                      </w:tcPr>
                      <w:p>
                        <w:pPr>
                          <w:pStyle w:val="TableParagraph"/>
                          <w:spacing w:line="212" w:lineRule="exact" w:before="0"/>
                          <w:ind w:left="182" w:right="163"/>
                          <w:jc w:val="center"/>
                          <w:rPr>
                            <w:sz w:val="20"/>
                          </w:rPr>
                        </w:pPr>
                        <w:r>
                          <w:rPr>
                            <w:sz w:val="20"/>
                          </w:rPr>
                          <w:t>MEDT 628</w:t>
                        </w:r>
                      </w:p>
                    </w:tc>
                    <w:tc>
                      <w:tcPr>
                        <w:tcW w:w="2884" w:type="dxa"/>
                      </w:tcPr>
                      <w:p>
                        <w:pPr>
                          <w:pStyle w:val="TableParagraph"/>
                          <w:spacing w:line="212" w:lineRule="exact" w:before="0"/>
                          <w:ind w:left="179"/>
                          <w:rPr>
                            <w:sz w:val="20"/>
                          </w:rPr>
                        </w:pPr>
                        <w:r>
                          <w:rPr>
                            <w:sz w:val="20"/>
                          </w:rPr>
                          <w:t>SEMINAR</w:t>
                        </w:r>
                      </w:p>
                    </w:tc>
                    <w:tc>
                      <w:tcPr>
                        <w:tcW w:w="767" w:type="dxa"/>
                      </w:tcPr>
                      <w:p>
                        <w:pPr>
                          <w:pStyle w:val="TableParagraph"/>
                          <w:spacing w:line="212" w:lineRule="exact" w:before="0"/>
                          <w:ind w:right="200"/>
                          <w:jc w:val="right"/>
                          <w:rPr>
                            <w:sz w:val="20"/>
                          </w:rPr>
                        </w:pPr>
                        <w:r>
                          <w:rPr>
                            <w:w w:val="100"/>
                            <w:sz w:val="20"/>
                          </w:rPr>
                          <w:t>1</w:t>
                        </w:r>
                      </w:p>
                    </w:tc>
                  </w:tr>
                  <w:tr>
                    <w:trPr>
                      <w:trHeight w:val="480" w:hRule="atLeast"/>
                    </w:trPr>
                    <w:tc>
                      <w:tcPr>
                        <w:tcW w:w="1302" w:type="dxa"/>
                      </w:tcPr>
                      <w:p>
                        <w:pPr>
                          <w:pStyle w:val="TableParagraph"/>
                          <w:ind w:left="182" w:right="163"/>
                          <w:jc w:val="center"/>
                          <w:rPr>
                            <w:sz w:val="20"/>
                          </w:rPr>
                        </w:pPr>
                        <w:r>
                          <w:rPr>
                            <w:sz w:val="20"/>
                          </w:rPr>
                          <w:t>MEDT 630</w:t>
                        </w:r>
                      </w:p>
                    </w:tc>
                    <w:tc>
                      <w:tcPr>
                        <w:tcW w:w="2884" w:type="dxa"/>
                      </w:tcPr>
                      <w:p>
                        <w:pPr>
                          <w:pStyle w:val="TableParagraph"/>
                          <w:ind w:left="179"/>
                          <w:rPr>
                            <w:sz w:val="20"/>
                          </w:rPr>
                        </w:pPr>
                        <w:r>
                          <w:rPr>
                            <w:sz w:val="20"/>
                          </w:rPr>
                          <w:t>SCIENTIFIC AND</w:t>
                        </w:r>
                      </w:p>
                      <w:p>
                        <w:pPr>
                          <w:pStyle w:val="TableParagraph"/>
                          <w:spacing w:line="219" w:lineRule="exact" w:before="10"/>
                          <w:ind w:left="179"/>
                          <w:rPr>
                            <w:sz w:val="20"/>
                          </w:rPr>
                        </w:pPr>
                        <w:r>
                          <w:rPr>
                            <w:sz w:val="20"/>
                          </w:rPr>
                          <w:t>TECHNICAL WRITING</w:t>
                        </w:r>
                      </w:p>
                    </w:tc>
                    <w:tc>
                      <w:tcPr>
                        <w:tcW w:w="767" w:type="dxa"/>
                      </w:tcPr>
                      <w:p>
                        <w:pPr>
                          <w:pStyle w:val="TableParagraph"/>
                          <w:ind w:right="200"/>
                          <w:jc w:val="right"/>
                          <w:rPr>
                            <w:sz w:val="20"/>
                          </w:rPr>
                        </w:pPr>
                        <w:r>
                          <w:rPr>
                            <w:w w:val="100"/>
                            <w:sz w:val="20"/>
                          </w:rPr>
                          <w:t>3</w:t>
                        </w:r>
                      </w:p>
                    </w:tc>
                  </w:tr>
                  <w:tr>
                    <w:trPr>
                      <w:trHeight w:val="231" w:hRule="atLeast"/>
                    </w:trPr>
                    <w:tc>
                      <w:tcPr>
                        <w:tcW w:w="1302" w:type="dxa"/>
                      </w:tcPr>
                      <w:p>
                        <w:pPr>
                          <w:pStyle w:val="TableParagraph"/>
                          <w:spacing w:line="210" w:lineRule="exact"/>
                          <w:ind w:left="182" w:right="163"/>
                          <w:jc w:val="center"/>
                          <w:rPr>
                            <w:sz w:val="20"/>
                          </w:rPr>
                        </w:pPr>
                        <w:r>
                          <w:rPr>
                            <w:sz w:val="20"/>
                          </w:rPr>
                          <w:t>MEDT 635</w:t>
                        </w:r>
                      </w:p>
                    </w:tc>
                    <w:tc>
                      <w:tcPr>
                        <w:tcW w:w="2884" w:type="dxa"/>
                      </w:tcPr>
                      <w:p>
                        <w:pPr>
                          <w:pStyle w:val="TableParagraph"/>
                          <w:spacing w:line="210" w:lineRule="exact"/>
                          <w:ind w:left="179"/>
                          <w:rPr>
                            <w:sz w:val="20"/>
                          </w:rPr>
                        </w:pPr>
                        <w:r>
                          <w:rPr>
                            <w:sz w:val="20"/>
                          </w:rPr>
                          <w:t>TEACHING PRACTICUM</w:t>
                        </w:r>
                      </w:p>
                    </w:tc>
                    <w:tc>
                      <w:tcPr>
                        <w:tcW w:w="767" w:type="dxa"/>
                      </w:tcPr>
                      <w:p>
                        <w:pPr>
                          <w:pStyle w:val="TableParagraph"/>
                          <w:spacing w:line="210" w:lineRule="exact"/>
                          <w:ind w:right="200"/>
                          <w:jc w:val="right"/>
                          <w:rPr>
                            <w:sz w:val="20"/>
                          </w:rPr>
                        </w:pPr>
                        <w:r>
                          <w:rPr>
                            <w:w w:val="100"/>
                            <w:sz w:val="20"/>
                          </w:rPr>
                          <w:t>2</w:t>
                        </w:r>
                      </w:p>
                    </w:tc>
                  </w:tr>
                </w:tbl>
                <w:p>
                  <w:pPr>
                    <w:pStyle w:val="BodyText"/>
                    <w:spacing w:before="0"/>
                    <w:ind w:left="0"/>
                  </w:pPr>
                </w:p>
              </w:txbxContent>
            </v:textbox>
            <w10:wrap type="none"/>
          </v:shape>
        </w:pict>
      </w:r>
      <w:r>
        <w:rPr/>
        <w:t>Required Core Courses</w:t>
      </w:r>
    </w:p>
    <w:p>
      <w:pPr>
        <w:pStyle w:val="BodyText"/>
        <w:spacing w:before="3"/>
        <w:ind w:left="0"/>
        <w:rPr>
          <w:sz w:val="9"/>
        </w:rPr>
      </w:pPr>
      <w:r>
        <w:rPr/>
        <w:br w:type="column"/>
      </w:r>
      <w:r>
        <w:rPr>
          <w:sz w:val="9"/>
        </w:rPr>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9"/>
        <w:gridCol w:w="2713"/>
        <w:gridCol w:w="939"/>
      </w:tblGrid>
      <w:tr>
        <w:trPr>
          <w:trHeight w:val="231" w:hRule="atLeast"/>
        </w:trPr>
        <w:tc>
          <w:tcPr>
            <w:tcW w:w="1299" w:type="dxa"/>
          </w:tcPr>
          <w:p>
            <w:pPr>
              <w:pStyle w:val="TableParagraph"/>
              <w:spacing w:before="0"/>
              <w:rPr>
                <w:sz w:val="16"/>
              </w:rPr>
            </w:pPr>
          </w:p>
        </w:tc>
        <w:tc>
          <w:tcPr>
            <w:tcW w:w="2713" w:type="dxa"/>
          </w:tcPr>
          <w:p>
            <w:pPr>
              <w:pStyle w:val="TableParagraph"/>
              <w:spacing w:line="212" w:lineRule="exact" w:before="0"/>
              <w:ind w:left="177"/>
              <w:rPr>
                <w:sz w:val="20"/>
              </w:rPr>
            </w:pPr>
            <w:r>
              <w:rPr>
                <w:sz w:val="20"/>
              </w:rPr>
              <w:t>MINOR</w:t>
            </w:r>
          </w:p>
        </w:tc>
        <w:tc>
          <w:tcPr>
            <w:tcW w:w="939" w:type="dxa"/>
          </w:tcPr>
          <w:p>
            <w:pPr>
              <w:pStyle w:val="TableParagraph"/>
              <w:spacing w:before="0"/>
              <w:rPr>
                <w:sz w:val="16"/>
              </w:rPr>
            </w:pPr>
          </w:p>
        </w:tc>
      </w:tr>
      <w:tr>
        <w:trPr>
          <w:trHeight w:val="720" w:hRule="atLeast"/>
        </w:trPr>
        <w:tc>
          <w:tcPr>
            <w:tcW w:w="1299" w:type="dxa"/>
          </w:tcPr>
          <w:p>
            <w:pPr>
              <w:pStyle w:val="TableParagraph"/>
              <w:ind w:left="200"/>
              <w:rPr>
                <w:sz w:val="20"/>
              </w:rPr>
            </w:pPr>
            <w:r>
              <w:rPr>
                <w:sz w:val="20"/>
              </w:rPr>
              <w:t>MEDT 687</w:t>
            </w:r>
          </w:p>
        </w:tc>
        <w:tc>
          <w:tcPr>
            <w:tcW w:w="2713" w:type="dxa"/>
          </w:tcPr>
          <w:p>
            <w:pPr>
              <w:pStyle w:val="TableParagraph"/>
              <w:spacing w:line="249" w:lineRule="auto"/>
              <w:ind w:left="177" w:right="149"/>
              <w:rPr>
                <w:sz w:val="20"/>
              </w:rPr>
            </w:pPr>
            <w:r>
              <w:rPr>
                <w:sz w:val="20"/>
              </w:rPr>
              <w:t>QUALITY CONTROL AND REGULATIONS IN</w:t>
            </w:r>
          </w:p>
          <w:p>
            <w:pPr>
              <w:pStyle w:val="TableParagraph"/>
              <w:spacing w:line="219" w:lineRule="exact" w:before="2"/>
              <w:ind w:left="177"/>
              <w:rPr>
                <w:sz w:val="20"/>
              </w:rPr>
            </w:pPr>
            <w:r>
              <w:rPr>
                <w:sz w:val="20"/>
              </w:rPr>
              <w:t>LABORATORY SCIENCES</w:t>
            </w:r>
          </w:p>
        </w:tc>
        <w:tc>
          <w:tcPr>
            <w:tcW w:w="939" w:type="dxa"/>
          </w:tcPr>
          <w:p>
            <w:pPr>
              <w:pStyle w:val="TableParagraph"/>
              <w:ind w:right="203"/>
              <w:jc w:val="right"/>
              <w:rPr>
                <w:sz w:val="20"/>
              </w:rPr>
            </w:pPr>
            <w:r>
              <w:rPr>
                <w:w w:val="100"/>
                <w:sz w:val="20"/>
              </w:rPr>
              <w:t>2</w:t>
            </w:r>
          </w:p>
        </w:tc>
      </w:tr>
      <w:tr>
        <w:trPr>
          <w:trHeight w:val="600" w:hRule="atLeast"/>
        </w:trPr>
        <w:tc>
          <w:tcPr>
            <w:tcW w:w="1299" w:type="dxa"/>
          </w:tcPr>
          <w:p>
            <w:pPr>
              <w:pStyle w:val="TableParagraph"/>
              <w:ind w:left="200"/>
              <w:rPr>
                <w:sz w:val="20"/>
              </w:rPr>
            </w:pPr>
            <w:r>
              <w:rPr>
                <w:sz w:val="20"/>
              </w:rPr>
              <w:t>CIPP 909</w:t>
            </w:r>
          </w:p>
        </w:tc>
        <w:tc>
          <w:tcPr>
            <w:tcW w:w="2713" w:type="dxa"/>
          </w:tcPr>
          <w:p>
            <w:pPr>
              <w:pStyle w:val="TableParagraph"/>
              <w:spacing w:line="249" w:lineRule="auto"/>
              <w:ind w:left="177"/>
              <w:rPr>
                <w:sz w:val="20"/>
              </w:rPr>
            </w:pPr>
            <w:r>
              <w:rPr>
                <w:sz w:val="20"/>
              </w:rPr>
              <w:t>RESPONSIBLE CONDUCT OF RESEARCH</w:t>
            </w:r>
          </w:p>
        </w:tc>
        <w:tc>
          <w:tcPr>
            <w:tcW w:w="939" w:type="dxa"/>
          </w:tcPr>
          <w:p>
            <w:pPr>
              <w:pStyle w:val="TableParagraph"/>
              <w:ind w:right="198"/>
              <w:jc w:val="right"/>
              <w:rPr>
                <w:sz w:val="20"/>
              </w:rPr>
            </w:pPr>
            <w:r>
              <w:rPr>
                <w:sz w:val="20"/>
              </w:rPr>
              <w:t>1 TO 2</w:t>
            </w:r>
          </w:p>
        </w:tc>
      </w:tr>
      <w:tr>
        <w:trPr>
          <w:trHeight w:val="360" w:hRule="atLeast"/>
        </w:trPr>
        <w:tc>
          <w:tcPr>
            <w:tcW w:w="1299" w:type="dxa"/>
          </w:tcPr>
          <w:p>
            <w:pPr>
              <w:pStyle w:val="TableParagraph"/>
              <w:spacing w:line="219" w:lineRule="exact" w:before="121"/>
              <w:ind w:left="200"/>
              <w:rPr>
                <w:sz w:val="20"/>
              </w:rPr>
            </w:pPr>
            <w:r>
              <w:rPr>
                <w:sz w:val="20"/>
              </w:rPr>
              <w:t>DBMS 638</w:t>
            </w:r>
          </w:p>
        </w:tc>
        <w:tc>
          <w:tcPr>
            <w:tcW w:w="2713" w:type="dxa"/>
          </w:tcPr>
          <w:p>
            <w:pPr>
              <w:pStyle w:val="TableParagraph"/>
              <w:spacing w:line="219" w:lineRule="exact" w:before="121"/>
              <w:ind w:left="177"/>
              <w:rPr>
                <w:sz w:val="20"/>
              </w:rPr>
            </w:pPr>
            <w:r>
              <w:rPr>
                <w:sz w:val="20"/>
              </w:rPr>
              <w:t>BIOSTATISTICS</w:t>
            </w:r>
          </w:p>
        </w:tc>
        <w:tc>
          <w:tcPr>
            <w:tcW w:w="939" w:type="dxa"/>
          </w:tcPr>
          <w:p>
            <w:pPr>
              <w:pStyle w:val="TableParagraph"/>
              <w:spacing w:line="219" w:lineRule="exact" w:before="121"/>
              <w:ind w:right="198"/>
              <w:jc w:val="right"/>
              <w:rPr>
                <w:sz w:val="20"/>
              </w:rPr>
            </w:pPr>
            <w:r>
              <w:rPr>
                <w:sz w:val="20"/>
              </w:rPr>
              <w:t>1 TO 3</w:t>
            </w:r>
          </w:p>
        </w:tc>
      </w:tr>
      <w:tr>
        <w:trPr>
          <w:trHeight w:val="240" w:hRule="atLeast"/>
        </w:trPr>
        <w:tc>
          <w:tcPr>
            <w:tcW w:w="1299" w:type="dxa"/>
          </w:tcPr>
          <w:p>
            <w:pPr>
              <w:pStyle w:val="TableParagraph"/>
              <w:spacing w:before="0"/>
              <w:rPr>
                <w:sz w:val="16"/>
              </w:rPr>
            </w:pPr>
          </w:p>
        </w:tc>
        <w:tc>
          <w:tcPr>
            <w:tcW w:w="2713" w:type="dxa"/>
          </w:tcPr>
          <w:p>
            <w:pPr>
              <w:pStyle w:val="TableParagraph"/>
              <w:spacing w:line="219" w:lineRule="exact"/>
              <w:ind w:left="177"/>
              <w:rPr>
                <w:sz w:val="20"/>
              </w:rPr>
            </w:pPr>
            <w:r>
              <w:rPr>
                <w:sz w:val="20"/>
              </w:rPr>
              <w:t>Or</w:t>
            </w:r>
          </w:p>
        </w:tc>
        <w:tc>
          <w:tcPr>
            <w:tcW w:w="939" w:type="dxa"/>
          </w:tcPr>
          <w:p>
            <w:pPr>
              <w:pStyle w:val="TableParagraph"/>
              <w:spacing w:before="0"/>
              <w:rPr>
                <w:sz w:val="16"/>
              </w:rPr>
            </w:pPr>
          </w:p>
        </w:tc>
      </w:tr>
      <w:tr>
        <w:trPr>
          <w:trHeight w:val="480" w:hRule="atLeast"/>
        </w:trPr>
        <w:tc>
          <w:tcPr>
            <w:tcW w:w="1299" w:type="dxa"/>
          </w:tcPr>
          <w:p>
            <w:pPr>
              <w:pStyle w:val="TableParagraph"/>
              <w:ind w:left="200"/>
              <w:rPr>
                <w:sz w:val="20"/>
              </w:rPr>
            </w:pPr>
            <w:r>
              <w:rPr>
                <w:sz w:val="20"/>
              </w:rPr>
              <w:t>PREV 620</w:t>
            </w:r>
          </w:p>
        </w:tc>
        <w:tc>
          <w:tcPr>
            <w:tcW w:w="2713" w:type="dxa"/>
          </w:tcPr>
          <w:p>
            <w:pPr>
              <w:pStyle w:val="TableParagraph"/>
              <w:ind w:left="177"/>
              <w:rPr>
                <w:sz w:val="20"/>
              </w:rPr>
            </w:pPr>
            <w:r>
              <w:rPr>
                <w:sz w:val="20"/>
              </w:rPr>
              <w:t>PRINCIPLES</w:t>
            </w:r>
            <w:r>
              <w:rPr>
                <w:spacing w:val="-8"/>
                <w:sz w:val="20"/>
              </w:rPr>
              <w:t> </w:t>
            </w:r>
            <w:r>
              <w:rPr>
                <w:sz w:val="20"/>
              </w:rPr>
              <w:t>OF</w:t>
            </w:r>
          </w:p>
          <w:p>
            <w:pPr>
              <w:pStyle w:val="TableParagraph"/>
              <w:spacing w:line="219" w:lineRule="exact" w:before="10"/>
              <w:ind w:left="177"/>
              <w:rPr>
                <w:sz w:val="20"/>
              </w:rPr>
            </w:pPr>
            <w:r>
              <w:rPr>
                <w:sz w:val="20"/>
              </w:rPr>
              <w:t>BIOSTATISTICS</w:t>
            </w:r>
          </w:p>
        </w:tc>
        <w:tc>
          <w:tcPr>
            <w:tcW w:w="939" w:type="dxa"/>
          </w:tcPr>
          <w:p>
            <w:pPr>
              <w:pStyle w:val="TableParagraph"/>
              <w:ind w:right="203"/>
              <w:jc w:val="right"/>
              <w:rPr>
                <w:sz w:val="20"/>
              </w:rPr>
            </w:pPr>
            <w:r>
              <w:rPr>
                <w:w w:val="100"/>
                <w:sz w:val="20"/>
              </w:rPr>
              <w:t>3</w:t>
            </w:r>
          </w:p>
        </w:tc>
      </w:tr>
      <w:tr>
        <w:trPr>
          <w:trHeight w:val="240" w:hRule="atLeast"/>
        </w:trPr>
        <w:tc>
          <w:tcPr>
            <w:tcW w:w="1299" w:type="dxa"/>
          </w:tcPr>
          <w:p>
            <w:pPr>
              <w:pStyle w:val="TableParagraph"/>
              <w:spacing w:before="0"/>
              <w:rPr>
                <w:sz w:val="16"/>
              </w:rPr>
            </w:pPr>
          </w:p>
        </w:tc>
        <w:tc>
          <w:tcPr>
            <w:tcW w:w="2713" w:type="dxa"/>
          </w:tcPr>
          <w:p>
            <w:pPr>
              <w:pStyle w:val="TableParagraph"/>
              <w:spacing w:line="219" w:lineRule="exact"/>
              <w:ind w:left="177"/>
              <w:rPr>
                <w:sz w:val="20"/>
              </w:rPr>
            </w:pPr>
            <w:r>
              <w:rPr>
                <w:sz w:val="20"/>
              </w:rPr>
              <w:t>Or</w:t>
            </w:r>
          </w:p>
        </w:tc>
        <w:tc>
          <w:tcPr>
            <w:tcW w:w="939" w:type="dxa"/>
          </w:tcPr>
          <w:p>
            <w:pPr>
              <w:pStyle w:val="TableParagraph"/>
              <w:spacing w:before="0"/>
              <w:rPr>
                <w:sz w:val="16"/>
              </w:rPr>
            </w:pPr>
          </w:p>
        </w:tc>
      </w:tr>
      <w:tr>
        <w:trPr>
          <w:trHeight w:val="231" w:hRule="atLeast"/>
        </w:trPr>
        <w:tc>
          <w:tcPr>
            <w:tcW w:w="1299" w:type="dxa"/>
          </w:tcPr>
          <w:p>
            <w:pPr>
              <w:pStyle w:val="TableParagraph"/>
              <w:spacing w:line="210" w:lineRule="exact"/>
              <w:ind w:left="200"/>
              <w:rPr>
                <w:sz w:val="20"/>
              </w:rPr>
            </w:pPr>
            <w:r>
              <w:rPr>
                <w:sz w:val="20"/>
              </w:rPr>
              <w:t>POSI 604</w:t>
            </w:r>
          </w:p>
        </w:tc>
        <w:tc>
          <w:tcPr>
            <w:tcW w:w="2713" w:type="dxa"/>
          </w:tcPr>
          <w:p>
            <w:pPr>
              <w:pStyle w:val="TableParagraph"/>
              <w:spacing w:line="210" w:lineRule="exact"/>
              <w:ind w:left="177"/>
              <w:rPr>
                <w:sz w:val="20"/>
              </w:rPr>
            </w:pPr>
            <w:r>
              <w:rPr>
                <w:sz w:val="20"/>
              </w:rPr>
              <w:t>STATISTICAL ANALYSIS</w:t>
            </w:r>
          </w:p>
        </w:tc>
        <w:tc>
          <w:tcPr>
            <w:tcW w:w="939" w:type="dxa"/>
          </w:tcPr>
          <w:p>
            <w:pPr>
              <w:pStyle w:val="TableParagraph"/>
              <w:spacing w:before="0"/>
              <w:rPr>
                <w:sz w:val="16"/>
              </w:rPr>
            </w:pPr>
          </w:p>
        </w:tc>
      </w:tr>
    </w:tbl>
    <w:p>
      <w:pPr>
        <w:spacing w:before="67"/>
        <w:ind w:left="199" w:right="0" w:firstLine="0"/>
        <w:jc w:val="left"/>
        <w:rPr>
          <w:i/>
          <w:sz w:val="20"/>
        </w:rPr>
      </w:pPr>
      <w:r>
        <w:rPr>
          <w:i/>
          <w:sz w:val="20"/>
        </w:rPr>
        <w:t>MEDT 628: three semesters</w:t>
      </w:r>
    </w:p>
    <w:p>
      <w:pPr>
        <w:spacing w:line="249" w:lineRule="auto" w:before="72"/>
        <w:ind w:left="199" w:right="1049" w:firstLine="0"/>
        <w:jc w:val="left"/>
        <w:rPr>
          <w:i/>
          <w:sz w:val="20"/>
        </w:rPr>
      </w:pPr>
      <w:r>
        <w:rPr>
          <w:i/>
          <w:sz w:val="20"/>
        </w:rPr>
        <w:t>POSI 604: University of Maryland, Baltimore County </w:t>
      </w:r>
      <w:r>
        <w:rPr>
          <w:i/>
          <w:sz w:val="20"/>
        </w:rPr>
        <w:t>courses</w:t>
      </w:r>
    </w:p>
    <w:p>
      <w:pPr>
        <w:pStyle w:val="Heading5"/>
        <w:ind w:left="199"/>
      </w:pPr>
      <w:r>
        <w:rPr/>
        <w:t>Required Courses (Biomedical Research Track)</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6"/>
        <w:gridCol w:w="2414"/>
        <w:gridCol w:w="1225"/>
      </w:tblGrid>
      <w:tr>
        <w:trPr>
          <w:trHeight w:val="471" w:hRule="atLeast"/>
        </w:trPr>
        <w:tc>
          <w:tcPr>
            <w:tcW w:w="1316" w:type="dxa"/>
          </w:tcPr>
          <w:p>
            <w:pPr>
              <w:pStyle w:val="TableParagraph"/>
              <w:spacing w:line="223" w:lineRule="exact" w:before="0"/>
              <w:ind w:left="200"/>
              <w:rPr>
                <w:sz w:val="20"/>
              </w:rPr>
            </w:pPr>
            <w:r>
              <w:rPr>
                <w:sz w:val="20"/>
              </w:rPr>
              <w:t>CHEM 437</w:t>
            </w:r>
          </w:p>
        </w:tc>
        <w:tc>
          <w:tcPr>
            <w:tcW w:w="2414" w:type="dxa"/>
          </w:tcPr>
          <w:p>
            <w:pPr>
              <w:pStyle w:val="TableParagraph"/>
              <w:spacing w:line="223" w:lineRule="exact" w:before="0"/>
              <w:ind w:left="131"/>
              <w:rPr>
                <w:sz w:val="20"/>
              </w:rPr>
            </w:pPr>
            <w:r>
              <w:rPr>
                <w:sz w:val="20"/>
              </w:rPr>
              <w:t>COMPREHENSIVE</w:t>
            </w:r>
          </w:p>
          <w:p>
            <w:pPr>
              <w:pStyle w:val="TableParagraph"/>
              <w:spacing w:line="219" w:lineRule="exact" w:before="10"/>
              <w:ind w:left="131"/>
              <w:rPr>
                <w:sz w:val="20"/>
              </w:rPr>
            </w:pPr>
            <w:r>
              <w:rPr>
                <w:sz w:val="20"/>
              </w:rPr>
              <w:t>BIOCHEMISTRY I</w:t>
            </w:r>
          </w:p>
        </w:tc>
        <w:tc>
          <w:tcPr>
            <w:tcW w:w="1225" w:type="dxa"/>
          </w:tcPr>
          <w:p>
            <w:pPr>
              <w:pStyle w:val="TableParagraph"/>
              <w:spacing w:line="223" w:lineRule="exact" w:before="0"/>
              <w:ind w:right="202"/>
              <w:jc w:val="right"/>
              <w:rPr>
                <w:sz w:val="20"/>
              </w:rPr>
            </w:pPr>
            <w:r>
              <w:rPr>
                <w:w w:val="100"/>
                <w:sz w:val="20"/>
              </w:rPr>
              <w:t>4</w:t>
            </w:r>
          </w:p>
        </w:tc>
      </w:tr>
      <w:tr>
        <w:trPr>
          <w:trHeight w:val="240" w:hRule="atLeast"/>
        </w:trPr>
        <w:tc>
          <w:tcPr>
            <w:tcW w:w="1316" w:type="dxa"/>
          </w:tcPr>
          <w:p>
            <w:pPr>
              <w:pStyle w:val="TableParagraph"/>
              <w:spacing w:line="219" w:lineRule="exact"/>
              <w:ind w:left="200"/>
              <w:rPr>
                <w:sz w:val="20"/>
              </w:rPr>
            </w:pPr>
            <w:r>
              <w:rPr>
                <w:sz w:val="20"/>
              </w:rPr>
              <w:t>MEDT 631</w:t>
            </w:r>
          </w:p>
        </w:tc>
        <w:tc>
          <w:tcPr>
            <w:tcW w:w="2414" w:type="dxa"/>
          </w:tcPr>
          <w:p>
            <w:pPr>
              <w:pStyle w:val="TableParagraph"/>
              <w:spacing w:line="219" w:lineRule="exact"/>
              <w:ind w:left="131"/>
              <w:rPr>
                <w:sz w:val="20"/>
              </w:rPr>
            </w:pPr>
            <w:r>
              <w:rPr>
                <w:sz w:val="20"/>
              </w:rPr>
              <w:t>RESEARCH DESIGN</w:t>
            </w:r>
          </w:p>
        </w:tc>
        <w:tc>
          <w:tcPr>
            <w:tcW w:w="1225" w:type="dxa"/>
          </w:tcPr>
          <w:p>
            <w:pPr>
              <w:pStyle w:val="TableParagraph"/>
              <w:spacing w:line="219" w:lineRule="exact"/>
              <w:ind w:right="202"/>
              <w:jc w:val="right"/>
              <w:rPr>
                <w:sz w:val="20"/>
              </w:rPr>
            </w:pPr>
            <w:r>
              <w:rPr>
                <w:w w:val="100"/>
                <w:sz w:val="20"/>
              </w:rPr>
              <w:t>2</w:t>
            </w:r>
          </w:p>
        </w:tc>
      </w:tr>
      <w:tr>
        <w:trPr>
          <w:trHeight w:val="471" w:hRule="atLeast"/>
        </w:trPr>
        <w:tc>
          <w:tcPr>
            <w:tcW w:w="1316" w:type="dxa"/>
          </w:tcPr>
          <w:p>
            <w:pPr>
              <w:pStyle w:val="TableParagraph"/>
              <w:ind w:left="200"/>
              <w:rPr>
                <w:sz w:val="20"/>
              </w:rPr>
            </w:pPr>
            <w:r>
              <w:rPr>
                <w:sz w:val="20"/>
              </w:rPr>
              <w:t>MEDT 799</w:t>
            </w:r>
          </w:p>
        </w:tc>
        <w:tc>
          <w:tcPr>
            <w:tcW w:w="2414" w:type="dxa"/>
          </w:tcPr>
          <w:p>
            <w:pPr>
              <w:pStyle w:val="TableParagraph"/>
              <w:ind w:left="131"/>
              <w:rPr>
                <w:sz w:val="20"/>
              </w:rPr>
            </w:pPr>
            <w:r>
              <w:rPr>
                <w:sz w:val="20"/>
              </w:rPr>
              <w:t>MASTER'S THESIS</w:t>
            </w:r>
          </w:p>
          <w:p>
            <w:pPr>
              <w:pStyle w:val="TableParagraph"/>
              <w:spacing w:line="210" w:lineRule="exact" w:before="10"/>
              <w:ind w:left="131"/>
              <w:rPr>
                <w:sz w:val="20"/>
              </w:rPr>
            </w:pPr>
            <w:r>
              <w:rPr>
                <w:sz w:val="20"/>
              </w:rPr>
              <w:t>RESEARCH</w:t>
            </w:r>
          </w:p>
        </w:tc>
        <w:tc>
          <w:tcPr>
            <w:tcW w:w="1225" w:type="dxa"/>
          </w:tcPr>
          <w:p>
            <w:pPr>
              <w:pStyle w:val="TableParagraph"/>
              <w:ind w:right="197"/>
              <w:jc w:val="right"/>
              <w:rPr>
                <w:sz w:val="20"/>
              </w:rPr>
            </w:pPr>
            <w:r>
              <w:rPr>
                <w:sz w:val="20"/>
              </w:rPr>
              <w:t>1 TO 6</w:t>
            </w:r>
          </w:p>
        </w:tc>
      </w:tr>
    </w:tbl>
    <w:p>
      <w:pPr>
        <w:spacing w:line="249" w:lineRule="auto" w:before="87"/>
        <w:ind w:left="199" w:right="915" w:firstLine="0"/>
        <w:jc w:val="left"/>
        <w:rPr>
          <w:i/>
          <w:sz w:val="20"/>
        </w:rPr>
      </w:pPr>
      <w:r>
        <w:rPr>
          <w:i/>
          <w:sz w:val="20"/>
        </w:rPr>
        <w:t>CHEM 437: University of Maryland, Baltimore County </w:t>
      </w:r>
      <w:r>
        <w:rPr>
          <w:i/>
          <w:sz w:val="20"/>
        </w:rPr>
        <w:t>courses</w:t>
      </w:r>
    </w:p>
    <w:p>
      <w:pPr>
        <w:pStyle w:val="Heading5"/>
        <w:ind w:left="199"/>
      </w:pPr>
      <w:r>
        <w:rPr/>
        <w:t>Suggested Elective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6"/>
        <w:gridCol w:w="2723"/>
        <w:gridCol w:w="916"/>
      </w:tblGrid>
      <w:tr>
        <w:trPr>
          <w:trHeight w:val="471" w:hRule="atLeast"/>
        </w:trPr>
        <w:tc>
          <w:tcPr>
            <w:tcW w:w="1316" w:type="dxa"/>
          </w:tcPr>
          <w:p>
            <w:pPr>
              <w:pStyle w:val="TableParagraph"/>
              <w:spacing w:line="223" w:lineRule="exact" w:before="0"/>
              <w:ind w:left="200"/>
              <w:rPr>
                <w:sz w:val="20"/>
              </w:rPr>
            </w:pPr>
            <w:r>
              <w:rPr>
                <w:sz w:val="20"/>
              </w:rPr>
              <w:t>MEDT 634</w:t>
            </w:r>
          </w:p>
        </w:tc>
        <w:tc>
          <w:tcPr>
            <w:tcW w:w="2723" w:type="dxa"/>
          </w:tcPr>
          <w:p>
            <w:pPr>
              <w:pStyle w:val="TableParagraph"/>
              <w:spacing w:line="223" w:lineRule="exact" w:before="0"/>
              <w:ind w:left="131"/>
              <w:rPr>
                <w:sz w:val="20"/>
              </w:rPr>
            </w:pPr>
            <w:r>
              <w:rPr>
                <w:sz w:val="20"/>
              </w:rPr>
              <w:t>TEACHING PRACTICUM</w:t>
            </w:r>
          </w:p>
          <w:p>
            <w:pPr>
              <w:pStyle w:val="TableParagraph"/>
              <w:spacing w:line="219" w:lineRule="exact" w:before="10"/>
              <w:ind w:left="131"/>
              <w:rPr>
                <w:sz w:val="20"/>
              </w:rPr>
            </w:pPr>
            <w:r>
              <w:rPr>
                <w:sz w:val="20"/>
              </w:rPr>
              <w:t>MAJOR</w:t>
            </w:r>
          </w:p>
        </w:tc>
        <w:tc>
          <w:tcPr>
            <w:tcW w:w="916" w:type="dxa"/>
          </w:tcPr>
          <w:p>
            <w:pPr>
              <w:pStyle w:val="TableParagraph"/>
              <w:spacing w:line="223" w:lineRule="exact" w:before="0"/>
              <w:ind w:right="202"/>
              <w:jc w:val="right"/>
              <w:rPr>
                <w:sz w:val="20"/>
              </w:rPr>
            </w:pPr>
            <w:r>
              <w:rPr>
                <w:w w:val="100"/>
                <w:sz w:val="20"/>
              </w:rPr>
              <w:t>4</w:t>
            </w:r>
          </w:p>
        </w:tc>
      </w:tr>
      <w:tr>
        <w:trPr>
          <w:trHeight w:val="240" w:hRule="atLeast"/>
        </w:trPr>
        <w:tc>
          <w:tcPr>
            <w:tcW w:w="1316" w:type="dxa"/>
          </w:tcPr>
          <w:p>
            <w:pPr>
              <w:pStyle w:val="TableParagraph"/>
              <w:spacing w:line="219" w:lineRule="exact"/>
              <w:ind w:left="200"/>
              <w:rPr>
                <w:sz w:val="20"/>
              </w:rPr>
            </w:pPr>
            <w:r>
              <w:rPr>
                <w:sz w:val="20"/>
              </w:rPr>
              <w:t>MEDT 638</w:t>
            </w:r>
          </w:p>
        </w:tc>
        <w:tc>
          <w:tcPr>
            <w:tcW w:w="2723" w:type="dxa"/>
          </w:tcPr>
          <w:p>
            <w:pPr>
              <w:pStyle w:val="TableParagraph"/>
              <w:spacing w:line="219" w:lineRule="exact"/>
              <w:ind w:left="131"/>
              <w:rPr>
                <w:sz w:val="20"/>
              </w:rPr>
            </w:pPr>
            <w:r>
              <w:rPr>
                <w:sz w:val="20"/>
              </w:rPr>
              <w:t>SPECIAL TOPICS</w:t>
            </w:r>
          </w:p>
        </w:tc>
        <w:tc>
          <w:tcPr>
            <w:tcW w:w="916" w:type="dxa"/>
          </w:tcPr>
          <w:p>
            <w:pPr>
              <w:pStyle w:val="TableParagraph"/>
              <w:spacing w:line="219" w:lineRule="exact"/>
              <w:ind w:right="197"/>
              <w:jc w:val="right"/>
              <w:rPr>
                <w:sz w:val="20"/>
              </w:rPr>
            </w:pPr>
            <w:r>
              <w:rPr>
                <w:sz w:val="20"/>
              </w:rPr>
              <w:t>1 TO 4</w:t>
            </w:r>
          </w:p>
        </w:tc>
      </w:tr>
      <w:tr>
        <w:trPr>
          <w:trHeight w:val="480" w:hRule="atLeast"/>
        </w:trPr>
        <w:tc>
          <w:tcPr>
            <w:tcW w:w="1316" w:type="dxa"/>
          </w:tcPr>
          <w:p>
            <w:pPr>
              <w:pStyle w:val="TableParagraph"/>
              <w:ind w:left="200"/>
              <w:rPr>
                <w:sz w:val="20"/>
              </w:rPr>
            </w:pPr>
            <w:r>
              <w:rPr>
                <w:sz w:val="20"/>
              </w:rPr>
              <w:t>MEDT 654</w:t>
            </w:r>
          </w:p>
        </w:tc>
        <w:tc>
          <w:tcPr>
            <w:tcW w:w="2723" w:type="dxa"/>
          </w:tcPr>
          <w:p>
            <w:pPr>
              <w:pStyle w:val="TableParagraph"/>
              <w:ind w:left="131"/>
              <w:rPr>
                <w:sz w:val="20"/>
              </w:rPr>
            </w:pPr>
            <w:r>
              <w:rPr>
                <w:sz w:val="20"/>
              </w:rPr>
              <w:t>ADVANCED TOPICS IN</w:t>
            </w:r>
          </w:p>
          <w:p>
            <w:pPr>
              <w:pStyle w:val="TableParagraph"/>
              <w:spacing w:line="219" w:lineRule="exact" w:before="10"/>
              <w:ind w:left="131"/>
              <w:rPr>
                <w:sz w:val="20"/>
              </w:rPr>
            </w:pPr>
            <w:r>
              <w:rPr>
                <w:sz w:val="20"/>
              </w:rPr>
              <w:t>LABORATORY SCIENCES</w:t>
            </w:r>
          </w:p>
        </w:tc>
        <w:tc>
          <w:tcPr>
            <w:tcW w:w="916" w:type="dxa"/>
          </w:tcPr>
          <w:p>
            <w:pPr>
              <w:pStyle w:val="TableParagraph"/>
              <w:ind w:right="202"/>
              <w:jc w:val="right"/>
              <w:rPr>
                <w:sz w:val="20"/>
              </w:rPr>
            </w:pPr>
            <w:r>
              <w:rPr>
                <w:w w:val="100"/>
                <w:sz w:val="20"/>
              </w:rPr>
              <w:t>2</w:t>
            </w:r>
          </w:p>
        </w:tc>
      </w:tr>
      <w:tr>
        <w:trPr>
          <w:trHeight w:val="480" w:hRule="atLeast"/>
        </w:trPr>
        <w:tc>
          <w:tcPr>
            <w:tcW w:w="1316" w:type="dxa"/>
          </w:tcPr>
          <w:p>
            <w:pPr>
              <w:pStyle w:val="TableParagraph"/>
              <w:ind w:left="200"/>
              <w:rPr>
                <w:sz w:val="20"/>
              </w:rPr>
            </w:pPr>
            <w:r>
              <w:rPr>
                <w:sz w:val="20"/>
              </w:rPr>
              <w:t>MEDT 671</w:t>
            </w:r>
          </w:p>
        </w:tc>
        <w:tc>
          <w:tcPr>
            <w:tcW w:w="2723" w:type="dxa"/>
          </w:tcPr>
          <w:p>
            <w:pPr>
              <w:pStyle w:val="TableParagraph"/>
              <w:ind w:left="131"/>
              <w:rPr>
                <w:sz w:val="20"/>
              </w:rPr>
            </w:pPr>
            <w:r>
              <w:rPr>
                <w:sz w:val="20"/>
              </w:rPr>
              <w:t>MOLECULAR AND CELL</w:t>
            </w:r>
          </w:p>
          <w:p>
            <w:pPr>
              <w:pStyle w:val="TableParagraph"/>
              <w:spacing w:line="219" w:lineRule="exact" w:before="10"/>
              <w:ind w:left="131"/>
              <w:rPr>
                <w:sz w:val="20"/>
              </w:rPr>
            </w:pPr>
            <w:r>
              <w:rPr>
                <w:sz w:val="20"/>
              </w:rPr>
              <w:t>BIOLOGY</w:t>
            </w:r>
          </w:p>
        </w:tc>
        <w:tc>
          <w:tcPr>
            <w:tcW w:w="916" w:type="dxa"/>
          </w:tcPr>
          <w:p>
            <w:pPr>
              <w:pStyle w:val="TableParagraph"/>
              <w:ind w:right="202"/>
              <w:jc w:val="right"/>
              <w:rPr>
                <w:sz w:val="20"/>
              </w:rPr>
            </w:pPr>
            <w:r>
              <w:rPr>
                <w:w w:val="100"/>
                <w:sz w:val="20"/>
              </w:rPr>
              <w:t>3</w:t>
            </w:r>
          </w:p>
        </w:tc>
      </w:tr>
      <w:tr>
        <w:trPr>
          <w:trHeight w:val="480" w:hRule="atLeast"/>
        </w:trPr>
        <w:tc>
          <w:tcPr>
            <w:tcW w:w="1316" w:type="dxa"/>
          </w:tcPr>
          <w:p>
            <w:pPr>
              <w:pStyle w:val="TableParagraph"/>
              <w:ind w:left="200"/>
              <w:rPr>
                <w:sz w:val="20"/>
              </w:rPr>
            </w:pPr>
            <w:r>
              <w:rPr>
                <w:sz w:val="20"/>
              </w:rPr>
              <w:t>CHEM 638</w:t>
            </w:r>
          </w:p>
        </w:tc>
        <w:tc>
          <w:tcPr>
            <w:tcW w:w="2723" w:type="dxa"/>
          </w:tcPr>
          <w:p>
            <w:pPr>
              <w:pStyle w:val="TableParagraph"/>
              <w:ind w:left="131"/>
              <w:rPr>
                <w:sz w:val="20"/>
              </w:rPr>
            </w:pPr>
            <w:r>
              <w:rPr>
                <w:sz w:val="20"/>
              </w:rPr>
              <w:t>COMPREHENSIVE</w:t>
            </w:r>
          </w:p>
          <w:p>
            <w:pPr>
              <w:pStyle w:val="TableParagraph"/>
              <w:spacing w:line="219" w:lineRule="exact" w:before="10"/>
              <w:ind w:left="131"/>
              <w:rPr>
                <w:sz w:val="20"/>
              </w:rPr>
            </w:pPr>
            <w:r>
              <w:rPr>
                <w:sz w:val="20"/>
              </w:rPr>
              <w:t>BIOCHEMISTRY</w:t>
            </w:r>
          </w:p>
        </w:tc>
        <w:tc>
          <w:tcPr>
            <w:tcW w:w="916" w:type="dxa"/>
          </w:tcPr>
          <w:p>
            <w:pPr>
              <w:pStyle w:val="TableParagraph"/>
              <w:ind w:right="202"/>
              <w:jc w:val="right"/>
              <w:rPr>
                <w:sz w:val="20"/>
              </w:rPr>
            </w:pPr>
            <w:r>
              <w:rPr>
                <w:w w:val="100"/>
                <w:sz w:val="20"/>
              </w:rPr>
              <w:t>4</w:t>
            </w:r>
          </w:p>
        </w:tc>
      </w:tr>
      <w:tr>
        <w:trPr>
          <w:trHeight w:val="720" w:hRule="atLeast"/>
        </w:trPr>
        <w:tc>
          <w:tcPr>
            <w:tcW w:w="1316" w:type="dxa"/>
          </w:tcPr>
          <w:p>
            <w:pPr>
              <w:pStyle w:val="TableParagraph"/>
              <w:ind w:left="200"/>
              <w:rPr>
                <w:sz w:val="20"/>
              </w:rPr>
            </w:pPr>
            <w:r>
              <w:rPr>
                <w:sz w:val="20"/>
              </w:rPr>
              <w:t>BIOL 614</w:t>
            </w:r>
          </w:p>
        </w:tc>
        <w:tc>
          <w:tcPr>
            <w:tcW w:w="2723" w:type="dxa"/>
          </w:tcPr>
          <w:p>
            <w:pPr>
              <w:pStyle w:val="TableParagraph"/>
              <w:spacing w:line="249" w:lineRule="auto"/>
              <w:ind w:left="131" w:right="122"/>
              <w:rPr>
                <w:sz w:val="20"/>
              </w:rPr>
            </w:pPr>
            <w:r>
              <w:rPr>
                <w:sz w:val="20"/>
              </w:rPr>
              <w:t>GENETICS AND EUKRYOTIC MOLECULAR</w:t>
            </w:r>
          </w:p>
          <w:p>
            <w:pPr>
              <w:pStyle w:val="TableParagraph"/>
              <w:spacing w:line="219" w:lineRule="exact" w:before="2"/>
              <w:ind w:left="131"/>
              <w:rPr>
                <w:sz w:val="20"/>
              </w:rPr>
            </w:pPr>
            <w:r>
              <w:rPr>
                <w:sz w:val="20"/>
              </w:rPr>
              <w:t>BIOLOGY</w:t>
            </w:r>
          </w:p>
        </w:tc>
        <w:tc>
          <w:tcPr>
            <w:tcW w:w="916" w:type="dxa"/>
          </w:tcPr>
          <w:p>
            <w:pPr>
              <w:pStyle w:val="TableParagraph"/>
              <w:ind w:right="202"/>
              <w:jc w:val="right"/>
              <w:rPr>
                <w:sz w:val="20"/>
              </w:rPr>
            </w:pPr>
            <w:r>
              <w:rPr>
                <w:w w:val="100"/>
                <w:sz w:val="20"/>
              </w:rPr>
              <w:t>4</w:t>
            </w:r>
          </w:p>
        </w:tc>
      </w:tr>
      <w:tr>
        <w:trPr>
          <w:trHeight w:val="240" w:hRule="atLeast"/>
        </w:trPr>
        <w:tc>
          <w:tcPr>
            <w:tcW w:w="1316" w:type="dxa"/>
          </w:tcPr>
          <w:p>
            <w:pPr>
              <w:pStyle w:val="TableParagraph"/>
              <w:spacing w:line="219" w:lineRule="exact"/>
              <w:ind w:left="200"/>
              <w:rPr>
                <w:sz w:val="20"/>
              </w:rPr>
            </w:pPr>
            <w:r>
              <w:rPr>
                <w:sz w:val="20"/>
              </w:rPr>
              <w:t>GPLS 635</w:t>
            </w:r>
          </w:p>
        </w:tc>
        <w:tc>
          <w:tcPr>
            <w:tcW w:w="2723" w:type="dxa"/>
          </w:tcPr>
          <w:p>
            <w:pPr>
              <w:pStyle w:val="TableParagraph"/>
              <w:spacing w:line="219" w:lineRule="exact"/>
              <w:ind w:left="131"/>
              <w:rPr>
                <w:sz w:val="20"/>
              </w:rPr>
            </w:pPr>
            <w:r>
              <w:rPr>
                <w:sz w:val="20"/>
              </w:rPr>
              <w:t>BACTERIAL GENETICS</w:t>
            </w:r>
          </w:p>
        </w:tc>
        <w:tc>
          <w:tcPr>
            <w:tcW w:w="916" w:type="dxa"/>
          </w:tcPr>
          <w:p>
            <w:pPr>
              <w:pStyle w:val="TableParagraph"/>
              <w:spacing w:before="0"/>
              <w:rPr>
                <w:sz w:val="16"/>
              </w:rPr>
            </w:pPr>
          </w:p>
        </w:tc>
      </w:tr>
      <w:tr>
        <w:trPr>
          <w:trHeight w:val="240" w:hRule="atLeast"/>
        </w:trPr>
        <w:tc>
          <w:tcPr>
            <w:tcW w:w="1316" w:type="dxa"/>
          </w:tcPr>
          <w:p>
            <w:pPr>
              <w:pStyle w:val="TableParagraph"/>
              <w:spacing w:line="219" w:lineRule="exact"/>
              <w:ind w:left="200"/>
              <w:rPr>
                <w:sz w:val="20"/>
              </w:rPr>
            </w:pPr>
            <w:r>
              <w:rPr>
                <w:sz w:val="20"/>
              </w:rPr>
              <w:t>GPLS 702</w:t>
            </w:r>
          </w:p>
        </w:tc>
        <w:tc>
          <w:tcPr>
            <w:tcW w:w="2723" w:type="dxa"/>
          </w:tcPr>
          <w:p>
            <w:pPr>
              <w:pStyle w:val="TableParagraph"/>
              <w:spacing w:line="219" w:lineRule="exact"/>
              <w:ind w:left="131"/>
              <w:rPr>
                <w:sz w:val="20"/>
              </w:rPr>
            </w:pPr>
            <w:r>
              <w:rPr>
                <w:sz w:val="20"/>
              </w:rPr>
              <w:t>BASIC IMMUNOLOGY</w:t>
            </w:r>
          </w:p>
        </w:tc>
        <w:tc>
          <w:tcPr>
            <w:tcW w:w="916" w:type="dxa"/>
          </w:tcPr>
          <w:p>
            <w:pPr>
              <w:pStyle w:val="TableParagraph"/>
              <w:spacing w:line="219" w:lineRule="exact"/>
              <w:ind w:right="202"/>
              <w:jc w:val="right"/>
              <w:rPr>
                <w:sz w:val="20"/>
              </w:rPr>
            </w:pPr>
            <w:r>
              <w:rPr>
                <w:w w:val="100"/>
                <w:sz w:val="20"/>
              </w:rPr>
              <w:t>4</w:t>
            </w:r>
          </w:p>
        </w:tc>
      </w:tr>
      <w:tr>
        <w:trPr>
          <w:trHeight w:val="480" w:hRule="atLeast"/>
        </w:trPr>
        <w:tc>
          <w:tcPr>
            <w:tcW w:w="1316" w:type="dxa"/>
          </w:tcPr>
          <w:p>
            <w:pPr>
              <w:pStyle w:val="TableParagraph"/>
              <w:ind w:left="200"/>
              <w:rPr>
                <w:sz w:val="20"/>
              </w:rPr>
            </w:pPr>
            <w:r>
              <w:rPr>
                <w:sz w:val="20"/>
              </w:rPr>
              <w:t>GPLS 710</w:t>
            </w:r>
          </w:p>
        </w:tc>
        <w:tc>
          <w:tcPr>
            <w:tcW w:w="2723" w:type="dxa"/>
          </w:tcPr>
          <w:p>
            <w:pPr>
              <w:pStyle w:val="TableParagraph"/>
              <w:ind w:left="131"/>
              <w:rPr>
                <w:sz w:val="20"/>
              </w:rPr>
            </w:pPr>
            <w:r>
              <w:rPr>
                <w:sz w:val="20"/>
              </w:rPr>
              <w:t>MICROBIAL</w:t>
            </w:r>
          </w:p>
          <w:p>
            <w:pPr>
              <w:pStyle w:val="TableParagraph"/>
              <w:spacing w:line="219" w:lineRule="exact" w:before="10"/>
              <w:ind w:left="131"/>
              <w:rPr>
                <w:sz w:val="20"/>
              </w:rPr>
            </w:pPr>
            <w:r>
              <w:rPr>
                <w:sz w:val="20"/>
              </w:rPr>
              <w:t>PATHOGENESIS</w:t>
            </w:r>
          </w:p>
        </w:tc>
        <w:tc>
          <w:tcPr>
            <w:tcW w:w="916" w:type="dxa"/>
          </w:tcPr>
          <w:p>
            <w:pPr>
              <w:pStyle w:val="TableParagraph"/>
              <w:ind w:right="202"/>
              <w:jc w:val="right"/>
              <w:rPr>
                <w:sz w:val="20"/>
              </w:rPr>
            </w:pPr>
            <w:r>
              <w:rPr>
                <w:w w:val="100"/>
                <w:sz w:val="20"/>
              </w:rPr>
              <w:t>3</w:t>
            </w:r>
          </w:p>
        </w:tc>
      </w:tr>
      <w:tr>
        <w:trPr>
          <w:trHeight w:val="471" w:hRule="atLeast"/>
        </w:trPr>
        <w:tc>
          <w:tcPr>
            <w:tcW w:w="1316" w:type="dxa"/>
          </w:tcPr>
          <w:p>
            <w:pPr>
              <w:pStyle w:val="TableParagraph"/>
              <w:ind w:left="200"/>
              <w:rPr>
                <w:sz w:val="20"/>
              </w:rPr>
            </w:pPr>
            <w:r>
              <w:rPr>
                <w:sz w:val="20"/>
              </w:rPr>
              <w:t>GPLS 704</w:t>
            </w:r>
          </w:p>
        </w:tc>
        <w:tc>
          <w:tcPr>
            <w:tcW w:w="2723" w:type="dxa"/>
          </w:tcPr>
          <w:p>
            <w:pPr>
              <w:pStyle w:val="TableParagraph"/>
              <w:ind w:left="131"/>
              <w:rPr>
                <w:sz w:val="20"/>
              </w:rPr>
            </w:pPr>
            <w:r>
              <w:rPr>
                <w:sz w:val="20"/>
              </w:rPr>
              <w:t>PRINCIPLES OF</w:t>
            </w:r>
          </w:p>
          <w:p>
            <w:pPr>
              <w:pStyle w:val="TableParagraph"/>
              <w:spacing w:line="210" w:lineRule="exact" w:before="10"/>
              <w:ind w:left="131"/>
              <w:rPr>
                <w:sz w:val="20"/>
              </w:rPr>
            </w:pPr>
            <w:r>
              <w:rPr>
                <w:sz w:val="20"/>
              </w:rPr>
              <w:t>VIROLOGY</w:t>
            </w:r>
          </w:p>
        </w:tc>
        <w:tc>
          <w:tcPr>
            <w:tcW w:w="916" w:type="dxa"/>
          </w:tcPr>
          <w:p>
            <w:pPr>
              <w:pStyle w:val="TableParagraph"/>
              <w:ind w:right="202"/>
              <w:jc w:val="right"/>
              <w:rPr>
                <w:sz w:val="20"/>
              </w:rPr>
            </w:pPr>
            <w:r>
              <w:rPr>
                <w:w w:val="100"/>
                <w:sz w:val="20"/>
              </w:rPr>
              <w:t>3</w:t>
            </w:r>
          </w:p>
        </w:tc>
      </w:tr>
    </w:tbl>
    <w:p>
      <w:pPr>
        <w:spacing w:line="249" w:lineRule="auto" w:before="87"/>
        <w:ind w:left="200" w:right="1197" w:firstLine="0"/>
        <w:jc w:val="left"/>
        <w:rPr>
          <w:i/>
          <w:sz w:val="20"/>
        </w:rPr>
      </w:pPr>
      <w:r>
        <w:rPr>
          <w:i/>
          <w:sz w:val="20"/>
        </w:rPr>
        <w:t>CHEM 638 and BIOL 614: University of Maryland, </w:t>
      </w:r>
      <w:r>
        <w:rPr>
          <w:i/>
          <w:sz w:val="20"/>
        </w:rPr>
        <w:t>Baltimore County courses</w:t>
      </w:r>
    </w:p>
    <w:p>
      <w:pPr>
        <w:pStyle w:val="Heading5"/>
        <w:ind w:left="199"/>
      </w:pPr>
      <w:r>
        <w:rPr/>
        <w:t>Required Courses (Management Track)</w:t>
      </w:r>
    </w:p>
    <w:p>
      <w:pPr>
        <w:spacing w:after="0"/>
        <w:sectPr>
          <w:pgSz w:w="12240" w:h="15840"/>
          <w:pgMar w:header="746" w:footer="0" w:top="1320" w:bottom="280" w:left="880" w:right="300"/>
          <w:cols w:num="2" w:equalWidth="0">
            <w:col w:w="4973" w:space="514"/>
            <w:col w:w="5573"/>
          </w:cols>
        </w:sectPr>
      </w:pPr>
    </w:p>
    <w:tbl>
      <w:tblPr>
        <w:tblW w:w="0" w:type="auto"/>
        <w:jc w:val="left"/>
        <w:tblInd w:w="5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9"/>
        <w:gridCol w:w="2715"/>
        <w:gridCol w:w="931"/>
      </w:tblGrid>
      <w:tr>
        <w:trPr>
          <w:trHeight w:val="703" w:hRule="atLeast"/>
        </w:trPr>
        <w:tc>
          <w:tcPr>
            <w:tcW w:w="1309" w:type="dxa"/>
          </w:tcPr>
          <w:p>
            <w:pPr>
              <w:pStyle w:val="TableParagraph"/>
              <w:spacing w:line="223" w:lineRule="exact" w:before="0"/>
              <w:ind w:left="200"/>
              <w:rPr>
                <w:sz w:val="20"/>
              </w:rPr>
            </w:pPr>
            <w:r>
              <w:rPr>
                <w:sz w:val="20"/>
              </w:rPr>
              <w:t>MEDT 639</w:t>
            </w:r>
          </w:p>
        </w:tc>
        <w:tc>
          <w:tcPr>
            <w:tcW w:w="2715" w:type="dxa"/>
          </w:tcPr>
          <w:p>
            <w:pPr>
              <w:pStyle w:val="TableParagraph"/>
              <w:spacing w:line="249" w:lineRule="auto" w:before="0"/>
              <w:ind w:left="186" w:right="1064"/>
              <w:rPr>
                <w:sz w:val="20"/>
              </w:rPr>
            </w:pPr>
            <w:r>
              <w:rPr>
                <w:sz w:val="20"/>
              </w:rPr>
              <w:t>MANAGEMENT PRACTICES IN</w:t>
            </w:r>
          </w:p>
          <w:p>
            <w:pPr>
              <w:pStyle w:val="TableParagraph"/>
              <w:spacing w:line="210" w:lineRule="exact" w:before="0"/>
              <w:ind w:left="186"/>
              <w:rPr>
                <w:sz w:val="20"/>
              </w:rPr>
            </w:pPr>
            <w:r>
              <w:rPr>
                <w:sz w:val="20"/>
              </w:rPr>
              <w:t>LABORATORY SCIENCES</w:t>
            </w:r>
          </w:p>
        </w:tc>
        <w:tc>
          <w:tcPr>
            <w:tcW w:w="931" w:type="dxa"/>
          </w:tcPr>
          <w:p>
            <w:pPr>
              <w:pStyle w:val="TableParagraph"/>
              <w:spacing w:line="223" w:lineRule="exact" w:before="0"/>
              <w:ind w:left="160"/>
              <w:rPr>
                <w:sz w:val="20"/>
              </w:rPr>
            </w:pPr>
            <w:r>
              <w:rPr>
                <w:sz w:val="20"/>
              </w:rPr>
              <w:t>1 TO 6</w:t>
            </w:r>
          </w:p>
        </w:tc>
      </w:tr>
    </w:tbl>
    <w:p>
      <w:pPr>
        <w:spacing w:after="0" w:line="223" w:lineRule="exact"/>
        <w:rPr>
          <w:sz w:val="20"/>
        </w:rPr>
        <w:sectPr>
          <w:type w:val="continuous"/>
          <w:pgSz w:w="12240" w:h="15840"/>
          <w:pgMar w:top="1500" w:bottom="280" w:left="880" w:right="300"/>
        </w:sectPr>
      </w:pPr>
    </w:p>
    <w:p>
      <w:pPr>
        <w:pStyle w:val="BodyText"/>
        <w:spacing w:before="3"/>
        <w:ind w:left="0"/>
        <w:rPr>
          <w:sz w:val="9"/>
        </w:rPr>
      </w:pPr>
    </w:p>
    <w:tbl>
      <w:tblPr>
        <w:tblW w:w="0" w:type="auto"/>
        <w:jc w:val="left"/>
        <w:tblInd w:w="5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2"/>
        <w:gridCol w:w="2904"/>
        <w:gridCol w:w="745"/>
      </w:tblGrid>
      <w:tr>
        <w:trPr>
          <w:trHeight w:val="463" w:hRule="atLeast"/>
        </w:trPr>
        <w:tc>
          <w:tcPr>
            <w:tcW w:w="1302" w:type="dxa"/>
          </w:tcPr>
          <w:p>
            <w:pPr>
              <w:pStyle w:val="TableParagraph"/>
              <w:spacing w:line="223" w:lineRule="exact" w:before="0"/>
              <w:ind w:left="200"/>
              <w:rPr>
                <w:sz w:val="20"/>
              </w:rPr>
            </w:pPr>
            <w:r>
              <w:rPr>
                <w:sz w:val="20"/>
              </w:rPr>
              <w:t>EDUC 601</w:t>
            </w:r>
          </w:p>
        </w:tc>
        <w:tc>
          <w:tcPr>
            <w:tcW w:w="2904" w:type="dxa"/>
          </w:tcPr>
          <w:p>
            <w:pPr>
              <w:pStyle w:val="TableParagraph"/>
              <w:spacing w:line="223" w:lineRule="exact" w:before="0"/>
              <w:ind w:left="150"/>
              <w:rPr>
                <w:sz w:val="20"/>
              </w:rPr>
            </w:pPr>
            <w:r>
              <w:rPr>
                <w:sz w:val="20"/>
              </w:rPr>
              <w:t>HUMAN LEARNING AND</w:t>
            </w:r>
          </w:p>
          <w:p>
            <w:pPr>
              <w:pStyle w:val="TableParagraph"/>
              <w:spacing w:line="210" w:lineRule="exact" w:before="10"/>
              <w:ind w:left="150"/>
              <w:rPr>
                <w:sz w:val="20"/>
              </w:rPr>
            </w:pPr>
            <w:r>
              <w:rPr>
                <w:sz w:val="20"/>
              </w:rPr>
              <w:t>COGNITION</w:t>
            </w:r>
          </w:p>
        </w:tc>
        <w:tc>
          <w:tcPr>
            <w:tcW w:w="745" w:type="dxa"/>
          </w:tcPr>
          <w:p>
            <w:pPr>
              <w:pStyle w:val="TableParagraph"/>
              <w:spacing w:line="223" w:lineRule="exact" w:before="0"/>
              <w:ind w:left="443"/>
              <w:rPr>
                <w:sz w:val="20"/>
              </w:rPr>
            </w:pPr>
            <w:r>
              <w:rPr>
                <w:w w:val="100"/>
                <w:sz w:val="20"/>
              </w:rPr>
              <w:t>3</w:t>
            </w:r>
          </w:p>
        </w:tc>
      </w:tr>
    </w:tbl>
    <w:p>
      <w:pPr>
        <w:spacing w:after="0" w:line="223" w:lineRule="exact"/>
        <w:rPr>
          <w:sz w:val="20"/>
        </w:rPr>
        <w:sectPr>
          <w:pgSz w:w="12240" w:h="15840"/>
          <w:pgMar w:header="746" w:footer="0" w:top="1320" w:bottom="280" w:left="880" w:right="300"/>
        </w:sect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7"/>
        <w:ind w:left="0"/>
        <w:rPr>
          <w:sz w:val="30"/>
        </w:rPr>
      </w:pPr>
    </w:p>
    <w:p>
      <w:pPr>
        <w:spacing w:line="249" w:lineRule="auto" w:before="0"/>
        <w:ind w:left="200" w:right="89" w:firstLine="0"/>
        <w:jc w:val="left"/>
        <w:rPr>
          <w:i/>
          <w:sz w:val="20"/>
        </w:rPr>
      </w:pPr>
      <w:r>
        <w:rPr/>
        <w:pict>
          <v:shape style="position:absolute;margin-left:49.279999pt;margin-top:-218.526474pt;width:247.8pt;height:215.2pt;mso-position-horizontal-relative:page;mso-position-vertical-relative:paragraph;z-index:13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2"/>
                    <w:gridCol w:w="2780"/>
                    <w:gridCol w:w="815"/>
                  </w:tblGrid>
                  <w:tr>
                    <w:trPr>
                      <w:trHeight w:val="471" w:hRule="atLeast"/>
                    </w:trPr>
                    <w:tc>
                      <w:tcPr>
                        <w:tcW w:w="1362" w:type="dxa"/>
                      </w:tcPr>
                      <w:p>
                        <w:pPr>
                          <w:pStyle w:val="TableParagraph"/>
                          <w:spacing w:line="223" w:lineRule="exact" w:before="0"/>
                          <w:ind w:left="200"/>
                          <w:rPr>
                            <w:sz w:val="20"/>
                          </w:rPr>
                        </w:pPr>
                        <w:r>
                          <w:rPr>
                            <w:sz w:val="20"/>
                          </w:rPr>
                          <w:t>ACCT 504</w:t>
                        </w:r>
                      </w:p>
                    </w:tc>
                    <w:tc>
                      <w:tcPr>
                        <w:tcW w:w="2780" w:type="dxa"/>
                      </w:tcPr>
                      <w:p>
                        <w:pPr>
                          <w:pStyle w:val="TableParagraph"/>
                          <w:spacing w:line="223" w:lineRule="exact" w:before="0"/>
                          <w:ind w:left="134"/>
                          <w:rPr>
                            <w:sz w:val="20"/>
                          </w:rPr>
                        </w:pPr>
                        <w:r>
                          <w:rPr>
                            <w:sz w:val="20"/>
                          </w:rPr>
                          <w:t>INTRODUCTION TO</w:t>
                        </w:r>
                      </w:p>
                      <w:p>
                        <w:pPr>
                          <w:pStyle w:val="TableParagraph"/>
                          <w:spacing w:line="219" w:lineRule="exact" w:before="10"/>
                          <w:ind w:left="134"/>
                          <w:rPr>
                            <w:sz w:val="20"/>
                          </w:rPr>
                        </w:pPr>
                        <w:r>
                          <w:rPr>
                            <w:sz w:val="20"/>
                          </w:rPr>
                          <w:t>ACCOUNTING</w:t>
                        </w:r>
                      </w:p>
                    </w:tc>
                    <w:tc>
                      <w:tcPr>
                        <w:tcW w:w="815" w:type="dxa"/>
                      </w:tcPr>
                      <w:p>
                        <w:pPr>
                          <w:pStyle w:val="TableParagraph"/>
                          <w:spacing w:line="223" w:lineRule="exact" w:before="0"/>
                          <w:ind w:right="199"/>
                          <w:jc w:val="right"/>
                          <w:rPr>
                            <w:sz w:val="20"/>
                          </w:rPr>
                        </w:pPr>
                        <w:r>
                          <w:rPr>
                            <w:w w:val="100"/>
                            <w:sz w:val="20"/>
                          </w:rPr>
                          <w:t>3</w:t>
                        </w:r>
                      </w:p>
                    </w:tc>
                  </w:tr>
                  <w:tr>
                    <w:trPr>
                      <w:trHeight w:val="240" w:hRule="atLeast"/>
                    </w:trPr>
                    <w:tc>
                      <w:tcPr>
                        <w:tcW w:w="1362" w:type="dxa"/>
                      </w:tcPr>
                      <w:p>
                        <w:pPr>
                          <w:pStyle w:val="TableParagraph"/>
                          <w:spacing w:before="0"/>
                          <w:rPr>
                            <w:sz w:val="16"/>
                          </w:rPr>
                        </w:pPr>
                      </w:p>
                    </w:tc>
                    <w:tc>
                      <w:tcPr>
                        <w:tcW w:w="2780" w:type="dxa"/>
                      </w:tcPr>
                      <w:p>
                        <w:pPr>
                          <w:pStyle w:val="TableParagraph"/>
                          <w:spacing w:line="219" w:lineRule="exact"/>
                          <w:ind w:left="134"/>
                          <w:rPr>
                            <w:sz w:val="20"/>
                          </w:rPr>
                        </w:pPr>
                        <w:r>
                          <w:rPr>
                            <w:sz w:val="20"/>
                          </w:rPr>
                          <w:t>Or</w:t>
                        </w:r>
                      </w:p>
                    </w:tc>
                    <w:tc>
                      <w:tcPr>
                        <w:tcW w:w="815" w:type="dxa"/>
                      </w:tcPr>
                      <w:p>
                        <w:pPr>
                          <w:pStyle w:val="TableParagraph"/>
                          <w:spacing w:before="0"/>
                          <w:rPr>
                            <w:sz w:val="16"/>
                          </w:rPr>
                        </w:pPr>
                      </w:p>
                    </w:tc>
                  </w:tr>
                  <w:tr>
                    <w:trPr>
                      <w:trHeight w:val="600" w:hRule="atLeast"/>
                    </w:trPr>
                    <w:tc>
                      <w:tcPr>
                        <w:tcW w:w="1362" w:type="dxa"/>
                      </w:tcPr>
                      <w:p>
                        <w:pPr>
                          <w:pStyle w:val="TableParagraph"/>
                          <w:ind w:left="200"/>
                          <w:rPr>
                            <w:sz w:val="20"/>
                          </w:rPr>
                        </w:pPr>
                        <w:r>
                          <w:rPr>
                            <w:sz w:val="20"/>
                          </w:rPr>
                          <w:t>ACCT 610</w:t>
                        </w:r>
                      </w:p>
                    </w:tc>
                    <w:tc>
                      <w:tcPr>
                        <w:tcW w:w="2780" w:type="dxa"/>
                      </w:tcPr>
                      <w:p>
                        <w:pPr>
                          <w:pStyle w:val="TableParagraph"/>
                          <w:spacing w:line="249" w:lineRule="auto"/>
                          <w:ind w:left="134" w:right="498"/>
                          <w:rPr>
                            <w:sz w:val="20"/>
                          </w:rPr>
                        </w:pPr>
                        <w:r>
                          <w:rPr>
                            <w:sz w:val="20"/>
                          </w:rPr>
                          <w:t>FINANCIAL ACCOUNTING</w:t>
                        </w:r>
                      </w:p>
                    </w:tc>
                    <w:tc>
                      <w:tcPr>
                        <w:tcW w:w="815" w:type="dxa"/>
                      </w:tcPr>
                      <w:p>
                        <w:pPr>
                          <w:pStyle w:val="TableParagraph"/>
                          <w:ind w:right="199"/>
                          <w:jc w:val="right"/>
                          <w:rPr>
                            <w:sz w:val="20"/>
                          </w:rPr>
                        </w:pPr>
                        <w:r>
                          <w:rPr>
                            <w:w w:val="100"/>
                            <w:sz w:val="20"/>
                          </w:rPr>
                          <w:t>3</w:t>
                        </w:r>
                      </w:p>
                    </w:tc>
                  </w:tr>
                  <w:tr>
                    <w:trPr>
                      <w:trHeight w:val="600" w:hRule="atLeast"/>
                    </w:trPr>
                    <w:tc>
                      <w:tcPr>
                        <w:tcW w:w="1362" w:type="dxa"/>
                      </w:tcPr>
                      <w:p>
                        <w:pPr>
                          <w:pStyle w:val="TableParagraph"/>
                          <w:spacing w:before="121"/>
                          <w:ind w:left="200"/>
                          <w:rPr>
                            <w:sz w:val="20"/>
                          </w:rPr>
                        </w:pPr>
                        <w:r>
                          <w:rPr>
                            <w:sz w:val="20"/>
                          </w:rPr>
                          <w:t>FIN 504</w:t>
                        </w:r>
                      </w:p>
                    </w:tc>
                    <w:tc>
                      <w:tcPr>
                        <w:tcW w:w="2780" w:type="dxa"/>
                      </w:tcPr>
                      <w:p>
                        <w:pPr>
                          <w:pStyle w:val="TableParagraph"/>
                          <w:spacing w:line="240" w:lineRule="atLeast" w:before="111"/>
                          <w:ind w:left="134" w:right="1303"/>
                          <w:rPr>
                            <w:sz w:val="20"/>
                          </w:rPr>
                        </w:pPr>
                        <w:r>
                          <w:rPr>
                            <w:sz w:val="20"/>
                          </w:rPr>
                          <w:t>FINANCIAL MANAGMENT</w:t>
                        </w:r>
                      </w:p>
                    </w:tc>
                    <w:tc>
                      <w:tcPr>
                        <w:tcW w:w="815" w:type="dxa"/>
                      </w:tcPr>
                      <w:p>
                        <w:pPr>
                          <w:pStyle w:val="TableParagraph"/>
                          <w:spacing w:before="121"/>
                          <w:ind w:right="199"/>
                          <w:jc w:val="right"/>
                          <w:rPr>
                            <w:sz w:val="20"/>
                          </w:rPr>
                        </w:pPr>
                        <w:r>
                          <w:rPr>
                            <w:w w:val="100"/>
                            <w:sz w:val="20"/>
                          </w:rPr>
                          <w:t>3</w:t>
                        </w:r>
                      </w:p>
                    </w:tc>
                  </w:tr>
                  <w:tr>
                    <w:trPr>
                      <w:trHeight w:val="240" w:hRule="atLeast"/>
                    </w:trPr>
                    <w:tc>
                      <w:tcPr>
                        <w:tcW w:w="1362" w:type="dxa"/>
                      </w:tcPr>
                      <w:p>
                        <w:pPr>
                          <w:pStyle w:val="TableParagraph"/>
                          <w:spacing w:before="0"/>
                          <w:rPr>
                            <w:sz w:val="16"/>
                          </w:rPr>
                        </w:pPr>
                      </w:p>
                    </w:tc>
                    <w:tc>
                      <w:tcPr>
                        <w:tcW w:w="2780" w:type="dxa"/>
                      </w:tcPr>
                      <w:p>
                        <w:pPr>
                          <w:pStyle w:val="TableParagraph"/>
                          <w:spacing w:line="219" w:lineRule="exact"/>
                          <w:ind w:left="134"/>
                          <w:rPr>
                            <w:sz w:val="20"/>
                          </w:rPr>
                        </w:pPr>
                        <w:r>
                          <w:rPr>
                            <w:sz w:val="20"/>
                          </w:rPr>
                          <w:t>Or</w:t>
                        </w:r>
                      </w:p>
                    </w:tc>
                    <w:tc>
                      <w:tcPr>
                        <w:tcW w:w="815" w:type="dxa"/>
                      </w:tcPr>
                      <w:p>
                        <w:pPr>
                          <w:pStyle w:val="TableParagraph"/>
                          <w:spacing w:before="0"/>
                          <w:rPr>
                            <w:sz w:val="16"/>
                          </w:rPr>
                        </w:pPr>
                      </w:p>
                    </w:tc>
                  </w:tr>
                  <w:tr>
                    <w:trPr>
                      <w:trHeight w:val="840" w:hRule="atLeast"/>
                    </w:trPr>
                    <w:tc>
                      <w:tcPr>
                        <w:tcW w:w="1362" w:type="dxa"/>
                      </w:tcPr>
                      <w:p>
                        <w:pPr>
                          <w:pStyle w:val="TableParagraph"/>
                          <w:ind w:left="200"/>
                          <w:rPr>
                            <w:sz w:val="20"/>
                          </w:rPr>
                        </w:pPr>
                        <w:r>
                          <w:rPr>
                            <w:sz w:val="20"/>
                          </w:rPr>
                          <w:t>MGMT 640</w:t>
                        </w:r>
                      </w:p>
                    </w:tc>
                    <w:tc>
                      <w:tcPr>
                        <w:tcW w:w="2780" w:type="dxa"/>
                      </w:tcPr>
                      <w:p>
                        <w:pPr>
                          <w:pStyle w:val="TableParagraph"/>
                          <w:spacing w:line="249" w:lineRule="auto"/>
                          <w:ind w:left="134" w:right="498"/>
                          <w:rPr>
                            <w:sz w:val="20"/>
                          </w:rPr>
                        </w:pPr>
                        <w:r>
                          <w:rPr>
                            <w:sz w:val="20"/>
                          </w:rPr>
                          <w:t>FINANCIAL DECISION- MAKING FOR MANAGERS</w:t>
                        </w:r>
                      </w:p>
                    </w:tc>
                    <w:tc>
                      <w:tcPr>
                        <w:tcW w:w="815" w:type="dxa"/>
                      </w:tcPr>
                      <w:p>
                        <w:pPr>
                          <w:pStyle w:val="TableParagraph"/>
                          <w:ind w:right="199"/>
                          <w:jc w:val="right"/>
                          <w:rPr>
                            <w:sz w:val="20"/>
                          </w:rPr>
                        </w:pPr>
                        <w:r>
                          <w:rPr>
                            <w:w w:val="100"/>
                            <w:sz w:val="20"/>
                          </w:rPr>
                          <w:t>3</w:t>
                        </w:r>
                      </w:p>
                    </w:tc>
                  </w:tr>
                  <w:tr>
                    <w:trPr>
                      <w:trHeight w:val="600" w:hRule="atLeast"/>
                    </w:trPr>
                    <w:tc>
                      <w:tcPr>
                        <w:tcW w:w="1362" w:type="dxa"/>
                      </w:tcPr>
                      <w:p>
                        <w:pPr>
                          <w:pStyle w:val="TableParagraph"/>
                          <w:spacing w:before="121"/>
                          <w:ind w:left="200"/>
                          <w:rPr>
                            <w:sz w:val="20"/>
                          </w:rPr>
                        </w:pPr>
                        <w:r>
                          <w:rPr>
                            <w:sz w:val="20"/>
                          </w:rPr>
                          <w:t>MGMT 600</w:t>
                        </w:r>
                      </w:p>
                    </w:tc>
                    <w:tc>
                      <w:tcPr>
                        <w:tcW w:w="2780" w:type="dxa"/>
                      </w:tcPr>
                      <w:p>
                        <w:pPr>
                          <w:pStyle w:val="TableParagraph"/>
                          <w:spacing w:line="240" w:lineRule="atLeast" w:before="111"/>
                          <w:ind w:left="134" w:right="1165"/>
                          <w:rPr>
                            <w:sz w:val="20"/>
                          </w:rPr>
                        </w:pPr>
                        <w:r>
                          <w:rPr>
                            <w:sz w:val="20"/>
                          </w:rPr>
                          <w:t>LEADING WITH INTEGRITY</w:t>
                        </w:r>
                      </w:p>
                    </w:tc>
                    <w:tc>
                      <w:tcPr>
                        <w:tcW w:w="815" w:type="dxa"/>
                      </w:tcPr>
                      <w:p>
                        <w:pPr>
                          <w:pStyle w:val="TableParagraph"/>
                          <w:spacing w:before="121"/>
                          <w:ind w:right="199"/>
                          <w:jc w:val="right"/>
                          <w:rPr>
                            <w:sz w:val="20"/>
                          </w:rPr>
                        </w:pPr>
                        <w:r>
                          <w:rPr>
                            <w:w w:val="100"/>
                            <w:sz w:val="20"/>
                          </w:rPr>
                          <w:t>3</w:t>
                        </w:r>
                      </w:p>
                    </w:tc>
                  </w:tr>
                  <w:tr>
                    <w:trPr>
                      <w:trHeight w:val="240" w:hRule="atLeast"/>
                    </w:trPr>
                    <w:tc>
                      <w:tcPr>
                        <w:tcW w:w="1362" w:type="dxa"/>
                      </w:tcPr>
                      <w:p>
                        <w:pPr>
                          <w:pStyle w:val="TableParagraph"/>
                          <w:spacing w:before="0"/>
                          <w:rPr>
                            <w:sz w:val="16"/>
                          </w:rPr>
                        </w:pPr>
                      </w:p>
                    </w:tc>
                    <w:tc>
                      <w:tcPr>
                        <w:tcW w:w="2780" w:type="dxa"/>
                      </w:tcPr>
                      <w:p>
                        <w:pPr>
                          <w:pStyle w:val="TableParagraph"/>
                          <w:spacing w:line="219" w:lineRule="exact"/>
                          <w:ind w:left="134"/>
                          <w:rPr>
                            <w:sz w:val="20"/>
                          </w:rPr>
                        </w:pPr>
                        <w:r>
                          <w:rPr>
                            <w:sz w:val="20"/>
                          </w:rPr>
                          <w:t>Or</w:t>
                        </w:r>
                      </w:p>
                    </w:tc>
                    <w:tc>
                      <w:tcPr>
                        <w:tcW w:w="815" w:type="dxa"/>
                      </w:tcPr>
                      <w:p>
                        <w:pPr>
                          <w:pStyle w:val="TableParagraph"/>
                          <w:spacing w:before="0"/>
                          <w:rPr>
                            <w:sz w:val="16"/>
                          </w:rPr>
                        </w:pPr>
                      </w:p>
                    </w:tc>
                  </w:tr>
                  <w:tr>
                    <w:trPr>
                      <w:trHeight w:val="471" w:hRule="atLeast"/>
                    </w:trPr>
                    <w:tc>
                      <w:tcPr>
                        <w:tcW w:w="1362" w:type="dxa"/>
                      </w:tcPr>
                      <w:p>
                        <w:pPr>
                          <w:pStyle w:val="TableParagraph"/>
                          <w:ind w:left="200"/>
                          <w:rPr>
                            <w:sz w:val="20"/>
                          </w:rPr>
                        </w:pPr>
                        <w:r>
                          <w:rPr>
                            <w:sz w:val="20"/>
                          </w:rPr>
                          <w:t>MGMT 650</w:t>
                        </w:r>
                      </w:p>
                    </w:tc>
                    <w:tc>
                      <w:tcPr>
                        <w:tcW w:w="2780" w:type="dxa"/>
                      </w:tcPr>
                      <w:p>
                        <w:pPr>
                          <w:pStyle w:val="TableParagraph"/>
                          <w:ind w:left="134"/>
                          <w:rPr>
                            <w:sz w:val="20"/>
                          </w:rPr>
                        </w:pPr>
                        <w:r>
                          <w:rPr>
                            <w:sz w:val="20"/>
                          </w:rPr>
                          <w:t>RESEARCH METHODS</w:t>
                        </w:r>
                      </w:p>
                      <w:p>
                        <w:pPr>
                          <w:pStyle w:val="TableParagraph"/>
                          <w:spacing w:line="210" w:lineRule="exact" w:before="10"/>
                          <w:ind w:left="134"/>
                          <w:rPr>
                            <w:sz w:val="20"/>
                          </w:rPr>
                        </w:pPr>
                        <w:r>
                          <w:rPr>
                            <w:sz w:val="20"/>
                          </w:rPr>
                          <w:t>FOR MANAGERS</w:t>
                        </w:r>
                      </w:p>
                    </w:tc>
                    <w:tc>
                      <w:tcPr>
                        <w:tcW w:w="815" w:type="dxa"/>
                      </w:tcPr>
                      <w:p>
                        <w:pPr>
                          <w:pStyle w:val="TableParagraph"/>
                          <w:ind w:right="199"/>
                          <w:jc w:val="right"/>
                          <w:rPr>
                            <w:sz w:val="20"/>
                          </w:rPr>
                        </w:pPr>
                        <w:r>
                          <w:rPr>
                            <w:w w:val="100"/>
                            <w:sz w:val="20"/>
                          </w:rPr>
                          <w:t>3</w:t>
                        </w:r>
                      </w:p>
                    </w:tc>
                  </w:tr>
                </w:tbl>
                <w:p>
                  <w:pPr>
                    <w:pStyle w:val="BodyText"/>
                    <w:spacing w:before="0"/>
                    <w:ind w:left="0"/>
                  </w:pPr>
                </w:p>
              </w:txbxContent>
            </v:textbox>
            <w10:wrap type="none"/>
          </v:shape>
        </w:pict>
      </w:r>
      <w:r>
        <w:rPr>
          <w:i/>
          <w:sz w:val="20"/>
        </w:rPr>
        <w:t>ACCT 504, FIN 504 and MGMT 600: University of </w:t>
      </w:r>
      <w:r>
        <w:rPr>
          <w:i/>
          <w:sz w:val="20"/>
        </w:rPr>
        <w:t>Baltimore courses</w:t>
      </w:r>
    </w:p>
    <w:p>
      <w:pPr>
        <w:spacing w:line="249" w:lineRule="auto" w:before="64"/>
        <w:ind w:left="200" w:right="22" w:firstLine="0"/>
        <w:jc w:val="left"/>
        <w:rPr>
          <w:i/>
          <w:sz w:val="20"/>
        </w:rPr>
      </w:pPr>
      <w:r>
        <w:rPr>
          <w:i/>
          <w:sz w:val="20"/>
        </w:rPr>
        <w:t>ACCT 610 and MGMT 640: University of Maryland </w:t>
      </w:r>
      <w:r>
        <w:rPr>
          <w:i/>
          <w:sz w:val="20"/>
        </w:rPr>
        <w:t>University College courses</w:t>
      </w:r>
    </w:p>
    <w:p>
      <w:pPr>
        <w:pStyle w:val="Heading5"/>
      </w:pPr>
      <w:r>
        <w:rPr/>
        <w:t>Suggested Elective Courses</w:t>
      </w:r>
    </w:p>
    <w:p>
      <w:pPr>
        <w:spacing w:line="249" w:lineRule="auto" w:before="67"/>
        <w:ind w:left="200" w:right="1082" w:firstLine="0"/>
        <w:jc w:val="left"/>
        <w:rPr>
          <w:i/>
          <w:sz w:val="20"/>
        </w:rPr>
      </w:pPr>
      <w:r>
        <w:rPr/>
        <w:br w:type="column"/>
      </w:r>
      <w:r>
        <w:rPr>
          <w:i/>
          <w:sz w:val="20"/>
        </w:rPr>
        <w:t>ECAD 489, PUBL 615 and EDUC 601: University of </w:t>
      </w:r>
      <w:r>
        <w:rPr>
          <w:i/>
          <w:sz w:val="20"/>
        </w:rPr>
        <w:t>Maryland, Baltimore County courses</w:t>
      </w:r>
    </w:p>
    <w:p>
      <w:pPr>
        <w:spacing w:before="64"/>
        <w:ind w:left="200" w:right="0" w:firstLine="0"/>
        <w:jc w:val="left"/>
        <w:rPr>
          <w:i/>
          <w:sz w:val="20"/>
        </w:rPr>
      </w:pPr>
      <w:r>
        <w:rPr>
          <w:i/>
          <w:sz w:val="20"/>
        </w:rPr>
        <w:t>HCAD 640, MGMT 610, TMAN 633, MGMT 650 and</w:t>
      </w:r>
    </w:p>
    <w:p>
      <w:pPr>
        <w:spacing w:line="249" w:lineRule="auto" w:before="10"/>
        <w:ind w:left="200" w:right="877" w:firstLine="0"/>
        <w:jc w:val="left"/>
        <w:rPr>
          <w:i/>
          <w:sz w:val="20"/>
        </w:rPr>
      </w:pPr>
      <w:r>
        <w:rPr>
          <w:i/>
          <w:sz w:val="20"/>
        </w:rPr>
        <w:t>HRMD 610: University of Maryland University College </w:t>
      </w:r>
      <w:r>
        <w:rPr>
          <w:i/>
          <w:sz w:val="20"/>
        </w:rPr>
        <w:t>courses</w:t>
      </w:r>
    </w:p>
    <w:p>
      <w:pPr>
        <w:pStyle w:val="BodyText"/>
        <w:spacing w:line="249" w:lineRule="auto" w:before="179"/>
        <w:ind w:right="807"/>
      </w:pPr>
      <w:r>
        <w:rPr/>
        <w:t>Details are </w:t>
      </w:r>
      <w:r>
        <w:rPr>
          <w:spacing w:val="-3"/>
        </w:rPr>
        <w:t>given </w:t>
      </w:r>
      <w:r>
        <w:rPr/>
        <w:t>in the Course Descriptions part </w:t>
      </w:r>
      <w:r>
        <w:rPr>
          <w:spacing w:val="-3"/>
        </w:rPr>
        <w:t>of </w:t>
      </w:r>
      <w:r>
        <w:rPr/>
        <w:t>this catalog.</w:t>
      </w:r>
    </w:p>
    <w:p>
      <w:pPr>
        <w:spacing w:after="0" w:line="249" w:lineRule="auto"/>
        <w:sectPr>
          <w:type w:val="continuous"/>
          <w:pgSz w:w="12240" w:h="15840"/>
          <w:pgMar w:top="1500" w:bottom="280" w:left="880" w:right="300"/>
          <w:cols w:num="2" w:equalWidth="0">
            <w:col w:w="4426" w:space="1060"/>
            <w:col w:w="5574"/>
          </w:cols>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2"/>
        <w:gridCol w:w="2686"/>
        <w:gridCol w:w="931"/>
      </w:tblGrid>
      <w:tr>
        <w:trPr>
          <w:trHeight w:val="471" w:hRule="atLeast"/>
        </w:trPr>
        <w:tc>
          <w:tcPr>
            <w:tcW w:w="1342" w:type="dxa"/>
          </w:tcPr>
          <w:p>
            <w:pPr>
              <w:pStyle w:val="TableParagraph"/>
              <w:spacing w:line="223" w:lineRule="exact" w:before="0"/>
              <w:ind w:left="200"/>
              <w:rPr>
                <w:sz w:val="20"/>
              </w:rPr>
            </w:pPr>
            <w:r>
              <w:rPr>
                <w:sz w:val="20"/>
              </w:rPr>
              <w:t>MEDT 634</w:t>
            </w:r>
          </w:p>
        </w:tc>
        <w:tc>
          <w:tcPr>
            <w:tcW w:w="2686" w:type="dxa"/>
          </w:tcPr>
          <w:p>
            <w:pPr>
              <w:pStyle w:val="TableParagraph"/>
              <w:spacing w:line="223" w:lineRule="exact" w:before="0"/>
              <w:ind w:left="115"/>
              <w:rPr>
                <w:sz w:val="20"/>
              </w:rPr>
            </w:pPr>
            <w:r>
              <w:rPr>
                <w:sz w:val="20"/>
              </w:rPr>
              <w:t>TEACHING PRACTICUM</w:t>
            </w:r>
          </w:p>
          <w:p>
            <w:pPr>
              <w:pStyle w:val="TableParagraph"/>
              <w:spacing w:line="219" w:lineRule="exact" w:before="10"/>
              <w:ind w:left="115"/>
              <w:rPr>
                <w:sz w:val="20"/>
              </w:rPr>
            </w:pPr>
            <w:r>
              <w:rPr>
                <w:sz w:val="20"/>
              </w:rPr>
              <w:t>MAJOR</w:t>
            </w:r>
          </w:p>
        </w:tc>
        <w:tc>
          <w:tcPr>
            <w:tcW w:w="931" w:type="dxa"/>
          </w:tcPr>
          <w:p>
            <w:pPr>
              <w:pStyle w:val="TableParagraph"/>
              <w:spacing w:line="223" w:lineRule="exact" w:before="0"/>
              <w:ind w:right="201"/>
              <w:jc w:val="right"/>
              <w:rPr>
                <w:sz w:val="20"/>
              </w:rPr>
            </w:pPr>
            <w:r>
              <w:rPr>
                <w:w w:val="100"/>
                <w:sz w:val="20"/>
              </w:rPr>
              <w:t>4</w:t>
            </w:r>
          </w:p>
        </w:tc>
      </w:tr>
      <w:tr>
        <w:trPr>
          <w:trHeight w:val="240" w:hRule="atLeast"/>
        </w:trPr>
        <w:tc>
          <w:tcPr>
            <w:tcW w:w="1342" w:type="dxa"/>
          </w:tcPr>
          <w:p>
            <w:pPr>
              <w:pStyle w:val="TableParagraph"/>
              <w:spacing w:line="219" w:lineRule="exact"/>
              <w:ind w:left="200"/>
              <w:rPr>
                <w:sz w:val="20"/>
              </w:rPr>
            </w:pPr>
            <w:r>
              <w:rPr>
                <w:sz w:val="20"/>
              </w:rPr>
              <w:t>MEDT 638</w:t>
            </w:r>
          </w:p>
        </w:tc>
        <w:tc>
          <w:tcPr>
            <w:tcW w:w="2686" w:type="dxa"/>
          </w:tcPr>
          <w:p>
            <w:pPr>
              <w:pStyle w:val="TableParagraph"/>
              <w:spacing w:line="219" w:lineRule="exact"/>
              <w:ind w:left="115"/>
              <w:rPr>
                <w:sz w:val="20"/>
              </w:rPr>
            </w:pPr>
            <w:r>
              <w:rPr>
                <w:sz w:val="20"/>
              </w:rPr>
              <w:t>SPECIAL TOPICS</w:t>
            </w:r>
          </w:p>
        </w:tc>
        <w:tc>
          <w:tcPr>
            <w:tcW w:w="931" w:type="dxa"/>
          </w:tcPr>
          <w:p>
            <w:pPr>
              <w:pStyle w:val="TableParagraph"/>
              <w:spacing w:line="219" w:lineRule="exact"/>
              <w:ind w:right="197"/>
              <w:jc w:val="right"/>
              <w:rPr>
                <w:sz w:val="20"/>
              </w:rPr>
            </w:pPr>
            <w:r>
              <w:rPr>
                <w:sz w:val="20"/>
              </w:rPr>
              <w:t>1 TO 4</w:t>
            </w:r>
          </w:p>
        </w:tc>
      </w:tr>
      <w:tr>
        <w:trPr>
          <w:trHeight w:val="960" w:hRule="atLeast"/>
        </w:trPr>
        <w:tc>
          <w:tcPr>
            <w:tcW w:w="1342" w:type="dxa"/>
          </w:tcPr>
          <w:p>
            <w:pPr>
              <w:pStyle w:val="TableParagraph"/>
              <w:ind w:left="200"/>
              <w:rPr>
                <w:sz w:val="20"/>
              </w:rPr>
            </w:pPr>
            <w:r>
              <w:rPr>
                <w:sz w:val="20"/>
              </w:rPr>
              <w:t>PREV 648</w:t>
            </w:r>
          </w:p>
        </w:tc>
        <w:tc>
          <w:tcPr>
            <w:tcW w:w="2686" w:type="dxa"/>
          </w:tcPr>
          <w:p>
            <w:pPr>
              <w:pStyle w:val="TableParagraph"/>
              <w:spacing w:line="249" w:lineRule="auto"/>
              <w:ind w:left="115" w:right="428"/>
              <w:rPr>
                <w:sz w:val="20"/>
              </w:rPr>
            </w:pPr>
            <w:r>
              <w:rPr>
                <w:sz w:val="20"/>
              </w:rPr>
              <w:t>INTRODUCTION TO HEALTH SYSTEM AND HEALTH POLICY</w:t>
            </w:r>
          </w:p>
          <w:p>
            <w:pPr>
              <w:pStyle w:val="TableParagraph"/>
              <w:spacing w:line="219" w:lineRule="exact" w:before="2"/>
              <w:ind w:left="115"/>
              <w:rPr>
                <w:sz w:val="20"/>
              </w:rPr>
            </w:pPr>
            <w:r>
              <w:rPr>
                <w:sz w:val="20"/>
              </w:rPr>
              <w:t>MANAGEMENT</w:t>
            </w:r>
          </w:p>
        </w:tc>
        <w:tc>
          <w:tcPr>
            <w:tcW w:w="931" w:type="dxa"/>
          </w:tcPr>
          <w:p>
            <w:pPr>
              <w:pStyle w:val="TableParagraph"/>
              <w:ind w:right="201"/>
              <w:jc w:val="right"/>
              <w:rPr>
                <w:sz w:val="20"/>
              </w:rPr>
            </w:pPr>
            <w:r>
              <w:rPr>
                <w:w w:val="100"/>
                <w:sz w:val="20"/>
              </w:rPr>
              <w:t>3</w:t>
            </w:r>
          </w:p>
        </w:tc>
      </w:tr>
      <w:tr>
        <w:trPr>
          <w:trHeight w:val="960" w:hRule="atLeast"/>
        </w:trPr>
        <w:tc>
          <w:tcPr>
            <w:tcW w:w="1342" w:type="dxa"/>
          </w:tcPr>
          <w:p>
            <w:pPr>
              <w:pStyle w:val="TableParagraph"/>
              <w:ind w:left="200"/>
              <w:rPr>
                <w:sz w:val="20"/>
              </w:rPr>
            </w:pPr>
            <w:r>
              <w:rPr>
                <w:sz w:val="20"/>
              </w:rPr>
              <w:t>HCAD 640</w:t>
            </w:r>
          </w:p>
        </w:tc>
        <w:tc>
          <w:tcPr>
            <w:tcW w:w="2686" w:type="dxa"/>
          </w:tcPr>
          <w:p>
            <w:pPr>
              <w:pStyle w:val="TableParagraph"/>
              <w:spacing w:line="249" w:lineRule="auto"/>
              <w:ind w:left="115" w:right="667"/>
              <w:rPr>
                <w:sz w:val="20"/>
              </w:rPr>
            </w:pPr>
            <w:r>
              <w:rPr>
                <w:sz w:val="20"/>
              </w:rPr>
              <w:t>FINANCIAL MANAGEMENT FOR HEALTH CARE</w:t>
            </w:r>
          </w:p>
          <w:p>
            <w:pPr>
              <w:pStyle w:val="TableParagraph"/>
              <w:spacing w:line="219" w:lineRule="exact" w:before="2"/>
              <w:ind w:left="115"/>
              <w:rPr>
                <w:sz w:val="20"/>
              </w:rPr>
            </w:pPr>
            <w:r>
              <w:rPr>
                <w:sz w:val="20"/>
              </w:rPr>
              <w:t>ORGANIZATIONS</w:t>
            </w:r>
          </w:p>
        </w:tc>
        <w:tc>
          <w:tcPr>
            <w:tcW w:w="931" w:type="dxa"/>
          </w:tcPr>
          <w:p>
            <w:pPr>
              <w:pStyle w:val="TableParagraph"/>
              <w:ind w:right="201"/>
              <w:jc w:val="right"/>
              <w:rPr>
                <w:sz w:val="20"/>
              </w:rPr>
            </w:pPr>
            <w:r>
              <w:rPr>
                <w:w w:val="100"/>
                <w:sz w:val="20"/>
              </w:rPr>
              <w:t>3</w:t>
            </w:r>
          </w:p>
        </w:tc>
      </w:tr>
      <w:tr>
        <w:trPr>
          <w:trHeight w:val="480" w:hRule="atLeast"/>
        </w:trPr>
        <w:tc>
          <w:tcPr>
            <w:tcW w:w="1342" w:type="dxa"/>
          </w:tcPr>
          <w:p>
            <w:pPr>
              <w:pStyle w:val="TableParagraph"/>
              <w:ind w:left="200"/>
              <w:rPr>
                <w:sz w:val="20"/>
              </w:rPr>
            </w:pPr>
            <w:r>
              <w:rPr>
                <w:sz w:val="20"/>
              </w:rPr>
              <w:t>ECAD 489</w:t>
            </w:r>
          </w:p>
        </w:tc>
        <w:tc>
          <w:tcPr>
            <w:tcW w:w="2686" w:type="dxa"/>
          </w:tcPr>
          <w:p>
            <w:pPr>
              <w:pStyle w:val="TableParagraph"/>
              <w:ind w:left="115"/>
              <w:rPr>
                <w:sz w:val="20"/>
              </w:rPr>
            </w:pPr>
            <w:r>
              <w:rPr>
                <w:sz w:val="20"/>
              </w:rPr>
              <w:t>SEMINAR IN</w:t>
            </w:r>
          </w:p>
          <w:p>
            <w:pPr>
              <w:pStyle w:val="TableParagraph"/>
              <w:spacing w:line="219" w:lineRule="exact" w:before="10"/>
              <w:ind w:left="115"/>
              <w:rPr>
                <w:sz w:val="20"/>
              </w:rPr>
            </w:pPr>
            <w:r>
              <w:rPr>
                <w:sz w:val="20"/>
              </w:rPr>
              <w:t>ADMINISTRATION</w:t>
            </w:r>
          </w:p>
        </w:tc>
        <w:tc>
          <w:tcPr>
            <w:tcW w:w="931" w:type="dxa"/>
          </w:tcPr>
          <w:p>
            <w:pPr>
              <w:pStyle w:val="TableParagraph"/>
              <w:ind w:right="201"/>
              <w:jc w:val="right"/>
              <w:rPr>
                <w:sz w:val="20"/>
              </w:rPr>
            </w:pPr>
            <w:r>
              <w:rPr>
                <w:w w:val="100"/>
                <w:sz w:val="20"/>
              </w:rPr>
              <w:t>3</w:t>
            </w:r>
          </w:p>
        </w:tc>
      </w:tr>
      <w:tr>
        <w:trPr>
          <w:trHeight w:val="480" w:hRule="atLeast"/>
        </w:trPr>
        <w:tc>
          <w:tcPr>
            <w:tcW w:w="1342" w:type="dxa"/>
          </w:tcPr>
          <w:p>
            <w:pPr>
              <w:pStyle w:val="TableParagraph"/>
              <w:ind w:left="200"/>
              <w:rPr>
                <w:sz w:val="20"/>
              </w:rPr>
            </w:pPr>
            <w:r>
              <w:rPr>
                <w:sz w:val="20"/>
              </w:rPr>
              <w:t>MGMT 610</w:t>
            </w:r>
          </w:p>
        </w:tc>
        <w:tc>
          <w:tcPr>
            <w:tcW w:w="2686" w:type="dxa"/>
          </w:tcPr>
          <w:p>
            <w:pPr>
              <w:pStyle w:val="TableParagraph"/>
              <w:ind w:left="115"/>
              <w:rPr>
                <w:sz w:val="20"/>
              </w:rPr>
            </w:pPr>
            <w:r>
              <w:rPr>
                <w:sz w:val="20"/>
              </w:rPr>
              <w:t>THE MANAGER IN A</w:t>
            </w:r>
          </w:p>
          <w:p>
            <w:pPr>
              <w:pStyle w:val="TableParagraph"/>
              <w:spacing w:line="219" w:lineRule="exact" w:before="10"/>
              <w:ind w:left="115"/>
              <w:rPr>
                <w:sz w:val="20"/>
              </w:rPr>
            </w:pPr>
            <w:r>
              <w:rPr>
                <w:sz w:val="20"/>
              </w:rPr>
              <w:t>TEACHNOLOGY SOCIETY</w:t>
            </w:r>
          </w:p>
        </w:tc>
        <w:tc>
          <w:tcPr>
            <w:tcW w:w="931" w:type="dxa"/>
          </w:tcPr>
          <w:p>
            <w:pPr>
              <w:pStyle w:val="TableParagraph"/>
              <w:ind w:right="201"/>
              <w:jc w:val="right"/>
              <w:rPr>
                <w:sz w:val="20"/>
              </w:rPr>
            </w:pPr>
            <w:r>
              <w:rPr>
                <w:w w:val="100"/>
                <w:sz w:val="20"/>
              </w:rPr>
              <w:t>3</w:t>
            </w:r>
          </w:p>
        </w:tc>
      </w:tr>
      <w:tr>
        <w:trPr>
          <w:trHeight w:val="960" w:hRule="atLeast"/>
        </w:trPr>
        <w:tc>
          <w:tcPr>
            <w:tcW w:w="1342" w:type="dxa"/>
          </w:tcPr>
          <w:p>
            <w:pPr>
              <w:pStyle w:val="TableParagraph"/>
              <w:ind w:left="200"/>
              <w:rPr>
                <w:sz w:val="20"/>
              </w:rPr>
            </w:pPr>
            <w:r>
              <w:rPr>
                <w:sz w:val="20"/>
              </w:rPr>
              <w:t>PUBL 615</w:t>
            </w:r>
          </w:p>
        </w:tc>
        <w:tc>
          <w:tcPr>
            <w:tcW w:w="2686" w:type="dxa"/>
          </w:tcPr>
          <w:p>
            <w:pPr>
              <w:pStyle w:val="TableParagraph"/>
              <w:spacing w:line="249" w:lineRule="auto"/>
              <w:ind w:left="115" w:right="806"/>
              <w:rPr>
                <w:sz w:val="20"/>
              </w:rPr>
            </w:pPr>
            <w:r>
              <w:rPr>
                <w:sz w:val="20"/>
              </w:rPr>
              <w:t>MANAGERIAL LEADERSHIP AND COMMUNICATION</w:t>
            </w:r>
          </w:p>
          <w:p>
            <w:pPr>
              <w:pStyle w:val="TableParagraph"/>
              <w:spacing w:line="219" w:lineRule="exact" w:before="2"/>
              <w:ind w:left="115"/>
              <w:rPr>
                <w:sz w:val="20"/>
              </w:rPr>
            </w:pPr>
            <w:r>
              <w:rPr>
                <w:sz w:val="20"/>
              </w:rPr>
              <w:t>SKILLS</w:t>
            </w:r>
          </w:p>
        </w:tc>
        <w:tc>
          <w:tcPr>
            <w:tcW w:w="931" w:type="dxa"/>
          </w:tcPr>
          <w:p>
            <w:pPr>
              <w:pStyle w:val="TableParagraph"/>
              <w:ind w:right="201"/>
              <w:jc w:val="right"/>
              <w:rPr>
                <w:sz w:val="20"/>
              </w:rPr>
            </w:pPr>
            <w:r>
              <w:rPr>
                <w:w w:val="100"/>
                <w:sz w:val="20"/>
              </w:rPr>
              <w:t>3</w:t>
            </w:r>
          </w:p>
        </w:tc>
      </w:tr>
      <w:tr>
        <w:trPr>
          <w:trHeight w:val="720" w:hRule="atLeast"/>
        </w:trPr>
        <w:tc>
          <w:tcPr>
            <w:tcW w:w="1342" w:type="dxa"/>
          </w:tcPr>
          <w:p>
            <w:pPr>
              <w:pStyle w:val="TableParagraph"/>
              <w:ind w:left="200"/>
              <w:rPr>
                <w:sz w:val="20"/>
              </w:rPr>
            </w:pPr>
            <w:r>
              <w:rPr>
                <w:sz w:val="20"/>
              </w:rPr>
              <w:t>TMAN 633</w:t>
            </w:r>
          </w:p>
        </w:tc>
        <w:tc>
          <w:tcPr>
            <w:tcW w:w="2686" w:type="dxa"/>
          </w:tcPr>
          <w:p>
            <w:pPr>
              <w:pStyle w:val="TableParagraph"/>
              <w:spacing w:line="249" w:lineRule="auto"/>
              <w:ind w:left="115" w:right="395"/>
              <w:rPr>
                <w:sz w:val="20"/>
              </w:rPr>
            </w:pPr>
            <w:r>
              <w:rPr>
                <w:sz w:val="20"/>
              </w:rPr>
              <w:t>MANAGING PEOPLE IN TECHNOLOGY BASED</w:t>
            </w:r>
          </w:p>
          <w:p>
            <w:pPr>
              <w:pStyle w:val="TableParagraph"/>
              <w:spacing w:line="219" w:lineRule="exact" w:before="2"/>
              <w:ind w:left="115"/>
              <w:rPr>
                <w:sz w:val="20"/>
              </w:rPr>
            </w:pPr>
            <w:r>
              <w:rPr>
                <w:sz w:val="20"/>
              </w:rPr>
              <w:t>ORGANIZATIONS</w:t>
            </w:r>
          </w:p>
        </w:tc>
        <w:tc>
          <w:tcPr>
            <w:tcW w:w="931" w:type="dxa"/>
          </w:tcPr>
          <w:p>
            <w:pPr>
              <w:pStyle w:val="TableParagraph"/>
              <w:ind w:right="201"/>
              <w:jc w:val="right"/>
              <w:rPr>
                <w:sz w:val="20"/>
              </w:rPr>
            </w:pPr>
            <w:r>
              <w:rPr>
                <w:w w:val="100"/>
                <w:sz w:val="20"/>
              </w:rPr>
              <w:t>3</w:t>
            </w:r>
          </w:p>
        </w:tc>
      </w:tr>
      <w:tr>
        <w:trPr>
          <w:trHeight w:val="479" w:hRule="atLeast"/>
        </w:trPr>
        <w:tc>
          <w:tcPr>
            <w:tcW w:w="1342" w:type="dxa"/>
          </w:tcPr>
          <w:p>
            <w:pPr>
              <w:pStyle w:val="TableParagraph"/>
              <w:ind w:left="200"/>
              <w:rPr>
                <w:sz w:val="20"/>
              </w:rPr>
            </w:pPr>
            <w:r>
              <w:rPr>
                <w:sz w:val="20"/>
              </w:rPr>
              <w:t>MGMT 650</w:t>
            </w:r>
          </w:p>
        </w:tc>
        <w:tc>
          <w:tcPr>
            <w:tcW w:w="2686" w:type="dxa"/>
          </w:tcPr>
          <w:p>
            <w:pPr>
              <w:pStyle w:val="TableParagraph"/>
              <w:ind w:left="115"/>
              <w:rPr>
                <w:sz w:val="20"/>
              </w:rPr>
            </w:pPr>
            <w:r>
              <w:rPr>
                <w:sz w:val="20"/>
              </w:rPr>
              <w:t>RESEARCH METHODS</w:t>
            </w:r>
          </w:p>
          <w:p>
            <w:pPr>
              <w:pStyle w:val="TableParagraph"/>
              <w:spacing w:line="219" w:lineRule="exact" w:before="10"/>
              <w:ind w:left="115"/>
              <w:rPr>
                <w:sz w:val="20"/>
              </w:rPr>
            </w:pPr>
            <w:r>
              <w:rPr>
                <w:sz w:val="20"/>
              </w:rPr>
              <w:t>FOR MANAGERS</w:t>
            </w:r>
          </w:p>
        </w:tc>
        <w:tc>
          <w:tcPr>
            <w:tcW w:w="931" w:type="dxa"/>
          </w:tcPr>
          <w:p>
            <w:pPr>
              <w:pStyle w:val="TableParagraph"/>
              <w:ind w:right="201"/>
              <w:jc w:val="right"/>
              <w:rPr>
                <w:sz w:val="20"/>
              </w:rPr>
            </w:pPr>
            <w:r>
              <w:rPr>
                <w:w w:val="100"/>
                <w:sz w:val="20"/>
              </w:rPr>
              <w:t>3</w:t>
            </w:r>
          </w:p>
        </w:tc>
      </w:tr>
      <w:tr>
        <w:trPr>
          <w:trHeight w:val="711" w:hRule="atLeast"/>
        </w:trPr>
        <w:tc>
          <w:tcPr>
            <w:tcW w:w="1342" w:type="dxa"/>
          </w:tcPr>
          <w:p>
            <w:pPr>
              <w:pStyle w:val="TableParagraph"/>
              <w:ind w:left="200"/>
              <w:rPr>
                <w:sz w:val="20"/>
              </w:rPr>
            </w:pPr>
            <w:r>
              <w:rPr>
                <w:sz w:val="20"/>
              </w:rPr>
              <w:t>HRMD 610</w:t>
            </w:r>
          </w:p>
        </w:tc>
        <w:tc>
          <w:tcPr>
            <w:tcW w:w="2686" w:type="dxa"/>
          </w:tcPr>
          <w:p>
            <w:pPr>
              <w:pStyle w:val="TableParagraph"/>
              <w:spacing w:line="249" w:lineRule="auto"/>
              <w:ind w:left="115" w:right="272"/>
              <w:rPr>
                <w:sz w:val="20"/>
              </w:rPr>
            </w:pPr>
            <w:r>
              <w:rPr>
                <w:sz w:val="20"/>
              </w:rPr>
              <w:t>ISSUES AND PRACTICES IN HUMAN RESOURCE</w:t>
            </w:r>
          </w:p>
          <w:p>
            <w:pPr>
              <w:pStyle w:val="TableParagraph"/>
              <w:spacing w:line="210" w:lineRule="exact" w:before="2"/>
              <w:ind w:left="115"/>
              <w:rPr>
                <w:sz w:val="20"/>
              </w:rPr>
            </w:pPr>
            <w:r>
              <w:rPr>
                <w:sz w:val="20"/>
              </w:rPr>
              <w:t>MANGEMENT</w:t>
            </w:r>
          </w:p>
        </w:tc>
        <w:tc>
          <w:tcPr>
            <w:tcW w:w="931" w:type="dxa"/>
          </w:tcPr>
          <w:p>
            <w:pPr>
              <w:pStyle w:val="TableParagraph"/>
              <w:ind w:right="201"/>
              <w:jc w:val="right"/>
              <w:rPr>
                <w:sz w:val="20"/>
              </w:rPr>
            </w:pPr>
            <w:r>
              <w:rPr>
                <w:w w:val="100"/>
                <w:sz w:val="20"/>
              </w:rPr>
              <w:t>3</w:t>
            </w:r>
          </w:p>
        </w:tc>
      </w:tr>
    </w:tbl>
    <w:p>
      <w:pPr>
        <w:spacing w:after="0"/>
        <w:jc w:val="right"/>
        <w:rPr>
          <w:sz w:val="20"/>
        </w:rPr>
        <w:sectPr>
          <w:type w:val="continuous"/>
          <w:pgSz w:w="12240" w:h="15840"/>
          <w:pgMar w:top="1500" w:bottom="280" w:left="880" w:right="300"/>
        </w:sectPr>
      </w:pPr>
    </w:p>
    <w:p>
      <w:pPr>
        <w:pStyle w:val="Heading3"/>
        <w:ind w:right="86"/>
      </w:pPr>
      <w:bookmarkStart w:name="Medical Cannabis Science and Therapeutic" w:id="65"/>
      <w:bookmarkEnd w:id="65"/>
      <w:r>
        <w:rPr/>
      </w:r>
      <w:bookmarkStart w:name="_bookmark32" w:id="66"/>
      <w:bookmarkEnd w:id="66"/>
      <w:r>
        <w:rPr/>
      </w:r>
      <w:r>
        <w:rPr/>
        <w:t>Medical Cannabis Science and Therapeutics</w:t>
      </w:r>
    </w:p>
    <w:p>
      <w:pPr>
        <w:pStyle w:val="BodyText"/>
        <w:spacing w:line="249" w:lineRule="auto" w:before="190"/>
        <w:ind w:right="475"/>
      </w:pPr>
      <w:hyperlink r:id="rId67">
        <w:r>
          <w:rPr>
            <w:color w:val="0000FF"/>
            <w:u w:val="single" w:color="0000FF"/>
          </w:rPr>
          <w:t>https://www.pharmacy.umaryland.edu/academics/ms-</w:t>
        </w:r>
      </w:hyperlink>
      <w:r>
        <w:rPr>
          <w:color w:val="0000FF"/>
        </w:rPr>
        <w:t> </w:t>
      </w:r>
      <w:hyperlink r:id="rId67">
        <w:r>
          <w:rPr>
            <w:color w:val="0000FF"/>
            <w:u w:val="single" w:color="0000FF"/>
          </w:rPr>
          <w:t>medical-cannabis-science-and-therapeutics/</w:t>
        </w:r>
      </w:hyperlink>
    </w:p>
    <w:p>
      <w:pPr>
        <w:pStyle w:val="Heading6"/>
        <w:spacing w:before="179"/>
      </w:pPr>
      <w:r>
        <w:rPr/>
        <w:t>Degree Offered</w:t>
      </w:r>
    </w:p>
    <w:p>
      <w:pPr>
        <w:pStyle w:val="BodyText"/>
        <w:spacing w:before="192"/>
      </w:pPr>
      <w:r>
        <w:rPr/>
        <w:t>MS</w:t>
      </w:r>
    </w:p>
    <w:p>
      <w:pPr>
        <w:pStyle w:val="Heading6"/>
        <w:spacing w:before="188"/>
      </w:pPr>
      <w:r>
        <w:rPr/>
        <w:t>Program Description</w:t>
      </w:r>
    </w:p>
    <w:p>
      <w:pPr>
        <w:pStyle w:val="BodyText"/>
        <w:spacing w:line="249" w:lineRule="auto" w:before="192"/>
        <w:ind w:left="199" w:right="38"/>
      </w:pPr>
      <w:r>
        <w:rPr/>
        <w:t>The Master </w:t>
      </w:r>
      <w:r>
        <w:rPr>
          <w:spacing w:val="-3"/>
        </w:rPr>
        <w:t>of </w:t>
      </w:r>
      <w:r>
        <w:rPr/>
        <w:t>Science program in Medical Cannabis Science and Therapeutics provides students </w:t>
      </w:r>
      <w:r>
        <w:rPr>
          <w:spacing w:val="-3"/>
        </w:rPr>
        <w:t>with </w:t>
      </w:r>
      <w:r>
        <w:rPr/>
        <w:t>experiences designed to </w:t>
      </w:r>
      <w:r>
        <w:rPr>
          <w:spacing w:val="-3"/>
        </w:rPr>
        <w:t>foster </w:t>
      </w:r>
      <w:r>
        <w:rPr/>
        <w:t>a deeper knowledge and understanding </w:t>
      </w:r>
      <w:r>
        <w:rPr>
          <w:spacing w:val="-3"/>
        </w:rPr>
        <w:t>of </w:t>
      </w:r>
      <w:r>
        <w:rPr/>
        <w:t>the science, clinical therapeutics, and policy related to medical cannabis. The </w:t>
      </w:r>
      <w:r>
        <w:rPr>
          <w:spacing w:val="-3"/>
        </w:rPr>
        <w:t>four </w:t>
      </w:r>
      <w:r>
        <w:rPr/>
        <w:t>core required courses in the program </w:t>
      </w:r>
      <w:r>
        <w:rPr>
          <w:spacing w:val="-3"/>
        </w:rPr>
        <w:t>cover </w:t>
      </w:r>
      <w:r>
        <w:rPr/>
        <w:t>the principles </w:t>
      </w:r>
      <w:r>
        <w:rPr>
          <w:spacing w:val="-3"/>
        </w:rPr>
        <w:t>of </w:t>
      </w:r>
      <w:r>
        <w:rPr/>
        <w:t>drug action and cannabinoid pharmacology; cannabinoid chemistry and drug delivery; clinical uses and </w:t>
      </w:r>
      <w:r>
        <w:rPr>
          <w:spacing w:val="-3"/>
        </w:rPr>
        <w:t>effects </w:t>
      </w:r>
      <w:r>
        <w:rPr/>
        <w:t>of medical cannabis; and an overview of current state and federal </w:t>
      </w:r>
      <w:r>
        <w:rPr>
          <w:spacing w:val="-3"/>
        </w:rPr>
        <w:t>laws </w:t>
      </w:r>
      <w:r>
        <w:rPr/>
        <w:t>and regulations along </w:t>
      </w:r>
      <w:r>
        <w:rPr>
          <w:spacing w:val="-3"/>
        </w:rPr>
        <w:t>with </w:t>
      </w:r>
      <w:r>
        <w:rPr/>
        <w:t>a historical overview of medical cannabis use. Students also take </w:t>
      </w:r>
      <w:r>
        <w:rPr>
          <w:spacing w:val="-3"/>
        </w:rPr>
        <w:t>four </w:t>
      </w:r>
      <w:r>
        <w:rPr/>
        <w:t>elective courses followed by two final advanced courses (Research Methodology and Expert Seminars and</w:t>
      </w:r>
      <w:r>
        <w:rPr>
          <w:spacing w:val="-17"/>
        </w:rPr>
        <w:t> </w:t>
      </w:r>
      <w:r>
        <w:rPr/>
        <w:t>Discussion).</w:t>
      </w:r>
    </w:p>
    <w:p>
      <w:pPr>
        <w:pStyle w:val="BodyText"/>
        <w:spacing w:line="249" w:lineRule="auto" w:before="10"/>
        <w:ind w:left="199" w:right="135"/>
      </w:pPr>
      <w:r>
        <w:rPr/>
        <w:t>Students may choose to take elective courses in the basic sciences, therapeutics, or policy. The program blends online and face-to-face instruction, and includes both synchronous (e.g., live) and asynchronous (e.g., pre- recorded) lectures, readings, and reflections, along with active learning elements, including discussion boards and individual and group assignments. The program is offered at the Universities at Shady Grove through the University of Maryland, Baltimore.</w:t>
      </w:r>
    </w:p>
    <w:p>
      <w:pPr>
        <w:pStyle w:val="Heading6"/>
        <w:spacing w:before="184"/>
        <w:ind w:left="199"/>
      </w:pPr>
      <w:r>
        <w:rPr/>
        <w:t>Program Admission</w:t>
      </w:r>
    </w:p>
    <w:p>
      <w:pPr>
        <w:pStyle w:val="BodyText"/>
        <w:spacing w:line="249" w:lineRule="auto" w:before="192"/>
        <w:ind w:left="199" w:right="39"/>
      </w:pPr>
      <w:r>
        <w:rPr/>
        <w:t>Targeted students include health care practitioners, scientists, growers, policy professionals, and others </w:t>
      </w:r>
      <w:r>
        <w:rPr>
          <w:spacing w:val="-3"/>
        </w:rPr>
        <w:t>with </w:t>
      </w:r>
      <w:r>
        <w:rPr/>
        <w:t>an interest in medical cannabis. Candidates </w:t>
      </w:r>
      <w:r>
        <w:rPr>
          <w:spacing w:val="-4"/>
        </w:rPr>
        <w:t>for </w:t>
      </w:r>
      <w:r>
        <w:rPr/>
        <w:t>admission must meet the minimum qualifications and standards established </w:t>
      </w:r>
      <w:r>
        <w:rPr>
          <w:spacing w:val="-3"/>
        </w:rPr>
        <w:t>by </w:t>
      </w:r>
      <w:r>
        <w:rPr/>
        <w:t>the Graduate </w:t>
      </w:r>
      <w:r>
        <w:rPr>
          <w:spacing w:val="-3"/>
        </w:rPr>
        <w:t>School </w:t>
      </w:r>
      <w:r>
        <w:rPr/>
        <w:t>including an earned baccalaureate degree </w:t>
      </w:r>
      <w:r>
        <w:rPr>
          <w:spacing w:val="-3"/>
        </w:rPr>
        <w:t>or </w:t>
      </w:r>
      <w:r>
        <w:rPr/>
        <w:t>equivalent education and training from an overseas institution. Graduate </w:t>
      </w:r>
      <w:r>
        <w:rPr>
          <w:spacing w:val="-3"/>
        </w:rPr>
        <w:t>Record </w:t>
      </w:r>
      <w:r>
        <w:rPr/>
        <w:t>Examinations scores are not required </w:t>
      </w:r>
      <w:r>
        <w:rPr>
          <w:spacing w:val="-4"/>
        </w:rPr>
        <w:t>for </w:t>
      </w:r>
      <w:r>
        <w:rPr/>
        <w:t>admission.</w:t>
      </w:r>
    </w:p>
    <w:p>
      <w:pPr>
        <w:pStyle w:val="BodyText"/>
        <w:spacing w:line="249" w:lineRule="auto" w:before="6"/>
        <w:ind w:right="86"/>
      </w:pPr>
      <w:r>
        <w:rPr/>
        <w:t>International applicants must meet the minimum English language proficiency requirements set by the Graduate School.</w:t>
      </w:r>
    </w:p>
    <w:p>
      <w:pPr>
        <w:pStyle w:val="Heading6"/>
        <w:spacing w:before="180"/>
      </w:pPr>
      <w:r>
        <w:rPr/>
        <w:t>Degree Requirements</w:t>
      </w:r>
    </w:p>
    <w:p>
      <w:pPr>
        <w:pStyle w:val="BodyText"/>
        <w:spacing w:line="249" w:lineRule="auto" w:before="192"/>
        <w:ind w:right="40"/>
      </w:pPr>
      <w:r>
        <w:rPr/>
        <w:t>The master’s degree program requires the successful completion of all required and elective coursework totaling 30 credits. Students must maintain a minimum, cumulative</w:t>
      </w:r>
    </w:p>
    <w:p>
      <w:pPr>
        <w:pStyle w:val="BodyText"/>
        <w:spacing w:line="249" w:lineRule="auto" w:before="96"/>
        <w:ind w:left="199" w:right="638"/>
      </w:pPr>
      <w:r>
        <w:rPr/>
        <w:br w:type="column"/>
      </w:r>
      <w:r>
        <w:rPr/>
        <w:t>grade-point average of 3.0 on a 4.0 scale to remain in good standing in the program. Complete guidelines and requirements for progression and completion are outlined in the Degree Requirements section of this catalog.</w:t>
      </w:r>
    </w:p>
    <w:p>
      <w:pPr>
        <w:pStyle w:val="Heading5"/>
        <w:spacing w:before="175"/>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2"/>
        <w:gridCol w:w="3031"/>
        <w:gridCol w:w="627"/>
      </w:tblGrid>
      <w:tr>
        <w:trPr>
          <w:trHeight w:val="951" w:hRule="atLeast"/>
        </w:trPr>
        <w:tc>
          <w:tcPr>
            <w:tcW w:w="1292" w:type="dxa"/>
          </w:tcPr>
          <w:p>
            <w:pPr>
              <w:pStyle w:val="TableParagraph"/>
              <w:spacing w:line="223" w:lineRule="exact" w:before="0"/>
              <w:ind w:left="181" w:right="123"/>
              <w:jc w:val="center"/>
              <w:rPr>
                <w:sz w:val="20"/>
              </w:rPr>
            </w:pPr>
            <w:r>
              <w:rPr>
                <w:sz w:val="20"/>
              </w:rPr>
              <w:t>MCST 601</w:t>
            </w:r>
          </w:p>
        </w:tc>
        <w:tc>
          <w:tcPr>
            <w:tcW w:w="3031" w:type="dxa"/>
          </w:tcPr>
          <w:p>
            <w:pPr>
              <w:pStyle w:val="TableParagraph"/>
              <w:spacing w:line="249" w:lineRule="auto" w:before="0"/>
              <w:ind w:left="141" w:right="447"/>
              <w:rPr>
                <w:sz w:val="20"/>
              </w:rPr>
            </w:pPr>
            <w:r>
              <w:rPr>
                <w:sz w:val="20"/>
              </w:rPr>
              <w:t>INTRODUCTION TO MEDICAL CANNABIS HISTORY, CULTURE, AND</w:t>
            </w:r>
          </w:p>
          <w:p>
            <w:pPr>
              <w:pStyle w:val="TableParagraph"/>
              <w:spacing w:line="219" w:lineRule="exact" w:before="0"/>
              <w:ind w:left="141"/>
              <w:rPr>
                <w:sz w:val="20"/>
              </w:rPr>
            </w:pPr>
            <w:r>
              <w:rPr>
                <w:sz w:val="20"/>
              </w:rPr>
              <w:t>POLICY</w:t>
            </w:r>
          </w:p>
        </w:tc>
        <w:tc>
          <w:tcPr>
            <w:tcW w:w="627" w:type="dxa"/>
          </w:tcPr>
          <w:p>
            <w:pPr>
              <w:pStyle w:val="TableParagraph"/>
              <w:spacing w:line="223" w:lineRule="exact" w:before="0"/>
              <w:ind w:right="197"/>
              <w:jc w:val="right"/>
              <w:rPr>
                <w:sz w:val="20"/>
              </w:rPr>
            </w:pPr>
            <w:r>
              <w:rPr>
                <w:w w:val="100"/>
                <w:sz w:val="20"/>
              </w:rPr>
              <w:t>3</w:t>
            </w:r>
          </w:p>
        </w:tc>
      </w:tr>
      <w:tr>
        <w:trPr>
          <w:trHeight w:val="960" w:hRule="atLeast"/>
        </w:trPr>
        <w:tc>
          <w:tcPr>
            <w:tcW w:w="1292" w:type="dxa"/>
          </w:tcPr>
          <w:p>
            <w:pPr>
              <w:pStyle w:val="TableParagraph"/>
              <w:ind w:left="181" w:right="123"/>
              <w:jc w:val="center"/>
              <w:rPr>
                <w:sz w:val="20"/>
              </w:rPr>
            </w:pPr>
            <w:r>
              <w:rPr>
                <w:sz w:val="20"/>
              </w:rPr>
              <w:t>MCST 602</w:t>
            </w:r>
          </w:p>
        </w:tc>
        <w:tc>
          <w:tcPr>
            <w:tcW w:w="3031" w:type="dxa"/>
          </w:tcPr>
          <w:p>
            <w:pPr>
              <w:pStyle w:val="TableParagraph"/>
              <w:spacing w:line="249" w:lineRule="auto"/>
              <w:ind w:left="141" w:right="825"/>
              <w:rPr>
                <w:sz w:val="20"/>
              </w:rPr>
            </w:pPr>
            <w:r>
              <w:rPr>
                <w:sz w:val="20"/>
              </w:rPr>
              <w:t>PRINCIPLES OF DRUG ACTION AND CANNABINOID</w:t>
            </w:r>
          </w:p>
          <w:p>
            <w:pPr>
              <w:pStyle w:val="TableParagraph"/>
              <w:spacing w:line="219" w:lineRule="exact" w:before="2"/>
              <w:ind w:left="141"/>
              <w:rPr>
                <w:sz w:val="20"/>
              </w:rPr>
            </w:pPr>
            <w:r>
              <w:rPr>
                <w:sz w:val="20"/>
              </w:rPr>
              <w:t>PHARMACOLOGY</w:t>
            </w:r>
          </w:p>
        </w:tc>
        <w:tc>
          <w:tcPr>
            <w:tcW w:w="627" w:type="dxa"/>
          </w:tcPr>
          <w:p>
            <w:pPr>
              <w:pStyle w:val="TableParagraph"/>
              <w:ind w:right="197"/>
              <w:jc w:val="right"/>
              <w:rPr>
                <w:sz w:val="20"/>
              </w:rPr>
            </w:pPr>
            <w:r>
              <w:rPr>
                <w:w w:val="100"/>
                <w:sz w:val="20"/>
              </w:rPr>
              <w:t>3</w:t>
            </w:r>
          </w:p>
        </w:tc>
      </w:tr>
      <w:tr>
        <w:trPr>
          <w:trHeight w:val="720" w:hRule="atLeast"/>
        </w:trPr>
        <w:tc>
          <w:tcPr>
            <w:tcW w:w="1292" w:type="dxa"/>
          </w:tcPr>
          <w:p>
            <w:pPr>
              <w:pStyle w:val="TableParagraph"/>
              <w:ind w:left="181" w:right="123"/>
              <w:jc w:val="center"/>
              <w:rPr>
                <w:sz w:val="20"/>
              </w:rPr>
            </w:pPr>
            <w:r>
              <w:rPr>
                <w:sz w:val="20"/>
              </w:rPr>
              <w:t>MCST 603</w:t>
            </w:r>
          </w:p>
        </w:tc>
        <w:tc>
          <w:tcPr>
            <w:tcW w:w="3031" w:type="dxa"/>
          </w:tcPr>
          <w:p>
            <w:pPr>
              <w:pStyle w:val="TableParagraph"/>
              <w:spacing w:line="249" w:lineRule="auto"/>
              <w:ind w:left="141" w:right="614"/>
              <w:rPr>
                <w:sz w:val="20"/>
              </w:rPr>
            </w:pPr>
            <w:r>
              <w:rPr>
                <w:sz w:val="20"/>
              </w:rPr>
              <w:t>BASIC CANNABINOID CHEMISTRY AND DRUG</w:t>
            </w:r>
          </w:p>
          <w:p>
            <w:pPr>
              <w:pStyle w:val="TableParagraph"/>
              <w:spacing w:line="219" w:lineRule="exact" w:before="2"/>
              <w:ind w:left="141"/>
              <w:rPr>
                <w:sz w:val="20"/>
              </w:rPr>
            </w:pPr>
            <w:r>
              <w:rPr>
                <w:sz w:val="20"/>
              </w:rPr>
              <w:t>DELIVERY</w:t>
            </w:r>
          </w:p>
        </w:tc>
        <w:tc>
          <w:tcPr>
            <w:tcW w:w="627" w:type="dxa"/>
          </w:tcPr>
          <w:p>
            <w:pPr>
              <w:pStyle w:val="TableParagraph"/>
              <w:ind w:right="197"/>
              <w:jc w:val="right"/>
              <w:rPr>
                <w:sz w:val="20"/>
              </w:rPr>
            </w:pPr>
            <w:r>
              <w:rPr>
                <w:w w:val="100"/>
                <w:sz w:val="20"/>
              </w:rPr>
              <w:t>3</w:t>
            </w:r>
          </w:p>
        </w:tc>
      </w:tr>
      <w:tr>
        <w:trPr>
          <w:trHeight w:val="480" w:hRule="atLeast"/>
        </w:trPr>
        <w:tc>
          <w:tcPr>
            <w:tcW w:w="1292" w:type="dxa"/>
          </w:tcPr>
          <w:p>
            <w:pPr>
              <w:pStyle w:val="TableParagraph"/>
              <w:ind w:left="181" w:right="123"/>
              <w:jc w:val="center"/>
              <w:rPr>
                <w:sz w:val="20"/>
              </w:rPr>
            </w:pPr>
            <w:r>
              <w:rPr>
                <w:sz w:val="20"/>
              </w:rPr>
              <w:t>MCST 604</w:t>
            </w:r>
          </w:p>
        </w:tc>
        <w:tc>
          <w:tcPr>
            <w:tcW w:w="3031" w:type="dxa"/>
          </w:tcPr>
          <w:p>
            <w:pPr>
              <w:pStyle w:val="TableParagraph"/>
              <w:ind w:left="141"/>
              <w:rPr>
                <w:sz w:val="20"/>
              </w:rPr>
            </w:pPr>
            <w:r>
              <w:rPr>
                <w:sz w:val="20"/>
              </w:rPr>
              <w:t>THE CLINICAL EFFECTS OF</w:t>
            </w:r>
          </w:p>
          <w:p>
            <w:pPr>
              <w:pStyle w:val="TableParagraph"/>
              <w:spacing w:line="219" w:lineRule="exact" w:before="10"/>
              <w:ind w:left="141"/>
              <w:rPr>
                <w:sz w:val="20"/>
              </w:rPr>
            </w:pPr>
            <w:r>
              <w:rPr>
                <w:sz w:val="20"/>
              </w:rPr>
              <w:t>MEDICAL CANNABIS</w:t>
            </w:r>
          </w:p>
        </w:tc>
        <w:tc>
          <w:tcPr>
            <w:tcW w:w="627" w:type="dxa"/>
          </w:tcPr>
          <w:p>
            <w:pPr>
              <w:pStyle w:val="TableParagraph"/>
              <w:ind w:right="197"/>
              <w:jc w:val="right"/>
              <w:rPr>
                <w:sz w:val="20"/>
              </w:rPr>
            </w:pPr>
            <w:r>
              <w:rPr>
                <w:w w:val="100"/>
                <w:sz w:val="20"/>
              </w:rPr>
              <w:t>3</w:t>
            </w:r>
          </w:p>
        </w:tc>
      </w:tr>
      <w:tr>
        <w:trPr>
          <w:trHeight w:val="480" w:hRule="atLeast"/>
        </w:trPr>
        <w:tc>
          <w:tcPr>
            <w:tcW w:w="1292" w:type="dxa"/>
          </w:tcPr>
          <w:p>
            <w:pPr>
              <w:pStyle w:val="TableParagraph"/>
              <w:ind w:left="181" w:right="123"/>
              <w:jc w:val="center"/>
              <w:rPr>
                <w:sz w:val="20"/>
              </w:rPr>
            </w:pPr>
            <w:r>
              <w:rPr>
                <w:sz w:val="20"/>
              </w:rPr>
              <w:t>MCST 605</w:t>
            </w:r>
          </w:p>
        </w:tc>
        <w:tc>
          <w:tcPr>
            <w:tcW w:w="3031" w:type="dxa"/>
          </w:tcPr>
          <w:p>
            <w:pPr>
              <w:pStyle w:val="TableParagraph"/>
              <w:ind w:left="141"/>
              <w:rPr>
                <w:sz w:val="20"/>
              </w:rPr>
            </w:pPr>
            <w:r>
              <w:rPr>
                <w:sz w:val="20"/>
              </w:rPr>
              <w:t>ADVANCED CANNABIS</w:t>
            </w:r>
          </w:p>
          <w:p>
            <w:pPr>
              <w:pStyle w:val="TableParagraph"/>
              <w:spacing w:line="219" w:lineRule="exact" w:before="10"/>
              <w:ind w:left="141"/>
              <w:rPr>
                <w:sz w:val="20"/>
              </w:rPr>
            </w:pPr>
            <w:r>
              <w:rPr>
                <w:sz w:val="20"/>
              </w:rPr>
              <w:t>THERAPEUTICS I</w:t>
            </w:r>
          </w:p>
        </w:tc>
        <w:tc>
          <w:tcPr>
            <w:tcW w:w="627" w:type="dxa"/>
          </w:tcPr>
          <w:p>
            <w:pPr>
              <w:pStyle w:val="TableParagraph"/>
              <w:ind w:right="197"/>
              <w:jc w:val="right"/>
              <w:rPr>
                <w:sz w:val="20"/>
              </w:rPr>
            </w:pPr>
            <w:r>
              <w:rPr>
                <w:w w:val="100"/>
                <w:sz w:val="20"/>
              </w:rPr>
              <w:t>3</w:t>
            </w:r>
          </w:p>
        </w:tc>
      </w:tr>
      <w:tr>
        <w:trPr>
          <w:trHeight w:val="480" w:hRule="atLeast"/>
        </w:trPr>
        <w:tc>
          <w:tcPr>
            <w:tcW w:w="1292" w:type="dxa"/>
          </w:tcPr>
          <w:p>
            <w:pPr>
              <w:pStyle w:val="TableParagraph"/>
              <w:ind w:left="154" w:right="149"/>
              <w:jc w:val="center"/>
              <w:rPr>
                <w:sz w:val="20"/>
              </w:rPr>
            </w:pPr>
            <w:r>
              <w:rPr>
                <w:sz w:val="20"/>
              </w:rPr>
              <w:t>MCST 606</w:t>
            </w:r>
          </w:p>
        </w:tc>
        <w:tc>
          <w:tcPr>
            <w:tcW w:w="3031" w:type="dxa"/>
          </w:tcPr>
          <w:p>
            <w:pPr>
              <w:pStyle w:val="TableParagraph"/>
              <w:ind w:left="141"/>
              <w:rPr>
                <w:sz w:val="20"/>
              </w:rPr>
            </w:pPr>
            <w:r>
              <w:rPr>
                <w:sz w:val="20"/>
              </w:rPr>
              <w:t>ADVANCED CANNABIS</w:t>
            </w:r>
          </w:p>
          <w:p>
            <w:pPr>
              <w:pStyle w:val="TableParagraph"/>
              <w:spacing w:line="219" w:lineRule="exact" w:before="10"/>
              <w:ind w:left="141"/>
              <w:rPr>
                <w:sz w:val="20"/>
              </w:rPr>
            </w:pPr>
            <w:r>
              <w:rPr>
                <w:sz w:val="20"/>
              </w:rPr>
              <w:t>THERAPEUTICS II</w:t>
            </w:r>
          </w:p>
        </w:tc>
        <w:tc>
          <w:tcPr>
            <w:tcW w:w="627" w:type="dxa"/>
          </w:tcPr>
          <w:p>
            <w:pPr>
              <w:pStyle w:val="TableParagraph"/>
              <w:ind w:right="197"/>
              <w:jc w:val="right"/>
              <w:rPr>
                <w:sz w:val="20"/>
              </w:rPr>
            </w:pPr>
            <w:r>
              <w:rPr>
                <w:w w:val="100"/>
                <w:sz w:val="20"/>
              </w:rPr>
              <w:t>3</w:t>
            </w:r>
          </w:p>
        </w:tc>
      </w:tr>
      <w:tr>
        <w:trPr>
          <w:trHeight w:val="480" w:hRule="atLeast"/>
        </w:trPr>
        <w:tc>
          <w:tcPr>
            <w:tcW w:w="1292" w:type="dxa"/>
          </w:tcPr>
          <w:p>
            <w:pPr>
              <w:pStyle w:val="TableParagraph"/>
              <w:ind w:left="154" w:right="149"/>
              <w:jc w:val="center"/>
              <w:rPr>
                <w:sz w:val="20"/>
              </w:rPr>
            </w:pPr>
            <w:r>
              <w:rPr>
                <w:sz w:val="20"/>
              </w:rPr>
              <w:t>MCST 607</w:t>
            </w:r>
          </w:p>
        </w:tc>
        <w:tc>
          <w:tcPr>
            <w:tcW w:w="3031" w:type="dxa"/>
          </w:tcPr>
          <w:p>
            <w:pPr>
              <w:pStyle w:val="TableParagraph"/>
              <w:ind w:left="141"/>
              <w:rPr>
                <w:sz w:val="20"/>
              </w:rPr>
            </w:pPr>
            <w:r>
              <w:rPr>
                <w:sz w:val="20"/>
              </w:rPr>
              <w:t>NEGATIVE EFFECTS OF</w:t>
            </w:r>
          </w:p>
          <w:p>
            <w:pPr>
              <w:pStyle w:val="TableParagraph"/>
              <w:spacing w:line="219" w:lineRule="exact" w:before="10"/>
              <w:ind w:left="141"/>
              <w:rPr>
                <w:sz w:val="20"/>
              </w:rPr>
            </w:pPr>
            <w:r>
              <w:rPr>
                <w:sz w:val="20"/>
              </w:rPr>
              <w:t>CANNABIS</w:t>
            </w:r>
          </w:p>
        </w:tc>
        <w:tc>
          <w:tcPr>
            <w:tcW w:w="627" w:type="dxa"/>
          </w:tcPr>
          <w:p>
            <w:pPr>
              <w:pStyle w:val="TableParagraph"/>
              <w:ind w:right="197"/>
              <w:jc w:val="right"/>
              <w:rPr>
                <w:sz w:val="20"/>
              </w:rPr>
            </w:pPr>
            <w:r>
              <w:rPr>
                <w:w w:val="100"/>
                <w:sz w:val="20"/>
              </w:rPr>
              <w:t>3</w:t>
            </w:r>
          </w:p>
        </w:tc>
      </w:tr>
      <w:tr>
        <w:trPr>
          <w:trHeight w:val="480" w:hRule="atLeast"/>
        </w:trPr>
        <w:tc>
          <w:tcPr>
            <w:tcW w:w="1292" w:type="dxa"/>
          </w:tcPr>
          <w:p>
            <w:pPr>
              <w:pStyle w:val="TableParagraph"/>
              <w:ind w:left="181" w:right="123"/>
              <w:jc w:val="center"/>
              <w:rPr>
                <w:sz w:val="20"/>
              </w:rPr>
            </w:pPr>
            <w:r>
              <w:rPr>
                <w:sz w:val="20"/>
              </w:rPr>
              <w:t>MCST 608</w:t>
            </w:r>
          </w:p>
        </w:tc>
        <w:tc>
          <w:tcPr>
            <w:tcW w:w="3031" w:type="dxa"/>
          </w:tcPr>
          <w:p>
            <w:pPr>
              <w:pStyle w:val="TableParagraph"/>
              <w:ind w:left="141"/>
              <w:rPr>
                <w:sz w:val="20"/>
              </w:rPr>
            </w:pPr>
            <w:r>
              <w:rPr>
                <w:sz w:val="20"/>
              </w:rPr>
              <w:t>CANNABIS GENOMICS</w:t>
            </w:r>
          </w:p>
          <w:p>
            <w:pPr>
              <w:pStyle w:val="TableParagraph"/>
              <w:spacing w:line="219" w:lineRule="exact" w:before="10"/>
              <w:ind w:left="141"/>
              <w:rPr>
                <w:sz w:val="20"/>
              </w:rPr>
            </w:pPr>
            <w:r>
              <w:rPr>
                <w:sz w:val="20"/>
              </w:rPr>
              <w:t>AND PHARMACOGNOSY</w:t>
            </w:r>
          </w:p>
        </w:tc>
        <w:tc>
          <w:tcPr>
            <w:tcW w:w="627" w:type="dxa"/>
          </w:tcPr>
          <w:p>
            <w:pPr>
              <w:pStyle w:val="TableParagraph"/>
              <w:ind w:right="197"/>
              <w:jc w:val="right"/>
              <w:rPr>
                <w:sz w:val="20"/>
              </w:rPr>
            </w:pPr>
            <w:r>
              <w:rPr>
                <w:w w:val="100"/>
                <w:sz w:val="20"/>
              </w:rPr>
              <w:t>3</w:t>
            </w:r>
          </w:p>
        </w:tc>
      </w:tr>
      <w:tr>
        <w:trPr>
          <w:trHeight w:val="1200" w:hRule="atLeast"/>
        </w:trPr>
        <w:tc>
          <w:tcPr>
            <w:tcW w:w="1292" w:type="dxa"/>
          </w:tcPr>
          <w:p>
            <w:pPr>
              <w:pStyle w:val="TableParagraph"/>
              <w:ind w:left="154" w:right="149"/>
              <w:jc w:val="center"/>
              <w:rPr>
                <w:sz w:val="20"/>
              </w:rPr>
            </w:pPr>
            <w:r>
              <w:rPr>
                <w:sz w:val="20"/>
              </w:rPr>
              <w:t>MCST 609</w:t>
            </w:r>
          </w:p>
        </w:tc>
        <w:tc>
          <w:tcPr>
            <w:tcW w:w="3031" w:type="dxa"/>
          </w:tcPr>
          <w:p>
            <w:pPr>
              <w:pStyle w:val="TableParagraph"/>
              <w:spacing w:line="249" w:lineRule="auto"/>
              <w:ind w:left="141" w:right="964"/>
              <w:rPr>
                <w:sz w:val="20"/>
              </w:rPr>
            </w:pPr>
            <w:r>
              <w:rPr>
                <w:sz w:val="20"/>
              </w:rPr>
              <w:t>ADVANCED CANNABINOID CHEMISTRY AND ANALYTIC TESTING</w:t>
            </w:r>
          </w:p>
          <w:p>
            <w:pPr>
              <w:pStyle w:val="TableParagraph"/>
              <w:spacing w:line="219" w:lineRule="exact" w:before="3"/>
              <w:ind w:left="141"/>
              <w:rPr>
                <w:sz w:val="20"/>
              </w:rPr>
            </w:pPr>
            <w:r>
              <w:rPr>
                <w:sz w:val="20"/>
              </w:rPr>
              <w:t>METHODOLOGY</w:t>
            </w:r>
          </w:p>
        </w:tc>
        <w:tc>
          <w:tcPr>
            <w:tcW w:w="627" w:type="dxa"/>
          </w:tcPr>
          <w:p>
            <w:pPr>
              <w:pStyle w:val="TableParagraph"/>
              <w:ind w:right="197"/>
              <w:jc w:val="right"/>
              <w:rPr>
                <w:sz w:val="20"/>
              </w:rPr>
            </w:pPr>
            <w:r>
              <w:rPr>
                <w:w w:val="100"/>
                <w:sz w:val="20"/>
              </w:rPr>
              <w:t>3</w:t>
            </w:r>
          </w:p>
        </w:tc>
      </w:tr>
      <w:tr>
        <w:trPr>
          <w:trHeight w:val="720" w:hRule="atLeast"/>
        </w:trPr>
        <w:tc>
          <w:tcPr>
            <w:tcW w:w="1292" w:type="dxa"/>
          </w:tcPr>
          <w:p>
            <w:pPr>
              <w:pStyle w:val="TableParagraph"/>
              <w:ind w:left="181" w:right="123"/>
              <w:jc w:val="center"/>
              <w:rPr>
                <w:sz w:val="20"/>
              </w:rPr>
            </w:pPr>
            <w:r>
              <w:rPr>
                <w:sz w:val="20"/>
              </w:rPr>
              <w:t>MCST 610</w:t>
            </w:r>
          </w:p>
        </w:tc>
        <w:tc>
          <w:tcPr>
            <w:tcW w:w="3031" w:type="dxa"/>
          </w:tcPr>
          <w:p>
            <w:pPr>
              <w:pStyle w:val="TableParagraph"/>
              <w:spacing w:line="249" w:lineRule="auto"/>
              <w:ind w:left="141" w:right="447"/>
              <w:rPr>
                <w:sz w:val="20"/>
              </w:rPr>
            </w:pPr>
            <w:r>
              <w:rPr>
                <w:sz w:val="20"/>
              </w:rPr>
              <w:t>STATE AND FEDERAL CANNABIS LAWS AND</w:t>
            </w:r>
          </w:p>
          <w:p>
            <w:pPr>
              <w:pStyle w:val="TableParagraph"/>
              <w:spacing w:line="219" w:lineRule="exact" w:before="2"/>
              <w:ind w:left="141"/>
              <w:rPr>
                <w:sz w:val="20"/>
              </w:rPr>
            </w:pPr>
            <w:r>
              <w:rPr>
                <w:sz w:val="20"/>
              </w:rPr>
              <w:t>POLICIES</w:t>
            </w:r>
          </w:p>
        </w:tc>
        <w:tc>
          <w:tcPr>
            <w:tcW w:w="627" w:type="dxa"/>
          </w:tcPr>
          <w:p>
            <w:pPr>
              <w:pStyle w:val="TableParagraph"/>
              <w:ind w:right="197"/>
              <w:jc w:val="right"/>
              <w:rPr>
                <w:sz w:val="20"/>
              </w:rPr>
            </w:pPr>
            <w:r>
              <w:rPr>
                <w:w w:val="100"/>
                <w:sz w:val="20"/>
              </w:rPr>
              <w:t>3</w:t>
            </w:r>
          </w:p>
        </w:tc>
      </w:tr>
      <w:tr>
        <w:trPr>
          <w:trHeight w:val="480" w:hRule="atLeast"/>
        </w:trPr>
        <w:tc>
          <w:tcPr>
            <w:tcW w:w="1292" w:type="dxa"/>
          </w:tcPr>
          <w:p>
            <w:pPr>
              <w:pStyle w:val="TableParagraph"/>
              <w:ind w:left="181" w:right="123"/>
              <w:jc w:val="center"/>
              <w:rPr>
                <w:sz w:val="20"/>
              </w:rPr>
            </w:pPr>
            <w:r>
              <w:rPr>
                <w:sz w:val="20"/>
              </w:rPr>
              <w:t>MCST 611</w:t>
            </w:r>
          </w:p>
        </w:tc>
        <w:tc>
          <w:tcPr>
            <w:tcW w:w="3031" w:type="dxa"/>
          </w:tcPr>
          <w:p>
            <w:pPr>
              <w:pStyle w:val="TableParagraph"/>
              <w:ind w:left="141"/>
              <w:rPr>
                <w:sz w:val="20"/>
              </w:rPr>
            </w:pPr>
            <w:r>
              <w:rPr>
                <w:sz w:val="20"/>
              </w:rPr>
              <w:t>RESEARCH DESIGN AND</w:t>
            </w:r>
          </w:p>
          <w:p>
            <w:pPr>
              <w:pStyle w:val="TableParagraph"/>
              <w:spacing w:line="219" w:lineRule="exact" w:before="10"/>
              <w:ind w:left="141"/>
              <w:rPr>
                <w:sz w:val="20"/>
              </w:rPr>
            </w:pPr>
            <w:r>
              <w:rPr>
                <w:sz w:val="20"/>
              </w:rPr>
              <w:t>MEDICAL CANNABIS</w:t>
            </w:r>
          </w:p>
        </w:tc>
        <w:tc>
          <w:tcPr>
            <w:tcW w:w="627" w:type="dxa"/>
          </w:tcPr>
          <w:p>
            <w:pPr>
              <w:pStyle w:val="TableParagraph"/>
              <w:ind w:right="197"/>
              <w:jc w:val="right"/>
              <w:rPr>
                <w:sz w:val="20"/>
              </w:rPr>
            </w:pPr>
            <w:r>
              <w:rPr>
                <w:w w:val="100"/>
                <w:sz w:val="20"/>
              </w:rPr>
              <w:t>3</w:t>
            </w:r>
          </w:p>
        </w:tc>
      </w:tr>
      <w:tr>
        <w:trPr>
          <w:trHeight w:val="471" w:hRule="atLeast"/>
        </w:trPr>
        <w:tc>
          <w:tcPr>
            <w:tcW w:w="1292" w:type="dxa"/>
          </w:tcPr>
          <w:p>
            <w:pPr>
              <w:pStyle w:val="TableParagraph"/>
              <w:ind w:left="181" w:right="123"/>
              <w:jc w:val="center"/>
              <w:rPr>
                <w:sz w:val="20"/>
              </w:rPr>
            </w:pPr>
            <w:r>
              <w:rPr>
                <w:sz w:val="20"/>
              </w:rPr>
              <w:t>MCST 612</w:t>
            </w:r>
          </w:p>
        </w:tc>
        <w:tc>
          <w:tcPr>
            <w:tcW w:w="3031" w:type="dxa"/>
          </w:tcPr>
          <w:p>
            <w:pPr>
              <w:pStyle w:val="TableParagraph"/>
              <w:ind w:left="141"/>
              <w:rPr>
                <w:sz w:val="20"/>
              </w:rPr>
            </w:pPr>
            <w:r>
              <w:rPr>
                <w:sz w:val="20"/>
              </w:rPr>
              <w:t>EXPERT SEMINARS AND</w:t>
            </w:r>
          </w:p>
          <w:p>
            <w:pPr>
              <w:pStyle w:val="TableParagraph"/>
              <w:spacing w:line="210" w:lineRule="exact" w:before="10"/>
              <w:ind w:left="141"/>
              <w:rPr>
                <w:sz w:val="20"/>
              </w:rPr>
            </w:pPr>
            <w:r>
              <w:rPr>
                <w:sz w:val="20"/>
              </w:rPr>
              <w:t>CASE STUDIES</w:t>
            </w:r>
          </w:p>
        </w:tc>
        <w:tc>
          <w:tcPr>
            <w:tcW w:w="627" w:type="dxa"/>
          </w:tcPr>
          <w:p>
            <w:pPr>
              <w:pStyle w:val="TableParagraph"/>
              <w:ind w:right="197"/>
              <w:jc w:val="right"/>
              <w:rPr>
                <w:sz w:val="20"/>
              </w:rPr>
            </w:pPr>
            <w:r>
              <w:rPr>
                <w:w w:val="100"/>
                <w:sz w:val="20"/>
              </w:rPr>
              <w:t>3</w:t>
            </w:r>
          </w:p>
        </w:tc>
      </w:tr>
    </w:tbl>
    <w:p>
      <w:pPr>
        <w:spacing w:line="249" w:lineRule="auto" w:before="87"/>
        <w:ind w:left="200" w:right="847" w:firstLine="0"/>
        <w:jc w:val="left"/>
        <w:rPr>
          <w:i/>
          <w:sz w:val="20"/>
        </w:rPr>
      </w:pPr>
      <w:r>
        <w:rPr>
          <w:i/>
          <w:sz w:val="20"/>
        </w:rPr>
        <w:t>Details are given in the Course Descriptions part of this </w:t>
      </w:r>
      <w:r>
        <w:rPr>
          <w:i/>
          <w:sz w:val="20"/>
        </w:rPr>
        <w:t>catalog.</w:t>
      </w:r>
    </w:p>
    <w:p>
      <w:pPr>
        <w:pStyle w:val="Heading5"/>
      </w:pPr>
      <w:r>
        <w:rPr/>
        <w:t>Available Electives</w:t>
      </w:r>
    </w:p>
    <w:p>
      <w:pPr>
        <w:pStyle w:val="BodyText"/>
        <w:spacing w:before="190"/>
      </w:pPr>
      <w:r>
        <w:rPr/>
        <w:t>Elective are in the basic sciences, therapeutics, or policy.</w:t>
      </w:r>
    </w:p>
    <w:p>
      <w:pPr>
        <w:spacing w:after="0"/>
        <w:sectPr>
          <w:pgSz w:w="12240" w:h="15840"/>
          <w:pgMar w:header="746" w:footer="0" w:top="1320" w:bottom="280" w:left="880" w:right="300"/>
          <w:cols w:num="2" w:equalWidth="0">
            <w:col w:w="4998" w:space="489"/>
            <w:col w:w="5573"/>
          </w:cols>
        </w:sectPr>
      </w:pPr>
    </w:p>
    <w:p>
      <w:pPr>
        <w:pStyle w:val="Heading3"/>
      </w:pPr>
      <w:bookmarkStart w:name="Nursing" w:id="67"/>
      <w:bookmarkEnd w:id="67"/>
      <w:r>
        <w:rPr/>
      </w:r>
      <w:bookmarkStart w:name="_bookmark33" w:id="68"/>
      <w:bookmarkEnd w:id="68"/>
      <w:r>
        <w:rPr/>
      </w:r>
      <w:r>
        <w:rPr/>
        <w:t>Nursing</w:t>
      </w:r>
    </w:p>
    <w:p>
      <w:pPr>
        <w:pStyle w:val="BodyText"/>
        <w:spacing w:before="190"/>
      </w:pPr>
      <w:hyperlink r:id="rId68">
        <w:r>
          <w:rPr>
            <w:color w:val="0000FF"/>
            <w:u w:val="single" w:color="0000FF"/>
          </w:rPr>
          <w:t>http://nursing.umaryland.edu/</w:t>
        </w:r>
      </w:hyperlink>
    </w:p>
    <w:p>
      <w:pPr>
        <w:pStyle w:val="Heading6"/>
        <w:spacing w:before="192"/>
      </w:pPr>
      <w:r>
        <w:rPr/>
        <w:t>Degrees Offered</w:t>
      </w:r>
    </w:p>
    <w:p>
      <w:pPr>
        <w:pStyle w:val="BodyText"/>
        <w:spacing w:before="188"/>
      </w:pPr>
      <w:r>
        <w:rPr/>
        <w:t>PhD, DNP, MS, Postbaccalaureate Certificates</w:t>
      </w:r>
    </w:p>
    <w:p>
      <w:pPr>
        <w:pStyle w:val="Heading6"/>
        <w:spacing w:before="192"/>
      </w:pPr>
      <w:r>
        <w:rPr/>
        <w:t>Program Description</w:t>
      </w:r>
    </w:p>
    <w:p>
      <w:pPr>
        <w:pStyle w:val="BodyText"/>
        <w:spacing w:line="249" w:lineRule="auto" w:before="188"/>
        <w:ind w:left="199"/>
      </w:pPr>
      <w:r>
        <w:rPr/>
        <w:t>The School of Nursing prepares students to positively impact and provide distinguished leadership in the health care field. Our rigorous programs provide opportunities for students seeking an entry into practice degree or those wishing to specialize in a variety of areas.</w:t>
      </w:r>
    </w:p>
    <w:p>
      <w:pPr>
        <w:pStyle w:val="Heading6"/>
        <w:spacing w:before="186"/>
        <w:ind w:left="199"/>
      </w:pPr>
      <w:r>
        <w:rPr/>
        <w:t>Postbaccalaureate Certificates</w:t>
      </w:r>
    </w:p>
    <w:p>
      <w:pPr>
        <w:pStyle w:val="BodyText"/>
        <w:spacing w:line="249" w:lineRule="auto" w:before="187"/>
        <w:ind w:left="199" w:right="193"/>
      </w:pPr>
      <w:r>
        <w:rPr/>
        <w:t>A certificate from the nursing school offers experience in emerging fields without completion of an entire degree program.</w:t>
      </w:r>
    </w:p>
    <w:p>
      <w:pPr>
        <w:pStyle w:val="BodyText"/>
        <w:spacing w:line="249" w:lineRule="auto"/>
        <w:ind w:left="199" w:right="87"/>
      </w:pPr>
      <w:r>
        <w:rPr/>
        <w:t>All certificates are a minimum of 12 credits. Current students in a degree program are able to share two courses between the degree and certificate. There are four certificate options:</w:t>
      </w:r>
    </w:p>
    <w:p>
      <w:pPr>
        <w:pStyle w:val="ListParagraph"/>
        <w:numPr>
          <w:ilvl w:val="1"/>
          <w:numId w:val="13"/>
        </w:numPr>
        <w:tabs>
          <w:tab w:pos="632" w:val="left" w:leader="none"/>
        </w:tabs>
        <w:spacing w:line="249" w:lineRule="auto" w:before="181" w:after="0"/>
        <w:ind w:left="631" w:right="42" w:hanging="216"/>
        <w:jc w:val="left"/>
        <w:rPr>
          <w:sz w:val="20"/>
        </w:rPr>
      </w:pPr>
      <w:r>
        <w:rPr>
          <w:sz w:val="20"/>
        </w:rPr>
        <w:t>Environmental Health: This certificate prepares nurses to take </w:t>
      </w:r>
      <w:r>
        <w:rPr>
          <w:spacing w:val="-3"/>
          <w:sz w:val="20"/>
        </w:rPr>
        <w:t>on </w:t>
      </w:r>
      <w:r>
        <w:rPr>
          <w:sz w:val="20"/>
        </w:rPr>
        <w:t>environmental health duties </w:t>
      </w:r>
      <w:r>
        <w:rPr>
          <w:spacing w:val="-3"/>
          <w:sz w:val="20"/>
        </w:rPr>
        <w:t>within </w:t>
      </w:r>
      <w:r>
        <w:rPr>
          <w:sz w:val="20"/>
        </w:rPr>
        <w:t>a wide range </w:t>
      </w:r>
      <w:r>
        <w:rPr>
          <w:spacing w:val="-3"/>
          <w:sz w:val="20"/>
        </w:rPr>
        <w:t>of </w:t>
      </w:r>
      <w:r>
        <w:rPr>
          <w:sz w:val="20"/>
        </w:rPr>
        <w:t>health care settings from local and state health departments to regulatory agencies and nonprofit/ advocacy</w:t>
      </w:r>
      <w:r>
        <w:rPr>
          <w:spacing w:val="1"/>
          <w:sz w:val="20"/>
        </w:rPr>
        <w:t> </w:t>
      </w:r>
      <w:r>
        <w:rPr>
          <w:sz w:val="20"/>
        </w:rPr>
        <w:t>organizations.</w:t>
      </w:r>
    </w:p>
    <w:p>
      <w:pPr>
        <w:pStyle w:val="ListParagraph"/>
        <w:numPr>
          <w:ilvl w:val="1"/>
          <w:numId w:val="13"/>
        </w:numPr>
        <w:tabs>
          <w:tab w:pos="632" w:val="left" w:leader="none"/>
        </w:tabs>
        <w:spacing w:line="249" w:lineRule="auto" w:before="186" w:after="0"/>
        <w:ind w:left="631" w:right="38" w:hanging="216"/>
        <w:jc w:val="left"/>
        <w:rPr>
          <w:sz w:val="20"/>
        </w:rPr>
      </w:pPr>
      <w:r>
        <w:rPr>
          <w:sz w:val="20"/>
        </w:rPr>
        <w:t>Global Health: This certificate is an inclusive interprofessional certificate offered to nurses and other health professionals to build the competencies and skills needed </w:t>
      </w:r>
      <w:r>
        <w:rPr>
          <w:spacing w:val="-4"/>
          <w:sz w:val="20"/>
        </w:rPr>
        <w:t>for </w:t>
      </w:r>
      <w:r>
        <w:rPr>
          <w:sz w:val="20"/>
        </w:rPr>
        <w:t>a global health career. Students will receive a practical global health travel experience as part </w:t>
      </w:r>
      <w:r>
        <w:rPr>
          <w:spacing w:val="-3"/>
          <w:sz w:val="20"/>
        </w:rPr>
        <w:t>of </w:t>
      </w:r>
      <w:r>
        <w:rPr>
          <w:sz w:val="20"/>
        </w:rPr>
        <w:t>the certificate</w:t>
      </w:r>
      <w:r>
        <w:rPr>
          <w:spacing w:val="-5"/>
          <w:sz w:val="20"/>
        </w:rPr>
        <w:t> </w:t>
      </w:r>
      <w:r>
        <w:rPr>
          <w:sz w:val="20"/>
        </w:rPr>
        <w:t>program.</w:t>
      </w:r>
    </w:p>
    <w:p>
      <w:pPr>
        <w:pStyle w:val="ListParagraph"/>
        <w:numPr>
          <w:ilvl w:val="1"/>
          <w:numId w:val="13"/>
        </w:numPr>
        <w:tabs>
          <w:tab w:pos="632" w:val="left" w:leader="none"/>
        </w:tabs>
        <w:spacing w:line="249" w:lineRule="auto" w:before="182" w:after="0"/>
        <w:ind w:left="631" w:right="113" w:hanging="216"/>
        <w:jc w:val="left"/>
        <w:rPr>
          <w:sz w:val="20"/>
        </w:rPr>
      </w:pPr>
      <w:r>
        <w:rPr>
          <w:sz w:val="20"/>
        </w:rPr>
        <w:t>Nursing Informatics: Information technology innovations in health care have led to an increasing demand </w:t>
      </w:r>
      <w:r>
        <w:rPr>
          <w:spacing w:val="-4"/>
          <w:sz w:val="20"/>
        </w:rPr>
        <w:t>for </w:t>
      </w:r>
      <w:r>
        <w:rPr>
          <w:sz w:val="20"/>
        </w:rPr>
        <w:t>nursing specialists </w:t>
      </w:r>
      <w:r>
        <w:rPr>
          <w:spacing w:val="-3"/>
          <w:sz w:val="20"/>
        </w:rPr>
        <w:t>with </w:t>
      </w:r>
      <w:r>
        <w:rPr>
          <w:sz w:val="20"/>
        </w:rPr>
        <w:t>a </w:t>
      </w:r>
      <w:r>
        <w:rPr>
          <w:spacing w:val="-3"/>
          <w:sz w:val="20"/>
        </w:rPr>
        <w:t>firm </w:t>
      </w:r>
      <w:r>
        <w:rPr>
          <w:sz w:val="20"/>
        </w:rPr>
        <w:t>grounding in informatics. This certificate was created to meet that</w:t>
      </w:r>
      <w:r>
        <w:rPr>
          <w:spacing w:val="-1"/>
          <w:sz w:val="20"/>
        </w:rPr>
        <w:t> </w:t>
      </w:r>
      <w:r>
        <w:rPr>
          <w:sz w:val="20"/>
        </w:rPr>
        <w:t>need.</w:t>
      </w:r>
    </w:p>
    <w:p>
      <w:pPr>
        <w:pStyle w:val="ListParagraph"/>
        <w:numPr>
          <w:ilvl w:val="1"/>
          <w:numId w:val="13"/>
        </w:numPr>
        <w:tabs>
          <w:tab w:pos="632" w:val="left" w:leader="none"/>
        </w:tabs>
        <w:spacing w:line="249" w:lineRule="auto" w:before="186" w:after="0"/>
        <w:ind w:left="631" w:right="265" w:hanging="216"/>
        <w:jc w:val="left"/>
        <w:rPr>
          <w:sz w:val="20"/>
        </w:rPr>
      </w:pPr>
      <w:r>
        <w:rPr>
          <w:sz w:val="20"/>
        </w:rPr>
        <w:t>Teaching in Nursing and </w:t>
      </w:r>
      <w:r>
        <w:rPr>
          <w:spacing w:val="-3"/>
          <w:sz w:val="20"/>
        </w:rPr>
        <w:t>Health </w:t>
      </w:r>
      <w:r>
        <w:rPr>
          <w:sz w:val="20"/>
        </w:rPr>
        <w:t>Professions: The need </w:t>
      </w:r>
      <w:r>
        <w:rPr>
          <w:spacing w:val="-4"/>
          <w:sz w:val="20"/>
        </w:rPr>
        <w:t>for </w:t>
      </w:r>
      <w:r>
        <w:rPr>
          <w:sz w:val="20"/>
        </w:rPr>
        <w:t>quality nursing and health care faculty has never </w:t>
      </w:r>
      <w:r>
        <w:rPr>
          <w:spacing w:val="-3"/>
          <w:sz w:val="20"/>
        </w:rPr>
        <w:t>been </w:t>
      </w:r>
      <w:r>
        <w:rPr>
          <w:sz w:val="20"/>
        </w:rPr>
        <w:t>greater. This certificate concentrates </w:t>
      </w:r>
      <w:r>
        <w:rPr>
          <w:spacing w:val="-3"/>
          <w:sz w:val="20"/>
        </w:rPr>
        <w:t>on </w:t>
      </w:r>
      <w:r>
        <w:rPr>
          <w:sz w:val="20"/>
        </w:rPr>
        <w:t>building essential knowledge and skills to prepare students in the most essential </w:t>
      </w:r>
      <w:r>
        <w:rPr>
          <w:spacing w:val="-3"/>
          <w:sz w:val="20"/>
        </w:rPr>
        <w:t>of </w:t>
      </w:r>
      <w:r>
        <w:rPr>
          <w:sz w:val="20"/>
        </w:rPr>
        <w:t>roles:</w:t>
      </w:r>
      <w:r>
        <w:rPr>
          <w:spacing w:val="-2"/>
          <w:sz w:val="20"/>
        </w:rPr>
        <w:t> </w:t>
      </w:r>
      <w:r>
        <w:rPr>
          <w:sz w:val="20"/>
        </w:rPr>
        <w:t>teacher.</w:t>
      </w:r>
    </w:p>
    <w:p>
      <w:pPr>
        <w:pStyle w:val="Heading6"/>
        <w:spacing w:before="181"/>
        <w:ind w:left="199"/>
      </w:pPr>
      <w:r>
        <w:rPr/>
        <w:t>Master’s Degree</w:t>
      </w:r>
    </w:p>
    <w:p>
      <w:pPr>
        <w:pStyle w:val="BodyText"/>
        <w:spacing w:line="249" w:lineRule="auto" w:before="192"/>
        <w:ind w:left="199" w:right="482"/>
      </w:pPr>
      <w:r>
        <w:rPr/>
        <w:t>The Master of Science program offers specialization options for nurses who hold a baccalaureate degree in</w:t>
      </w:r>
    </w:p>
    <w:p>
      <w:pPr>
        <w:pStyle w:val="BodyText"/>
        <w:spacing w:line="249" w:lineRule="auto" w:before="96"/>
        <w:ind w:left="199" w:right="617"/>
      </w:pPr>
      <w:r>
        <w:rPr/>
        <w:br w:type="column"/>
      </w:r>
      <w:r>
        <w:rPr/>
        <w:t>nursing and provides an entry into practice option for those who hold a baccalaureate degree in another field. All students complete 12 credits of graduate core courses with additional credits in their area. The curriculum, including core, specialty, research, and elective components, offers preparation in a variety of specialty areas, including:</w:t>
      </w:r>
    </w:p>
    <w:p>
      <w:pPr>
        <w:pStyle w:val="ListParagraph"/>
        <w:numPr>
          <w:ilvl w:val="1"/>
          <w:numId w:val="13"/>
        </w:numPr>
        <w:tabs>
          <w:tab w:pos="632" w:val="left" w:leader="none"/>
        </w:tabs>
        <w:spacing w:line="249" w:lineRule="auto" w:before="182" w:after="0"/>
        <w:ind w:left="631" w:right="715" w:hanging="216"/>
        <w:jc w:val="left"/>
        <w:rPr>
          <w:sz w:val="20"/>
        </w:rPr>
      </w:pPr>
      <w:r>
        <w:rPr>
          <w:sz w:val="20"/>
        </w:rPr>
        <w:t>Clinical Nurse Leader: This option prepares students with a baccalaureate </w:t>
      </w:r>
      <w:r>
        <w:rPr>
          <w:spacing w:val="-3"/>
          <w:sz w:val="20"/>
        </w:rPr>
        <w:t>or </w:t>
      </w:r>
      <w:r>
        <w:rPr>
          <w:sz w:val="20"/>
        </w:rPr>
        <w:t>higher degree in a field other than nursing </w:t>
      </w:r>
      <w:r>
        <w:rPr>
          <w:spacing w:val="-4"/>
          <w:sz w:val="20"/>
        </w:rPr>
        <w:t>for </w:t>
      </w:r>
      <w:r>
        <w:rPr>
          <w:sz w:val="20"/>
        </w:rPr>
        <w:t>entry into nursing practice as a clinical nurse leader </w:t>
      </w:r>
      <w:r>
        <w:rPr>
          <w:spacing w:val="-2"/>
          <w:sz w:val="20"/>
        </w:rPr>
        <w:t>(CNL). </w:t>
      </w:r>
      <w:r>
        <w:rPr>
          <w:sz w:val="20"/>
        </w:rPr>
        <w:t>The </w:t>
      </w:r>
      <w:r>
        <w:rPr>
          <w:spacing w:val="-3"/>
          <w:sz w:val="20"/>
        </w:rPr>
        <w:t>American </w:t>
      </w:r>
      <w:r>
        <w:rPr>
          <w:sz w:val="20"/>
        </w:rPr>
        <w:t>Association </w:t>
      </w:r>
      <w:r>
        <w:rPr>
          <w:spacing w:val="-3"/>
          <w:sz w:val="20"/>
        </w:rPr>
        <w:t>of </w:t>
      </w:r>
      <w:r>
        <w:rPr>
          <w:sz w:val="20"/>
        </w:rPr>
        <w:t>Colleges of Nursing, in collaboration with practice and academic leaders, </w:t>
      </w:r>
      <w:r>
        <w:rPr>
          <w:spacing w:val="-3"/>
          <w:sz w:val="20"/>
        </w:rPr>
        <w:t>developed </w:t>
      </w:r>
      <w:r>
        <w:rPr>
          <w:sz w:val="20"/>
        </w:rPr>
        <w:t>the CNL role to better prepare nurses to participate in improving the quality of health care. The CNL provides direct patient care, assesses risks, collaborates in planning care </w:t>
      </w:r>
      <w:r>
        <w:rPr>
          <w:spacing w:val="-4"/>
          <w:sz w:val="20"/>
        </w:rPr>
        <w:t>for </w:t>
      </w:r>
      <w:r>
        <w:rPr>
          <w:sz w:val="20"/>
        </w:rPr>
        <w:t>patients in a variety of settings, and evaluates patient</w:t>
      </w:r>
      <w:r>
        <w:rPr>
          <w:spacing w:val="-4"/>
          <w:sz w:val="20"/>
        </w:rPr>
        <w:t> </w:t>
      </w:r>
      <w:r>
        <w:rPr>
          <w:sz w:val="20"/>
        </w:rPr>
        <w:t>outcomes.</w:t>
      </w:r>
    </w:p>
    <w:p>
      <w:pPr>
        <w:pStyle w:val="ListParagraph"/>
        <w:numPr>
          <w:ilvl w:val="1"/>
          <w:numId w:val="13"/>
        </w:numPr>
        <w:tabs>
          <w:tab w:pos="632" w:val="left" w:leader="none"/>
        </w:tabs>
        <w:spacing w:line="249" w:lineRule="auto" w:before="191" w:after="0"/>
        <w:ind w:left="631" w:right="614" w:hanging="216"/>
        <w:jc w:val="left"/>
        <w:rPr>
          <w:sz w:val="20"/>
        </w:rPr>
      </w:pPr>
      <w:r>
        <w:rPr>
          <w:sz w:val="20"/>
        </w:rPr>
        <w:t>Community and Public </w:t>
      </w:r>
      <w:r>
        <w:rPr>
          <w:spacing w:val="-3"/>
          <w:sz w:val="20"/>
        </w:rPr>
        <w:t>Health </w:t>
      </w:r>
      <w:r>
        <w:rPr>
          <w:sz w:val="20"/>
        </w:rPr>
        <w:t>Nursing: This master’s specialty will prepare </w:t>
      </w:r>
      <w:r>
        <w:rPr>
          <w:spacing w:val="-4"/>
          <w:sz w:val="20"/>
        </w:rPr>
        <w:t>you </w:t>
      </w:r>
      <w:r>
        <w:rPr>
          <w:sz w:val="20"/>
        </w:rPr>
        <w:t>for advanced practice in community/public health nursing with a </w:t>
      </w:r>
      <w:r>
        <w:rPr>
          <w:spacing w:val="-3"/>
          <w:sz w:val="20"/>
        </w:rPr>
        <w:t>focus </w:t>
      </w:r>
      <w:r>
        <w:rPr>
          <w:spacing w:val="-5"/>
          <w:sz w:val="20"/>
        </w:rPr>
        <w:t>on </w:t>
      </w:r>
      <w:r>
        <w:rPr>
          <w:sz w:val="20"/>
        </w:rPr>
        <w:t>health promotion and disease prevention. Graduates of this program are able to implement core public health principles and practice in a variety of settings, including local and state health departments, federal, state, and nongovernmental agencies, and </w:t>
      </w:r>
      <w:r>
        <w:rPr>
          <w:spacing w:val="-3"/>
          <w:sz w:val="20"/>
        </w:rPr>
        <w:t>schools. </w:t>
      </w:r>
      <w:r>
        <w:rPr>
          <w:sz w:val="20"/>
        </w:rPr>
        <w:t>Graduates also are eligible </w:t>
      </w:r>
      <w:r>
        <w:rPr>
          <w:spacing w:val="-4"/>
          <w:sz w:val="20"/>
        </w:rPr>
        <w:t>for </w:t>
      </w:r>
      <w:r>
        <w:rPr>
          <w:sz w:val="20"/>
        </w:rPr>
        <w:t>certification as Advanced Public Health- Nurse Board</w:t>
      </w:r>
      <w:r>
        <w:rPr>
          <w:spacing w:val="-8"/>
          <w:sz w:val="20"/>
        </w:rPr>
        <w:t> </w:t>
      </w:r>
      <w:r>
        <w:rPr>
          <w:sz w:val="20"/>
        </w:rPr>
        <w:t>Certified.</w:t>
      </w:r>
    </w:p>
    <w:p>
      <w:pPr>
        <w:pStyle w:val="ListParagraph"/>
        <w:numPr>
          <w:ilvl w:val="1"/>
          <w:numId w:val="13"/>
        </w:numPr>
        <w:tabs>
          <w:tab w:pos="631" w:val="left" w:leader="none"/>
        </w:tabs>
        <w:spacing w:line="249" w:lineRule="auto" w:before="185" w:after="0"/>
        <w:ind w:left="630" w:right="631" w:hanging="216"/>
        <w:jc w:val="left"/>
        <w:rPr>
          <w:sz w:val="20"/>
        </w:rPr>
      </w:pPr>
      <w:r>
        <w:rPr>
          <w:sz w:val="20"/>
        </w:rPr>
        <w:t>Health Services Leadership and Management: The HSLM specialty prepares students to actively meet the complex and evolving challenges facing leaders in today’s health care environment. Students will </w:t>
      </w:r>
      <w:r>
        <w:rPr>
          <w:spacing w:val="-3"/>
          <w:sz w:val="20"/>
        </w:rPr>
        <w:t>be </w:t>
      </w:r>
      <w:r>
        <w:rPr>
          <w:sz w:val="20"/>
        </w:rPr>
        <w:t>taught to combine the business </w:t>
      </w:r>
      <w:r>
        <w:rPr>
          <w:spacing w:val="-3"/>
          <w:sz w:val="20"/>
        </w:rPr>
        <w:t>of </w:t>
      </w:r>
      <w:r>
        <w:rPr>
          <w:sz w:val="20"/>
        </w:rPr>
        <w:t>health care </w:t>
      </w:r>
      <w:r>
        <w:rPr>
          <w:spacing w:val="-3"/>
          <w:sz w:val="20"/>
        </w:rPr>
        <w:t>with </w:t>
      </w:r>
      <w:r>
        <w:rPr>
          <w:sz w:val="20"/>
        </w:rPr>
        <w:t>the compassion </w:t>
      </w:r>
      <w:r>
        <w:rPr>
          <w:spacing w:val="-3"/>
          <w:sz w:val="20"/>
        </w:rPr>
        <w:t>of </w:t>
      </w:r>
      <w:r>
        <w:rPr>
          <w:sz w:val="20"/>
        </w:rPr>
        <w:t>nursing. Students have the option to select from one </w:t>
      </w:r>
      <w:r>
        <w:rPr>
          <w:spacing w:val="-3"/>
          <w:sz w:val="20"/>
        </w:rPr>
        <w:t>of </w:t>
      </w:r>
      <w:r>
        <w:rPr>
          <w:sz w:val="20"/>
        </w:rPr>
        <w:t>the following concentrations: HSLM, </w:t>
      </w:r>
      <w:r>
        <w:rPr>
          <w:spacing w:val="-4"/>
          <w:sz w:val="20"/>
        </w:rPr>
        <w:t>HSLM </w:t>
      </w:r>
      <w:r>
        <w:rPr>
          <w:sz w:val="20"/>
        </w:rPr>
        <w:t>Education, </w:t>
      </w:r>
      <w:r>
        <w:rPr>
          <w:spacing w:val="-4"/>
          <w:sz w:val="20"/>
        </w:rPr>
        <w:t>HSLM </w:t>
      </w:r>
      <w:r>
        <w:rPr>
          <w:sz w:val="20"/>
        </w:rPr>
        <w:t>Business (MS/MBA dual</w:t>
      </w:r>
      <w:r>
        <w:rPr>
          <w:spacing w:val="-1"/>
          <w:sz w:val="20"/>
        </w:rPr>
        <w:t> </w:t>
      </w:r>
      <w:r>
        <w:rPr>
          <w:sz w:val="20"/>
        </w:rPr>
        <w:t>degree).</w:t>
      </w:r>
    </w:p>
    <w:p>
      <w:pPr>
        <w:pStyle w:val="ListParagraph"/>
        <w:numPr>
          <w:ilvl w:val="1"/>
          <w:numId w:val="13"/>
        </w:numPr>
        <w:tabs>
          <w:tab w:pos="631" w:val="left" w:leader="none"/>
        </w:tabs>
        <w:spacing w:line="249" w:lineRule="auto" w:before="189" w:after="0"/>
        <w:ind w:left="630" w:right="625" w:hanging="216"/>
        <w:jc w:val="left"/>
        <w:rPr>
          <w:sz w:val="20"/>
        </w:rPr>
      </w:pPr>
      <w:r>
        <w:rPr>
          <w:sz w:val="20"/>
        </w:rPr>
        <w:t>Nursing Informatics: Increasing demand </w:t>
      </w:r>
      <w:r>
        <w:rPr>
          <w:spacing w:val="-4"/>
          <w:sz w:val="20"/>
        </w:rPr>
        <w:t>for </w:t>
      </w:r>
      <w:r>
        <w:rPr>
          <w:sz w:val="20"/>
        </w:rPr>
        <w:t>the adoption </w:t>
      </w:r>
      <w:r>
        <w:rPr>
          <w:spacing w:val="-3"/>
          <w:sz w:val="20"/>
        </w:rPr>
        <w:t>of </w:t>
      </w:r>
      <w:r>
        <w:rPr>
          <w:sz w:val="20"/>
        </w:rPr>
        <w:t>electronic information </w:t>
      </w:r>
      <w:r>
        <w:rPr>
          <w:spacing w:val="-3"/>
          <w:sz w:val="20"/>
        </w:rPr>
        <w:t>systems </w:t>
      </w:r>
      <w:r>
        <w:rPr>
          <w:sz w:val="20"/>
        </w:rPr>
        <w:t>is creating a growing need </w:t>
      </w:r>
      <w:r>
        <w:rPr>
          <w:spacing w:val="-4"/>
          <w:sz w:val="20"/>
        </w:rPr>
        <w:t>for </w:t>
      </w:r>
      <w:r>
        <w:rPr>
          <w:sz w:val="20"/>
        </w:rPr>
        <w:t>nursing informatics in health care organizations and businesses that develop and sell health care information technology. This program prepares students to analyze nursing/health care information requirements, design </w:t>
      </w:r>
      <w:r>
        <w:rPr>
          <w:spacing w:val="-3"/>
          <w:sz w:val="20"/>
        </w:rPr>
        <w:t>system </w:t>
      </w:r>
      <w:r>
        <w:rPr>
          <w:sz w:val="20"/>
        </w:rPr>
        <w:t>alternatives, manage information technology, identify and implement user-training strategies, and evaluate the effectiveness of clinical and/or management information </w:t>
      </w:r>
      <w:r>
        <w:rPr>
          <w:spacing w:val="-3"/>
          <w:sz w:val="20"/>
        </w:rPr>
        <w:t>systems </w:t>
      </w:r>
      <w:r>
        <w:rPr>
          <w:sz w:val="20"/>
        </w:rPr>
        <w:t>in health care. Students also will </w:t>
      </w:r>
      <w:r>
        <w:rPr>
          <w:spacing w:val="-3"/>
          <w:sz w:val="20"/>
        </w:rPr>
        <w:t>be </w:t>
      </w:r>
      <w:r>
        <w:rPr>
          <w:sz w:val="20"/>
        </w:rPr>
        <w:t>prepared to </w:t>
      </w:r>
      <w:r>
        <w:rPr>
          <w:spacing w:val="-3"/>
          <w:sz w:val="20"/>
        </w:rPr>
        <w:t>be </w:t>
      </w:r>
      <w:r>
        <w:rPr>
          <w:sz w:val="20"/>
        </w:rPr>
        <w:t>leaders in the conceptualization, design, and research </w:t>
      </w:r>
      <w:r>
        <w:rPr>
          <w:spacing w:val="-3"/>
          <w:sz w:val="20"/>
        </w:rPr>
        <w:t>of </w:t>
      </w:r>
      <w:r>
        <w:rPr>
          <w:sz w:val="20"/>
        </w:rPr>
        <w:t>computer- based information systems in health care organizations and</w:t>
      </w:r>
      <w:r>
        <w:rPr>
          <w:spacing w:val="-11"/>
          <w:sz w:val="20"/>
        </w:rPr>
        <w:t> </w:t>
      </w:r>
      <w:r>
        <w:rPr>
          <w:sz w:val="20"/>
        </w:rPr>
        <w:t>the</w:t>
      </w:r>
    </w:p>
    <w:p>
      <w:pPr>
        <w:spacing w:after="0" w:line="249" w:lineRule="auto"/>
        <w:jc w:val="left"/>
        <w:rPr>
          <w:sz w:val="20"/>
        </w:rPr>
        <w:sectPr>
          <w:pgSz w:w="12240" w:h="15840"/>
          <w:pgMar w:header="746" w:footer="0" w:top="1320" w:bottom="280" w:left="880" w:right="300"/>
          <w:cols w:num="2" w:equalWidth="0">
            <w:col w:w="5000" w:space="486"/>
            <w:col w:w="5574"/>
          </w:cols>
        </w:sectPr>
      </w:pPr>
    </w:p>
    <w:p>
      <w:pPr>
        <w:pStyle w:val="BodyText"/>
        <w:spacing w:before="100"/>
        <w:ind w:left="631"/>
      </w:pPr>
      <w:r>
        <w:rPr/>
        <w:t>informatics industry.</w:t>
      </w:r>
    </w:p>
    <w:p>
      <w:pPr>
        <w:pStyle w:val="ListParagraph"/>
        <w:numPr>
          <w:ilvl w:val="1"/>
          <w:numId w:val="13"/>
        </w:numPr>
        <w:tabs>
          <w:tab w:pos="632" w:val="left" w:leader="none"/>
        </w:tabs>
        <w:spacing w:line="249" w:lineRule="auto" w:before="187" w:after="0"/>
        <w:ind w:left="632" w:right="128" w:hanging="216"/>
        <w:jc w:val="left"/>
        <w:rPr>
          <w:sz w:val="20"/>
        </w:rPr>
      </w:pPr>
      <w:r>
        <w:rPr>
          <w:sz w:val="20"/>
        </w:rPr>
        <w:t>Nursing and Public Health: The Master </w:t>
      </w:r>
      <w:r>
        <w:rPr>
          <w:spacing w:val="-3"/>
          <w:sz w:val="20"/>
        </w:rPr>
        <w:t>of </w:t>
      </w:r>
      <w:r>
        <w:rPr>
          <w:sz w:val="20"/>
        </w:rPr>
        <w:t>Science/Master </w:t>
      </w:r>
      <w:r>
        <w:rPr>
          <w:spacing w:val="-3"/>
          <w:sz w:val="20"/>
        </w:rPr>
        <w:t>of </w:t>
      </w:r>
      <w:r>
        <w:rPr>
          <w:sz w:val="20"/>
        </w:rPr>
        <w:t>Public Health </w:t>
      </w:r>
      <w:r>
        <w:rPr>
          <w:spacing w:val="-3"/>
          <w:sz w:val="20"/>
        </w:rPr>
        <w:t>(MS/MPH) </w:t>
      </w:r>
      <w:r>
        <w:rPr>
          <w:sz w:val="20"/>
        </w:rPr>
        <w:t>dual- degree option will prepare students </w:t>
      </w:r>
      <w:r>
        <w:rPr>
          <w:spacing w:val="-4"/>
          <w:sz w:val="20"/>
        </w:rPr>
        <w:t>for </w:t>
      </w:r>
      <w:r>
        <w:rPr>
          <w:sz w:val="20"/>
        </w:rPr>
        <w:t>a diverse range </w:t>
      </w:r>
      <w:r>
        <w:rPr>
          <w:spacing w:val="-3"/>
          <w:sz w:val="20"/>
        </w:rPr>
        <w:t>of </w:t>
      </w:r>
      <w:r>
        <w:rPr>
          <w:sz w:val="20"/>
        </w:rPr>
        <w:t>careers in nursing and public health. It’s available to students in all graduate nursing specialties. Students in the program have the opportunity to earn </w:t>
      </w:r>
      <w:r>
        <w:rPr>
          <w:spacing w:val="-3"/>
          <w:sz w:val="20"/>
        </w:rPr>
        <w:t>both </w:t>
      </w:r>
      <w:r>
        <w:rPr>
          <w:sz w:val="20"/>
        </w:rPr>
        <w:t>degrees in less time — and at less </w:t>
      </w:r>
      <w:r>
        <w:rPr>
          <w:spacing w:val="-3"/>
          <w:sz w:val="20"/>
        </w:rPr>
        <w:t>cost </w:t>
      </w:r>
      <w:r>
        <w:rPr>
          <w:sz w:val="20"/>
        </w:rPr>
        <w:t>— than if they pursued each degree separately. Students </w:t>
      </w:r>
      <w:r>
        <w:rPr>
          <w:spacing w:val="-3"/>
          <w:sz w:val="20"/>
        </w:rPr>
        <w:t>choose </w:t>
      </w:r>
      <w:r>
        <w:rPr>
          <w:sz w:val="20"/>
        </w:rPr>
        <w:t>one </w:t>
      </w:r>
      <w:r>
        <w:rPr>
          <w:spacing w:val="-3"/>
          <w:sz w:val="20"/>
        </w:rPr>
        <w:t>of </w:t>
      </w:r>
      <w:r>
        <w:rPr>
          <w:sz w:val="20"/>
        </w:rPr>
        <w:t>the MS nursing specialties and receive a MPH from the School </w:t>
      </w:r>
      <w:r>
        <w:rPr>
          <w:spacing w:val="-3"/>
          <w:sz w:val="20"/>
        </w:rPr>
        <w:t>of </w:t>
      </w:r>
      <w:r>
        <w:rPr>
          <w:sz w:val="20"/>
        </w:rPr>
        <w:t>Medicine. </w:t>
      </w:r>
      <w:r>
        <w:rPr>
          <w:spacing w:val="-3"/>
          <w:sz w:val="20"/>
        </w:rPr>
        <w:t>Each school </w:t>
      </w:r>
      <w:r>
        <w:rPr>
          <w:sz w:val="20"/>
        </w:rPr>
        <w:t>awards the degree</w:t>
      </w:r>
      <w:r>
        <w:rPr>
          <w:spacing w:val="9"/>
          <w:sz w:val="20"/>
        </w:rPr>
        <w:t> </w:t>
      </w:r>
      <w:r>
        <w:rPr>
          <w:sz w:val="20"/>
        </w:rPr>
        <w:t>separately.</w:t>
      </w:r>
    </w:p>
    <w:p>
      <w:pPr>
        <w:pStyle w:val="Heading6"/>
        <w:spacing w:before="191"/>
        <w:ind w:left="199"/>
      </w:pPr>
      <w:r>
        <w:rPr/>
        <w:t>Program Outcomes:</w:t>
      </w:r>
    </w:p>
    <w:p>
      <w:pPr>
        <w:pStyle w:val="BodyText"/>
        <w:spacing w:before="187"/>
        <w:ind w:left="199"/>
      </w:pPr>
      <w:r>
        <w:rPr/>
        <w:t>Graduates of the MS program are prepared to:</w:t>
      </w:r>
    </w:p>
    <w:p>
      <w:pPr>
        <w:pStyle w:val="ListParagraph"/>
        <w:numPr>
          <w:ilvl w:val="1"/>
          <w:numId w:val="13"/>
        </w:numPr>
        <w:tabs>
          <w:tab w:pos="632" w:val="left" w:leader="none"/>
        </w:tabs>
        <w:spacing w:line="249" w:lineRule="auto" w:before="193" w:after="0"/>
        <w:ind w:left="632" w:right="38" w:hanging="216"/>
        <w:jc w:val="left"/>
        <w:rPr>
          <w:sz w:val="20"/>
        </w:rPr>
      </w:pPr>
      <w:r>
        <w:rPr>
          <w:sz w:val="20"/>
        </w:rPr>
        <w:t>Incorporate scientific inquiry and theoretical concepts into efforts to improve care to individuals and communities.</w:t>
      </w:r>
    </w:p>
    <w:p>
      <w:pPr>
        <w:pStyle w:val="ListParagraph"/>
        <w:numPr>
          <w:ilvl w:val="1"/>
          <w:numId w:val="13"/>
        </w:numPr>
        <w:tabs>
          <w:tab w:pos="632" w:val="left" w:leader="none"/>
        </w:tabs>
        <w:spacing w:line="249" w:lineRule="auto" w:before="179" w:after="0"/>
        <w:ind w:left="632" w:right="210" w:hanging="216"/>
        <w:jc w:val="left"/>
        <w:rPr>
          <w:sz w:val="20"/>
        </w:rPr>
      </w:pPr>
      <w:r>
        <w:rPr>
          <w:sz w:val="20"/>
        </w:rPr>
        <w:t>Lead evidence-based and interprofessional approaches </w:t>
      </w:r>
      <w:r>
        <w:rPr>
          <w:spacing w:val="-4"/>
          <w:sz w:val="20"/>
        </w:rPr>
        <w:t>for </w:t>
      </w:r>
      <w:r>
        <w:rPr>
          <w:sz w:val="20"/>
        </w:rPr>
        <w:t>the design and delivery </w:t>
      </w:r>
      <w:r>
        <w:rPr>
          <w:spacing w:val="-5"/>
          <w:sz w:val="20"/>
        </w:rPr>
        <w:t>of </w:t>
      </w:r>
      <w:r>
        <w:rPr>
          <w:sz w:val="20"/>
        </w:rPr>
        <w:t>comprehensive, culturally competent care to individuals/families, communities, and</w:t>
      </w:r>
      <w:r>
        <w:rPr>
          <w:spacing w:val="-19"/>
          <w:sz w:val="20"/>
        </w:rPr>
        <w:t> </w:t>
      </w:r>
      <w:r>
        <w:rPr>
          <w:sz w:val="20"/>
        </w:rPr>
        <w:t>populations.</w:t>
      </w:r>
    </w:p>
    <w:p>
      <w:pPr>
        <w:pStyle w:val="ListParagraph"/>
        <w:numPr>
          <w:ilvl w:val="1"/>
          <w:numId w:val="13"/>
        </w:numPr>
        <w:tabs>
          <w:tab w:pos="632" w:val="left" w:leader="none"/>
        </w:tabs>
        <w:spacing w:line="249" w:lineRule="auto" w:before="186" w:after="0"/>
        <w:ind w:left="632" w:right="121" w:hanging="216"/>
        <w:jc w:val="left"/>
        <w:rPr>
          <w:sz w:val="20"/>
        </w:rPr>
      </w:pPr>
      <w:r>
        <w:rPr>
          <w:sz w:val="20"/>
        </w:rPr>
        <w:t>Participate in the design, implementation, and evaluation </w:t>
      </w:r>
      <w:r>
        <w:rPr>
          <w:spacing w:val="-3"/>
          <w:sz w:val="20"/>
        </w:rPr>
        <w:t>of </w:t>
      </w:r>
      <w:r>
        <w:rPr>
          <w:sz w:val="20"/>
        </w:rPr>
        <w:t>health care </w:t>
      </w:r>
      <w:r>
        <w:rPr>
          <w:spacing w:val="-3"/>
          <w:sz w:val="20"/>
        </w:rPr>
        <w:t>systems </w:t>
      </w:r>
      <w:r>
        <w:rPr>
          <w:sz w:val="20"/>
        </w:rPr>
        <w:t>to foster safety and excellence in health care</w:t>
      </w:r>
      <w:r>
        <w:rPr>
          <w:spacing w:val="-1"/>
          <w:sz w:val="20"/>
        </w:rPr>
        <w:t> </w:t>
      </w:r>
      <w:r>
        <w:rPr>
          <w:spacing w:val="-3"/>
          <w:sz w:val="20"/>
        </w:rPr>
        <w:t>delivery.</w:t>
      </w:r>
    </w:p>
    <w:p>
      <w:pPr>
        <w:pStyle w:val="ListParagraph"/>
        <w:numPr>
          <w:ilvl w:val="1"/>
          <w:numId w:val="13"/>
        </w:numPr>
        <w:tabs>
          <w:tab w:pos="632" w:val="left" w:leader="none"/>
        </w:tabs>
        <w:spacing w:line="249" w:lineRule="auto" w:before="180" w:after="0"/>
        <w:ind w:left="632" w:right="275" w:hanging="216"/>
        <w:jc w:val="left"/>
        <w:rPr>
          <w:sz w:val="20"/>
        </w:rPr>
      </w:pPr>
      <w:r>
        <w:rPr>
          <w:sz w:val="20"/>
        </w:rPr>
        <w:t>Engage in ethically sound, culturally sensitive, and evidence-based practice to promote the health </w:t>
      </w:r>
      <w:r>
        <w:rPr>
          <w:spacing w:val="-3"/>
          <w:sz w:val="20"/>
        </w:rPr>
        <w:t>of </w:t>
      </w:r>
      <w:r>
        <w:rPr>
          <w:sz w:val="20"/>
        </w:rPr>
        <w:t>individuals and</w:t>
      </w:r>
      <w:r>
        <w:rPr>
          <w:spacing w:val="-7"/>
          <w:sz w:val="20"/>
        </w:rPr>
        <w:t> </w:t>
      </w:r>
      <w:r>
        <w:rPr>
          <w:sz w:val="20"/>
        </w:rPr>
        <w:t>communities.</w:t>
      </w:r>
    </w:p>
    <w:p>
      <w:pPr>
        <w:pStyle w:val="ListParagraph"/>
        <w:numPr>
          <w:ilvl w:val="1"/>
          <w:numId w:val="13"/>
        </w:numPr>
        <w:tabs>
          <w:tab w:pos="632" w:val="left" w:leader="none"/>
        </w:tabs>
        <w:spacing w:line="249" w:lineRule="auto" w:before="184" w:after="0"/>
        <w:ind w:left="631" w:right="433" w:hanging="216"/>
        <w:jc w:val="left"/>
        <w:rPr>
          <w:sz w:val="20"/>
        </w:rPr>
      </w:pPr>
      <w:r>
        <w:rPr>
          <w:sz w:val="20"/>
        </w:rPr>
        <w:t>Commit to lifelong learning </w:t>
      </w:r>
      <w:r>
        <w:rPr>
          <w:spacing w:val="-4"/>
          <w:sz w:val="20"/>
        </w:rPr>
        <w:t>for </w:t>
      </w:r>
      <w:r>
        <w:rPr>
          <w:sz w:val="20"/>
        </w:rPr>
        <w:t>self and promote lifelong learning to</w:t>
      </w:r>
      <w:r>
        <w:rPr>
          <w:spacing w:val="-5"/>
          <w:sz w:val="20"/>
        </w:rPr>
        <w:t> </w:t>
      </w:r>
      <w:r>
        <w:rPr>
          <w:sz w:val="20"/>
        </w:rPr>
        <w:t>consumers.</w:t>
      </w:r>
    </w:p>
    <w:p>
      <w:pPr>
        <w:pStyle w:val="ListParagraph"/>
        <w:numPr>
          <w:ilvl w:val="1"/>
          <w:numId w:val="13"/>
        </w:numPr>
        <w:tabs>
          <w:tab w:pos="632" w:val="left" w:leader="none"/>
        </w:tabs>
        <w:spacing w:line="249" w:lineRule="auto" w:before="179" w:after="0"/>
        <w:ind w:left="631" w:right="42" w:hanging="216"/>
        <w:jc w:val="left"/>
        <w:rPr>
          <w:sz w:val="20"/>
        </w:rPr>
      </w:pPr>
      <w:r>
        <w:rPr>
          <w:sz w:val="20"/>
        </w:rPr>
        <w:t>Practice advanced nursing roles in collaborative relationships across disciplines and in partnership with communities (i.e., nursing education, nursing administration, nursing informatics, advanced clinical practice, and clinical nursing</w:t>
      </w:r>
      <w:r>
        <w:rPr>
          <w:spacing w:val="-12"/>
          <w:sz w:val="20"/>
        </w:rPr>
        <w:t> </w:t>
      </w:r>
      <w:r>
        <w:rPr>
          <w:sz w:val="20"/>
        </w:rPr>
        <w:t>leadership).</w:t>
      </w:r>
    </w:p>
    <w:p>
      <w:pPr>
        <w:pStyle w:val="Heading6"/>
        <w:spacing w:before="186"/>
        <w:ind w:left="199"/>
      </w:pPr>
      <w:r>
        <w:rPr/>
        <w:t>Doctoral Degrees</w:t>
      </w:r>
    </w:p>
    <w:p>
      <w:pPr>
        <w:pStyle w:val="BodyText"/>
        <w:spacing w:line="249" w:lineRule="auto" w:before="188"/>
        <w:ind w:left="199" w:right="216"/>
      </w:pPr>
      <w:r>
        <w:rPr/>
        <w:t>Two options are available for nurses seeking a terminal doctoral degree: Doctor of Philosophy (PhD) and Doctor of Nursing Practice (DNP). For information on the DNP, visit the University of Maryland School of Nursing website: </w:t>
      </w:r>
      <w:hyperlink r:id="rId69">
        <w:r>
          <w:rPr/>
          <w:t>www.nursing.umaryland.edu/academics/doctoral/dnp/.</w:t>
        </w:r>
      </w:hyperlink>
    </w:p>
    <w:p>
      <w:pPr>
        <w:pStyle w:val="Heading6"/>
        <w:spacing w:before="187"/>
        <w:ind w:left="199"/>
      </w:pPr>
      <w:r>
        <w:rPr/>
        <w:t>Doctor of Philosophy in Nursing</w:t>
      </w:r>
    </w:p>
    <w:p>
      <w:pPr>
        <w:pStyle w:val="BodyText"/>
        <w:spacing w:before="187"/>
        <w:ind w:left="199"/>
      </w:pPr>
      <w:r>
        <w:rPr/>
        <w:t>This program is designed to meet the educational needs of</w:t>
      </w:r>
    </w:p>
    <w:p>
      <w:pPr>
        <w:pStyle w:val="BodyText"/>
        <w:spacing w:line="249" w:lineRule="auto" w:before="96"/>
        <w:ind w:right="622"/>
      </w:pPr>
      <w:r>
        <w:rPr/>
        <w:br w:type="column"/>
      </w:r>
      <w:r>
        <w:rPr/>
        <w:t>students who are committed to playing a significant role in the continuing discovery, amplification, and refinement of nursing knowledge. The program’s purpose is to prepare scholars and researchers who will advance the theoretical and empirical basis for nursing and expand research design and methodology. Specialty courses allow students to develop individualized programs of study.</w:t>
      </w:r>
    </w:p>
    <w:p>
      <w:pPr>
        <w:pStyle w:val="BodyText"/>
        <w:spacing w:before="183"/>
      </w:pPr>
      <w:r>
        <w:rPr/>
        <w:t>Graduates from the PhD program will be prepared to:</w:t>
      </w:r>
    </w:p>
    <w:p>
      <w:pPr>
        <w:pStyle w:val="ListParagraph"/>
        <w:numPr>
          <w:ilvl w:val="1"/>
          <w:numId w:val="13"/>
        </w:numPr>
        <w:tabs>
          <w:tab w:pos="633" w:val="left" w:leader="none"/>
        </w:tabs>
        <w:spacing w:line="249" w:lineRule="auto" w:before="192" w:after="0"/>
        <w:ind w:left="632" w:right="735" w:hanging="216"/>
        <w:jc w:val="left"/>
        <w:rPr>
          <w:sz w:val="20"/>
        </w:rPr>
      </w:pPr>
      <w:r>
        <w:rPr>
          <w:sz w:val="20"/>
        </w:rPr>
        <w:t>Design, conduct, analyze, and disseminate research findings to expand knowledge in nursing and related disciplines.</w:t>
      </w:r>
    </w:p>
    <w:p>
      <w:pPr>
        <w:pStyle w:val="ListParagraph"/>
        <w:numPr>
          <w:ilvl w:val="1"/>
          <w:numId w:val="13"/>
        </w:numPr>
        <w:tabs>
          <w:tab w:pos="633" w:val="left" w:leader="none"/>
        </w:tabs>
        <w:spacing w:line="249" w:lineRule="auto" w:before="180" w:after="0"/>
        <w:ind w:left="632" w:right="720" w:hanging="216"/>
        <w:jc w:val="left"/>
        <w:rPr>
          <w:sz w:val="20"/>
        </w:rPr>
      </w:pPr>
      <w:r>
        <w:rPr>
          <w:sz w:val="20"/>
        </w:rPr>
        <w:t>Initiate, facilitate, and participate in interdisciplinary research </w:t>
      </w:r>
      <w:r>
        <w:rPr>
          <w:spacing w:val="-3"/>
          <w:sz w:val="20"/>
        </w:rPr>
        <w:t>with </w:t>
      </w:r>
      <w:r>
        <w:rPr>
          <w:sz w:val="20"/>
        </w:rPr>
        <w:t>nurses and scholars from related disciplines.</w:t>
      </w:r>
    </w:p>
    <w:p>
      <w:pPr>
        <w:pStyle w:val="ListParagraph"/>
        <w:numPr>
          <w:ilvl w:val="1"/>
          <w:numId w:val="13"/>
        </w:numPr>
        <w:tabs>
          <w:tab w:pos="633" w:val="left" w:leader="none"/>
        </w:tabs>
        <w:spacing w:line="249" w:lineRule="auto" w:before="185" w:after="0"/>
        <w:ind w:left="632" w:right="707" w:hanging="216"/>
        <w:jc w:val="left"/>
        <w:rPr>
          <w:sz w:val="20"/>
        </w:rPr>
      </w:pPr>
      <w:r>
        <w:rPr>
          <w:sz w:val="20"/>
        </w:rPr>
        <w:t>Assume leadership roles in academic and health care settings.</w:t>
      </w:r>
    </w:p>
    <w:p>
      <w:pPr>
        <w:pStyle w:val="BodyText"/>
        <w:spacing w:line="249" w:lineRule="auto" w:before="179"/>
        <w:ind w:right="792" w:hanging="1"/>
      </w:pPr>
      <w:r>
        <w:rPr/>
        <w:t>Ideal candidates for the PhD program are bachelor’s- or master’s-prepared nurses who are interested in a research career. Non-nurses will be considered based on their research interests and match with research faculty.</w:t>
      </w:r>
    </w:p>
    <w:p>
      <w:pPr>
        <w:pStyle w:val="BodyText"/>
        <w:spacing w:before="3"/>
      </w:pPr>
      <w:r>
        <w:rPr/>
        <w:t>Research areas include:</w:t>
      </w:r>
    </w:p>
    <w:p>
      <w:pPr>
        <w:pStyle w:val="ListParagraph"/>
        <w:numPr>
          <w:ilvl w:val="1"/>
          <w:numId w:val="13"/>
        </w:numPr>
        <w:tabs>
          <w:tab w:pos="633" w:val="left" w:leader="none"/>
        </w:tabs>
        <w:spacing w:line="240" w:lineRule="auto" w:before="192" w:after="0"/>
        <w:ind w:left="632" w:right="0" w:hanging="216"/>
        <w:jc w:val="left"/>
        <w:rPr>
          <w:sz w:val="20"/>
        </w:rPr>
      </w:pPr>
      <w:r>
        <w:rPr>
          <w:sz w:val="20"/>
        </w:rPr>
        <w:t>Healthy</w:t>
      </w:r>
      <w:r>
        <w:rPr>
          <w:spacing w:val="-7"/>
          <w:sz w:val="20"/>
        </w:rPr>
        <w:t> </w:t>
      </w:r>
      <w:r>
        <w:rPr>
          <w:sz w:val="20"/>
        </w:rPr>
        <w:t>aging</w:t>
      </w:r>
    </w:p>
    <w:p>
      <w:pPr>
        <w:pStyle w:val="ListParagraph"/>
        <w:numPr>
          <w:ilvl w:val="1"/>
          <w:numId w:val="13"/>
        </w:numPr>
        <w:tabs>
          <w:tab w:pos="633" w:val="left" w:leader="none"/>
        </w:tabs>
        <w:spacing w:line="240" w:lineRule="auto" w:before="187" w:after="0"/>
        <w:ind w:left="632" w:right="0" w:hanging="216"/>
        <w:jc w:val="left"/>
        <w:rPr>
          <w:sz w:val="20"/>
        </w:rPr>
      </w:pPr>
      <w:r>
        <w:rPr>
          <w:sz w:val="20"/>
        </w:rPr>
        <w:t>Cardiovascular</w:t>
      </w:r>
      <w:r>
        <w:rPr>
          <w:spacing w:val="1"/>
          <w:sz w:val="20"/>
        </w:rPr>
        <w:t> </w:t>
      </w:r>
      <w:r>
        <w:rPr>
          <w:sz w:val="20"/>
        </w:rPr>
        <w:t>health</w:t>
      </w:r>
    </w:p>
    <w:p>
      <w:pPr>
        <w:pStyle w:val="ListParagraph"/>
        <w:numPr>
          <w:ilvl w:val="1"/>
          <w:numId w:val="13"/>
        </w:numPr>
        <w:tabs>
          <w:tab w:pos="633" w:val="left" w:leader="none"/>
        </w:tabs>
        <w:spacing w:line="240" w:lineRule="auto" w:before="193" w:after="0"/>
        <w:ind w:left="632" w:right="0" w:hanging="216"/>
        <w:jc w:val="left"/>
        <w:rPr>
          <w:sz w:val="20"/>
        </w:rPr>
      </w:pPr>
      <w:r>
        <w:rPr>
          <w:sz w:val="20"/>
        </w:rPr>
        <w:t>Chronic pain and </w:t>
      </w:r>
      <w:r>
        <w:rPr>
          <w:spacing w:val="-3"/>
          <w:sz w:val="20"/>
        </w:rPr>
        <w:t>symptom</w:t>
      </w:r>
      <w:r>
        <w:rPr>
          <w:spacing w:val="-6"/>
          <w:sz w:val="20"/>
        </w:rPr>
        <w:t> </w:t>
      </w:r>
      <w:r>
        <w:rPr>
          <w:sz w:val="20"/>
        </w:rPr>
        <w:t>management</w:t>
      </w:r>
    </w:p>
    <w:p>
      <w:pPr>
        <w:pStyle w:val="ListParagraph"/>
        <w:numPr>
          <w:ilvl w:val="1"/>
          <w:numId w:val="13"/>
        </w:numPr>
        <w:tabs>
          <w:tab w:pos="633" w:val="left" w:leader="none"/>
        </w:tabs>
        <w:spacing w:line="240" w:lineRule="auto" w:before="187" w:after="0"/>
        <w:ind w:left="632" w:right="0" w:hanging="216"/>
        <w:jc w:val="left"/>
        <w:rPr>
          <w:sz w:val="20"/>
        </w:rPr>
      </w:pPr>
      <w:r>
        <w:rPr>
          <w:sz w:val="20"/>
        </w:rPr>
        <w:t>Health systems</w:t>
      </w:r>
      <w:r>
        <w:rPr>
          <w:spacing w:val="2"/>
          <w:sz w:val="20"/>
        </w:rPr>
        <w:t> </w:t>
      </w:r>
      <w:r>
        <w:rPr>
          <w:sz w:val="20"/>
        </w:rPr>
        <w:t>outcomes</w:t>
      </w:r>
    </w:p>
    <w:p>
      <w:pPr>
        <w:pStyle w:val="ListParagraph"/>
        <w:numPr>
          <w:ilvl w:val="1"/>
          <w:numId w:val="13"/>
        </w:numPr>
        <w:tabs>
          <w:tab w:pos="632" w:val="left" w:leader="none"/>
        </w:tabs>
        <w:spacing w:line="240" w:lineRule="auto" w:before="193" w:after="0"/>
        <w:ind w:left="632" w:right="0" w:hanging="216"/>
        <w:jc w:val="left"/>
        <w:rPr>
          <w:sz w:val="20"/>
        </w:rPr>
      </w:pPr>
      <w:r>
        <w:rPr>
          <w:sz w:val="20"/>
        </w:rPr>
        <w:t>Occupational and environmental</w:t>
      </w:r>
      <w:r>
        <w:rPr>
          <w:spacing w:val="-10"/>
          <w:sz w:val="20"/>
        </w:rPr>
        <w:t> </w:t>
      </w:r>
      <w:r>
        <w:rPr>
          <w:sz w:val="20"/>
        </w:rPr>
        <w:t>health</w:t>
      </w:r>
    </w:p>
    <w:p>
      <w:pPr>
        <w:pStyle w:val="ListParagraph"/>
        <w:numPr>
          <w:ilvl w:val="1"/>
          <w:numId w:val="13"/>
        </w:numPr>
        <w:tabs>
          <w:tab w:pos="632" w:val="left" w:leader="none"/>
        </w:tabs>
        <w:spacing w:line="240" w:lineRule="auto" w:before="187" w:after="0"/>
        <w:ind w:left="632" w:right="0" w:hanging="216"/>
        <w:jc w:val="left"/>
        <w:rPr>
          <w:sz w:val="20"/>
        </w:rPr>
      </w:pPr>
      <w:r>
        <w:rPr>
          <w:sz w:val="20"/>
        </w:rPr>
        <w:t>Palliative and end-of-life</w:t>
      </w:r>
      <w:r>
        <w:rPr>
          <w:spacing w:val="-5"/>
          <w:sz w:val="20"/>
        </w:rPr>
        <w:t> </w:t>
      </w:r>
      <w:r>
        <w:rPr>
          <w:sz w:val="20"/>
        </w:rPr>
        <w:t>care</w:t>
      </w:r>
    </w:p>
    <w:p>
      <w:pPr>
        <w:pStyle w:val="ListParagraph"/>
        <w:numPr>
          <w:ilvl w:val="1"/>
          <w:numId w:val="13"/>
        </w:numPr>
        <w:tabs>
          <w:tab w:pos="632" w:val="left" w:leader="none"/>
        </w:tabs>
        <w:spacing w:line="240" w:lineRule="auto" w:before="193" w:after="0"/>
        <w:ind w:left="631" w:right="0" w:hanging="216"/>
        <w:jc w:val="left"/>
        <w:rPr>
          <w:sz w:val="20"/>
        </w:rPr>
      </w:pPr>
      <w:r>
        <w:rPr>
          <w:sz w:val="20"/>
        </w:rPr>
        <w:t>Biological and psychosocial</w:t>
      </w:r>
      <w:r>
        <w:rPr>
          <w:spacing w:val="-6"/>
          <w:sz w:val="20"/>
        </w:rPr>
        <w:t> </w:t>
      </w:r>
      <w:r>
        <w:rPr>
          <w:sz w:val="20"/>
        </w:rPr>
        <w:t>health</w:t>
      </w:r>
    </w:p>
    <w:p>
      <w:pPr>
        <w:pStyle w:val="ListParagraph"/>
        <w:numPr>
          <w:ilvl w:val="1"/>
          <w:numId w:val="13"/>
        </w:numPr>
        <w:tabs>
          <w:tab w:pos="632" w:val="left" w:leader="none"/>
        </w:tabs>
        <w:spacing w:line="240" w:lineRule="auto" w:before="187" w:after="0"/>
        <w:ind w:left="631" w:right="0" w:hanging="216"/>
        <w:jc w:val="left"/>
        <w:rPr>
          <w:sz w:val="20"/>
        </w:rPr>
      </w:pPr>
      <w:r>
        <w:rPr>
          <w:sz w:val="20"/>
        </w:rPr>
        <w:t>Substance</w:t>
      </w:r>
      <w:r>
        <w:rPr>
          <w:spacing w:val="-2"/>
          <w:sz w:val="20"/>
        </w:rPr>
        <w:t> </w:t>
      </w:r>
      <w:r>
        <w:rPr>
          <w:sz w:val="20"/>
        </w:rPr>
        <w:t>abuse</w:t>
      </w:r>
    </w:p>
    <w:p>
      <w:pPr>
        <w:pStyle w:val="ListParagraph"/>
        <w:numPr>
          <w:ilvl w:val="1"/>
          <w:numId w:val="13"/>
        </w:numPr>
        <w:tabs>
          <w:tab w:pos="632" w:val="left" w:leader="none"/>
        </w:tabs>
        <w:spacing w:line="240" w:lineRule="auto" w:before="193" w:after="0"/>
        <w:ind w:left="631" w:right="0" w:hanging="216"/>
        <w:jc w:val="left"/>
        <w:rPr>
          <w:sz w:val="20"/>
        </w:rPr>
      </w:pPr>
      <w:r>
        <w:rPr>
          <w:sz w:val="20"/>
        </w:rPr>
        <w:t>Maternal and neonatal</w:t>
      </w:r>
      <w:r>
        <w:rPr>
          <w:spacing w:val="-4"/>
          <w:sz w:val="20"/>
        </w:rPr>
        <w:t> </w:t>
      </w:r>
      <w:r>
        <w:rPr>
          <w:spacing w:val="-3"/>
          <w:sz w:val="20"/>
        </w:rPr>
        <w:t>outcomes</w:t>
      </w:r>
    </w:p>
    <w:p>
      <w:pPr>
        <w:pStyle w:val="ListParagraph"/>
        <w:numPr>
          <w:ilvl w:val="1"/>
          <w:numId w:val="13"/>
        </w:numPr>
        <w:tabs>
          <w:tab w:pos="632" w:val="left" w:leader="none"/>
        </w:tabs>
        <w:spacing w:line="240" w:lineRule="auto" w:before="187" w:after="0"/>
        <w:ind w:left="631" w:right="0" w:hanging="216"/>
        <w:jc w:val="left"/>
        <w:rPr>
          <w:sz w:val="20"/>
        </w:rPr>
      </w:pPr>
      <w:r>
        <w:rPr>
          <w:sz w:val="20"/>
        </w:rPr>
        <w:t>Cellular and genetic disease</w:t>
      </w:r>
      <w:r>
        <w:rPr>
          <w:spacing w:val="-4"/>
          <w:sz w:val="20"/>
        </w:rPr>
        <w:t> </w:t>
      </w:r>
      <w:r>
        <w:rPr>
          <w:sz w:val="20"/>
        </w:rPr>
        <w:t>mechanisms</w:t>
      </w:r>
    </w:p>
    <w:p>
      <w:pPr>
        <w:pStyle w:val="Heading6"/>
        <w:spacing w:before="192"/>
        <w:ind w:left="199"/>
      </w:pPr>
      <w:r>
        <w:rPr/>
        <w:t>Program Admissions</w:t>
      </w:r>
    </w:p>
    <w:p>
      <w:pPr>
        <w:pStyle w:val="BodyText"/>
        <w:spacing w:line="249" w:lineRule="auto" w:before="188"/>
        <w:ind w:left="199" w:right="639"/>
      </w:pPr>
      <w:r>
        <w:rPr/>
        <w:t>Admission requirements vary depending on the program. All admission criteria are located on the School of Nursing website: </w:t>
      </w:r>
      <w:hyperlink r:id="rId70">
        <w:r>
          <w:rPr/>
          <w:t>http://www.nursing.umaryland.edu/admissions/.</w:t>
        </w:r>
      </w:hyperlink>
    </w:p>
    <w:p>
      <w:pPr>
        <w:pStyle w:val="Heading6"/>
        <w:spacing w:before="185"/>
        <w:ind w:left="199"/>
      </w:pPr>
      <w:r>
        <w:rPr/>
        <w:t>Degree Requirements</w:t>
      </w:r>
    </w:p>
    <w:p>
      <w:pPr>
        <w:pStyle w:val="BodyText"/>
        <w:spacing w:line="249" w:lineRule="auto" w:before="187"/>
        <w:ind w:left="199" w:right="678"/>
      </w:pPr>
      <w:r>
        <w:rPr/>
        <w:t>Student must maintain a minimum cumulative grade-point average of 3.0 to remain in good standing in the program.</w:t>
      </w:r>
    </w:p>
    <w:p>
      <w:pPr>
        <w:spacing w:after="0" w:line="249" w:lineRule="auto"/>
        <w:sectPr>
          <w:pgSz w:w="12240" w:h="15840"/>
          <w:pgMar w:header="746" w:footer="0" w:top="1320" w:bottom="280" w:left="880" w:right="300"/>
          <w:cols w:num="2" w:equalWidth="0">
            <w:col w:w="4990" w:space="496"/>
            <w:col w:w="5574"/>
          </w:cols>
        </w:sectPr>
      </w:pPr>
    </w:p>
    <w:p>
      <w:pPr>
        <w:pStyle w:val="BodyText"/>
        <w:spacing w:line="249" w:lineRule="auto" w:before="100"/>
        <w:ind w:right="205"/>
      </w:pPr>
      <w:r>
        <w:rPr/>
        <w:t>A complete description of progression guidelines and degree requirements is provided in the Degree Requirements section of this catalog. Students also must adhere to the policies and guidelines outline in the nursing school’s student handbook.</w:t>
      </w:r>
    </w:p>
    <w:p>
      <w:pPr>
        <w:pStyle w:val="Heading5"/>
        <w:spacing w:before="172"/>
      </w:pPr>
      <w:r>
        <w:rPr/>
        <w:t>Certificate Curriculum</w:t>
      </w:r>
    </w:p>
    <w:p>
      <w:pPr>
        <w:pStyle w:val="Heading5"/>
        <w:spacing w:before="181"/>
      </w:pPr>
      <w:r>
        <w:rPr/>
        <w:t>Required Courses – Environmental Health</w:t>
      </w:r>
    </w:p>
    <w:p>
      <w:pPr>
        <w:pStyle w:val="BodyText"/>
      </w:pPr>
      <w:r>
        <w:rPr/>
        <w:t>(12 total credits)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2"/>
        <w:gridCol w:w="2829"/>
        <w:gridCol w:w="810"/>
      </w:tblGrid>
      <w:tr>
        <w:trPr>
          <w:trHeight w:val="471" w:hRule="atLeast"/>
        </w:trPr>
        <w:tc>
          <w:tcPr>
            <w:tcW w:w="1312" w:type="dxa"/>
          </w:tcPr>
          <w:p>
            <w:pPr>
              <w:pStyle w:val="TableParagraph"/>
              <w:spacing w:line="223" w:lineRule="exact" w:before="0"/>
              <w:ind w:right="174"/>
              <w:jc w:val="right"/>
              <w:rPr>
                <w:sz w:val="20"/>
              </w:rPr>
            </w:pPr>
            <w:r>
              <w:rPr>
                <w:sz w:val="20"/>
              </w:rPr>
              <w:t>NURS 730</w:t>
            </w:r>
          </w:p>
        </w:tc>
        <w:tc>
          <w:tcPr>
            <w:tcW w:w="2829" w:type="dxa"/>
          </w:tcPr>
          <w:p>
            <w:pPr>
              <w:pStyle w:val="TableParagraph"/>
              <w:spacing w:line="223" w:lineRule="exact" w:before="0"/>
              <w:ind w:left="136"/>
              <w:rPr>
                <w:sz w:val="20"/>
              </w:rPr>
            </w:pPr>
            <w:r>
              <w:rPr>
                <w:sz w:val="20"/>
              </w:rPr>
              <w:t>ENVIRONMENTAL</w:t>
            </w:r>
          </w:p>
          <w:p>
            <w:pPr>
              <w:pStyle w:val="TableParagraph"/>
              <w:spacing w:line="219" w:lineRule="exact" w:before="10"/>
              <w:ind w:left="136"/>
              <w:rPr>
                <w:sz w:val="20"/>
              </w:rPr>
            </w:pPr>
            <w:r>
              <w:rPr>
                <w:sz w:val="20"/>
              </w:rPr>
              <w:t>HEALTH I</w:t>
            </w:r>
          </w:p>
        </w:tc>
        <w:tc>
          <w:tcPr>
            <w:tcW w:w="810" w:type="dxa"/>
          </w:tcPr>
          <w:p>
            <w:pPr>
              <w:pStyle w:val="TableParagraph"/>
              <w:spacing w:line="223" w:lineRule="exact" w:before="0"/>
              <w:ind w:right="198"/>
              <w:jc w:val="right"/>
              <w:rPr>
                <w:sz w:val="20"/>
              </w:rPr>
            </w:pPr>
            <w:r>
              <w:rPr>
                <w:w w:val="100"/>
                <w:sz w:val="20"/>
              </w:rPr>
              <w:t>3</w:t>
            </w:r>
          </w:p>
        </w:tc>
      </w:tr>
      <w:tr>
        <w:trPr>
          <w:trHeight w:val="240" w:hRule="atLeast"/>
        </w:trPr>
        <w:tc>
          <w:tcPr>
            <w:tcW w:w="1312" w:type="dxa"/>
          </w:tcPr>
          <w:p>
            <w:pPr>
              <w:pStyle w:val="TableParagraph"/>
              <w:spacing w:line="219" w:lineRule="exact"/>
              <w:ind w:right="174"/>
              <w:jc w:val="right"/>
              <w:rPr>
                <w:sz w:val="20"/>
              </w:rPr>
            </w:pPr>
            <w:r>
              <w:rPr>
                <w:sz w:val="20"/>
              </w:rPr>
              <w:t>NURS 735</w:t>
            </w:r>
          </w:p>
        </w:tc>
        <w:tc>
          <w:tcPr>
            <w:tcW w:w="2829" w:type="dxa"/>
          </w:tcPr>
          <w:p>
            <w:pPr>
              <w:pStyle w:val="TableParagraph"/>
              <w:spacing w:line="219" w:lineRule="exact"/>
              <w:ind w:left="136"/>
              <w:rPr>
                <w:sz w:val="20"/>
              </w:rPr>
            </w:pPr>
            <w:r>
              <w:rPr>
                <w:sz w:val="20"/>
              </w:rPr>
              <w:t>APPLIED TOXICOLOGY</w:t>
            </w:r>
          </w:p>
        </w:tc>
        <w:tc>
          <w:tcPr>
            <w:tcW w:w="810" w:type="dxa"/>
          </w:tcPr>
          <w:p>
            <w:pPr>
              <w:pStyle w:val="TableParagraph"/>
              <w:spacing w:line="219" w:lineRule="exact"/>
              <w:ind w:right="198"/>
              <w:jc w:val="right"/>
              <w:rPr>
                <w:sz w:val="20"/>
              </w:rPr>
            </w:pPr>
            <w:r>
              <w:rPr>
                <w:w w:val="100"/>
                <w:sz w:val="20"/>
              </w:rPr>
              <w:t>3</w:t>
            </w:r>
          </w:p>
        </w:tc>
      </w:tr>
      <w:tr>
        <w:trPr>
          <w:trHeight w:val="720" w:hRule="atLeast"/>
        </w:trPr>
        <w:tc>
          <w:tcPr>
            <w:tcW w:w="1312" w:type="dxa"/>
          </w:tcPr>
          <w:p>
            <w:pPr>
              <w:pStyle w:val="TableParagraph"/>
              <w:ind w:right="174"/>
              <w:jc w:val="right"/>
              <w:rPr>
                <w:sz w:val="20"/>
              </w:rPr>
            </w:pPr>
            <w:r>
              <w:rPr>
                <w:sz w:val="20"/>
              </w:rPr>
              <w:t>NURS 764</w:t>
            </w:r>
          </w:p>
        </w:tc>
        <w:tc>
          <w:tcPr>
            <w:tcW w:w="2829" w:type="dxa"/>
          </w:tcPr>
          <w:p>
            <w:pPr>
              <w:pStyle w:val="TableParagraph"/>
              <w:spacing w:line="249" w:lineRule="auto"/>
              <w:ind w:left="136" w:right="939"/>
              <w:rPr>
                <w:sz w:val="20"/>
              </w:rPr>
            </w:pPr>
            <w:r>
              <w:rPr>
                <w:sz w:val="20"/>
              </w:rPr>
              <w:t>ADVANCED ENVIRONMENTAL</w:t>
            </w:r>
          </w:p>
          <w:p>
            <w:pPr>
              <w:pStyle w:val="TableParagraph"/>
              <w:spacing w:line="219" w:lineRule="exact" w:before="2"/>
              <w:ind w:left="136"/>
              <w:rPr>
                <w:sz w:val="20"/>
              </w:rPr>
            </w:pPr>
            <w:r>
              <w:rPr>
                <w:sz w:val="20"/>
              </w:rPr>
              <w:t>HEALTH</w:t>
            </w:r>
          </w:p>
        </w:tc>
        <w:tc>
          <w:tcPr>
            <w:tcW w:w="810" w:type="dxa"/>
          </w:tcPr>
          <w:p>
            <w:pPr>
              <w:pStyle w:val="TableParagraph"/>
              <w:ind w:right="198"/>
              <w:jc w:val="right"/>
              <w:rPr>
                <w:sz w:val="20"/>
              </w:rPr>
            </w:pPr>
            <w:r>
              <w:rPr>
                <w:w w:val="100"/>
                <w:sz w:val="20"/>
              </w:rPr>
              <w:t>3</w:t>
            </w:r>
          </w:p>
        </w:tc>
      </w:tr>
      <w:tr>
        <w:trPr>
          <w:trHeight w:val="471" w:hRule="atLeast"/>
        </w:trPr>
        <w:tc>
          <w:tcPr>
            <w:tcW w:w="1312" w:type="dxa"/>
          </w:tcPr>
          <w:p>
            <w:pPr>
              <w:pStyle w:val="TableParagraph"/>
              <w:ind w:right="134"/>
              <w:jc w:val="right"/>
              <w:rPr>
                <w:sz w:val="20"/>
              </w:rPr>
            </w:pPr>
            <w:r>
              <w:rPr>
                <w:sz w:val="20"/>
              </w:rPr>
              <w:t>NURS TBD</w:t>
            </w:r>
          </w:p>
        </w:tc>
        <w:tc>
          <w:tcPr>
            <w:tcW w:w="2829" w:type="dxa"/>
          </w:tcPr>
          <w:p>
            <w:pPr>
              <w:pStyle w:val="TableParagraph"/>
              <w:ind w:left="136"/>
              <w:rPr>
                <w:sz w:val="20"/>
              </w:rPr>
            </w:pPr>
            <w:r>
              <w:rPr>
                <w:sz w:val="20"/>
              </w:rPr>
              <w:t>ENVIRONMENTAL</w:t>
            </w:r>
          </w:p>
          <w:p>
            <w:pPr>
              <w:pStyle w:val="TableParagraph"/>
              <w:spacing w:line="210" w:lineRule="exact" w:before="10"/>
              <w:ind w:left="136"/>
              <w:rPr>
                <w:sz w:val="20"/>
              </w:rPr>
            </w:pPr>
            <w:r>
              <w:rPr>
                <w:sz w:val="20"/>
              </w:rPr>
              <w:t>HEALTH ELECTIVE</w:t>
            </w:r>
          </w:p>
        </w:tc>
        <w:tc>
          <w:tcPr>
            <w:tcW w:w="810" w:type="dxa"/>
          </w:tcPr>
          <w:p>
            <w:pPr>
              <w:pStyle w:val="TableParagraph"/>
              <w:ind w:right="198"/>
              <w:jc w:val="right"/>
              <w:rPr>
                <w:sz w:val="20"/>
              </w:rPr>
            </w:pPr>
            <w:r>
              <w:rPr>
                <w:w w:val="100"/>
                <w:sz w:val="20"/>
              </w:rPr>
              <w:t>3</w:t>
            </w:r>
          </w:p>
        </w:tc>
      </w:tr>
    </w:tbl>
    <w:p>
      <w:pPr>
        <w:pStyle w:val="BodyText"/>
        <w:spacing w:before="5"/>
        <w:ind w:left="0"/>
        <w:rPr>
          <w:sz w:val="17"/>
        </w:rPr>
      </w:pPr>
    </w:p>
    <w:p>
      <w:pPr>
        <w:pStyle w:val="Heading5"/>
        <w:spacing w:before="0"/>
      </w:pPr>
      <w:r>
        <w:rPr/>
        <w:t>Required Courses – Global Health</w:t>
      </w:r>
    </w:p>
    <w:p>
      <w:pPr>
        <w:pStyle w:val="BodyText"/>
      </w:pPr>
      <w:r>
        <w:rPr/>
        <w:t>(12 total credits)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6"/>
        <w:gridCol w:w="2848"/>
        <w:gridCol w:w="707"/>
      </w:tblGrid>
      <w:tr>
        <w:trPr>
          <w:trHeight w:val="591" w:hRule="atLeast"/>
        </w:trPr>
        <w:tc>
          <w:tcPr>
            <w:tcW w:w="1396" w:type="dxa"/>
          </w:tcPr>
          <w:p>
            <w:pPr>
              <w:pStyle w:val="TableParagraph"/>
              <w:spacing w:line="249" w:lineRule="auto" w:before="0"/>
              <w:ind w:left="200" w:right="259"/>
              <w:rPr>
                <w:sz w:val="20"/>
              </w:rPr>
            </w:pPr>
            <w:r>
              <w:rPr>
                <w:sz w:val="20"/>
              </w:rPr>
              <w:t>PREV 664/ NRSG 664</w:t>
            </w:r>
          </w:p>
        </w:tc>
        <w:tc>
          <w:tcPr>
            <w:tcW w:w="2848" w:type="dxa"/>
          </w:tcPr>
          <w:p>
            <w:pPr>
              <w:pStyle w:val="TableParagraph"/>
              <w:spacing w:line="249" w:lineRule="auto" w:before="0"/>
              <w:ind w:left="162" w:right="765"/>
              <w:rPr>
                <w:sz w:val="20"/>
              </w:rPr>
            </w:pPr>
            <w:r>
              <w:rPr>
                <w:sz w:val="20"/>
              </w:rPr>
              <w:t>CRITICAL ISSUES IN GLOBAL HEALTH</w:t>
            </w:r>
          </w:p>
        </w:tc>
        <w:tc>
          <w:tcPr>
            <w:tcW w:w="707" w:type="dxa"/>
          </w:tcPr>
          <w:p>
            <w:pPr>
              <w:pStyle w:val="TableParagraph"/>
              <w:spacing w:line="223" w:lineRule="exact" w:before="0"/>
              <w:ind w:right="198"/>
              <w:jc w:val="right"/>
              <w:rPr>
                <w:sz w:val="20"/>
              </w:rPr>
            </w:pPr>
            <w:r>
              <w:rPr>
                <w:w w:val="100"/>
                <w:sz w:val="20"/>
              </w:rPr>
              <w:t>3</w:t>
            </w:r>
          </w:p>
        </w:tc>
      </w:tr>
      <w:tr>
        <w:trPr>
          <w:trHeight w:val="600" w:hRule="atLeast"/>
        </w:trPr>
        <w:tc>
          <w:tcPr>
            <w:tcW w:w="1396" w:type="dxa"/>
          </w:tcPr>
          <w:p>
            <w:pPr>
              <w:pStyle w:val="TableParagraph"/>
              <w:spacing w:before="121"/>
              <w:ind w:left="200"/>
              <w:rPr>
                <w:sz w:val="20"/>
              </w:rPr>
            </w:pPr>
            <w:r>
              <w:rPr>
                <w:sz w:val="20"/>
              </w:rPr>
              <w:t>NURS 769</w:t>
            </w:r>
          </w:p>
        </w:tc>
        <w:tc>
          <w:tcPr>
            <w:tcW w:w="2848" w:type="dxa"/>
          </w:tcPr>
          <w:p>
            <w:pPr>
              <w:pStyle w:val="TableParagraph"/>
              <w:spacing w:line="240" w:lineRule="atLeast" w:before="111"/>
              <w:ind w:left="162" w:right="388"/>
              <w:rPr>
                <w:sz w:val="20"/>
              </w:rPr>
            </w:pPr>
            <w:r>
              <w:rPr>
                <w:sz w:val="20"/>
              </w:rPr>
              <w:t>SOCIETY, HEALTH, AND SOCIAL JUSTICE</w:t>
            </w:r>
          </w:p>
        </w:tc>
        <w:tc>
          <w:tcPr>
            <w:tcW w:w="707" w:type="dxa"/>
          </w:tcPr>
          <w:p>
            <w:pPr>
              <w:pStyle w:val="TableParagraph"/>
              <w:spacing w:before="121"/>
              <w:ind w:right="198"/>
              <w:jc w:val="right"/>
              <w:rPr>
                <w:sz w:val="20"/>
              </w:rPr>
            </w:pPr>
            <w:r>
              <w:rPr>
                <w:w w:val="100"/>
                <w:sz w:val="20"/>
              </w:rPr>
              <w:t>3</w:t>
            </w:r>
          </w:p>
        </w:tc>
      </w:tr>
      <w:tr>
        <w:trPr>
          <w:trHeight w:val="480" w:hRule="atLeast"/>
        </w:trPr>
        <w:tc>
          <w:tcPr>
            <w:tcW w:w="1396" w:type="dxa"/>
          </w:tcPr>
          <w:p>
            <w:pPr>
              <w:pStyle w:val="TableParagraph"/>
              <w:ind w:left="200"/>
              <w:rPr>
                <w:sz w:val="20"/>
              </w:rPr>
            </w:pPr>
            <w:r>
              <w:rPr>
                <w:sz w:val="20"/>
              </w:rPr>
              <w:t>NURS TBD</w:t>
            </w:r>
          </w:p>
        </w:tc>
        <w:tc>
          <w:tcPr>
            <w:tcW w:w="2848" w:type="dxa"/>
          </w:tcPr>
          <w:p>
            <w:pPr>
              <w:pStyle w:val="TableParagraph"/>
              <w:ind w:left="162"/>
              <w:rPr>
                <w:sz w:val="20"/>
              </w:rPr>
            </w:pPr>
            <w:r>
              <w:rPr>
                <w:sz w:val="20"/>
              </w:rPr>
              <w:t>GLOBAL HEALTH</w:t>
            </w:r>
          </w:p>
          <w:p>
            <w:pPr>
              <w:pStyle w:val="TableParagraph"/>
              <w:spacing w:line="219" w:lineRule="exact" w:before="10"/>
              <w:ind w:left="162"/>
              <w:rPr>
                <w:sz w:val="20"/>
              </w:rPr>
            </w:pPr>
            <w:r>
              <w:rPr>
                <w:sz w:val="20"/>
              </w:rPr>
              <w:t>OPTION</w:t>
            </w:r>
          </w:p>
        </w:tc>
        <w:tc>
          <w:tcPr>
            <w:tcW w:w="707" w:type="dxa"/>
          </w:tcPr>
          <w:p>
            <w:pPr>
              <w:pStyle w:val="TableParagraph"/>
              <w:spacing w:before="0"/>
              <w:rPr>
                <w:sz w:val="20"/>
              </w:rPr>
            </w:pPr>
          </w:p>
        </w:tc>
      </w:tr>
      <w:tr>
        <w:trPr>
          <w:trHeight w:val="480" w:hRule="atLeast"/>
        </w:trPr>
        <w:tc>
          <w:tcPr>
            <w:tcW w:w="1396" w:type="dxa"/>
          </w:tcPr>
          <w:p>
            <w:pPr>
              <w:pStyle w:val="TableParagraph"/>
              <w:ind w:left="200"/>
              <w:rPr>
                <w:sz w:val="20"/>
              </w:rPr>
            </w:pPr>
            <w:r>
              <w:rPr>
                <w:sz w:val="20"/>
              </w:rPr>
              <w:t>NRSG 610</w:t>
            </w:r>
          </w:p>
        </w:tc>
        <w:tc>
          <w:tcPr>
            <w:tcW w:w="2848" w:type="dxa"/>
          </w:tcPr>
          <w:p>
            <w:pPr>
              <w:pStyle w:val="TableParagraph"/>
              <w:ind w:left="162"/>
              <w:rPr>
                <w:sz w:val="20"/>
              </w:rPr>
            </w:pPr>
            <w:r>
              <w:rPr>
                <w:sz w:val="20"/>
              </w:rPr>
              <w:t>GLOBAL HEALTH</w:t>
            </w:r>
          </w:p>
          <w:p>
            <w:pPr>
              <w:pStyle w:val="TableParagraph"/>
              <w:spacing w:line="219" w:lineRule="exact" w:before="10"/>
              <w:ind w:left="162"/>
              <w:rPr>
                <w:sz w:val="20"/>
              </w:rPr>
            </w:pPr>
            <w:r>
              <w:rPr>
                <w:sz w:val="20"/>
              </w:rPr>
              <w:t>SEMINAR</w:t>
            </w:r>
          </w:p>
        </w:tc>
        <w:tc>
          <w:tcPr>
            <w:tcW w:w="707" w:type="dxa"/>
          </w:tcPr>
          <w:p>
            <w:pPr>
              <w:pStyle w:val="TableParagraph"/>
              <w:ind w:right="198"/>
              <w:jc w:val="right"/>
              <w:rPr>
                <w:sz w:val="20"/>
              </w:rPr>
            </w:pPr>
            <w:r>
              <w:rPr>
                <w:w w:val="100"/>
                <w:sz w:val="20"/>
              </w:rPr>
              <w:t>3</w:t>
            </w:r>
          </w:p>
        </w:tc>
      </w:tr>
      <w:tr>
        <w:trPr>
          <w:trHeight w:val="471" w:hRule="atLeast"/>
        </w:trPr>
        <w:tc>
          <w:tcPr>
            <w:tcW w:w="1396" w:type="dxa"/>
          </w:tcPr>
          <w:p>
            <w:pPr>
              <w:pStyle w:val="TableParagraph"/>
              <w:ind w:left="200"/>
              <w:rPr>
                <w:sz w:val="20"/>
              </w:rPr>
            </w:pPr>
            <w:r>
              <w:rPr>
                <w:sz w:val="20"/>
              </w:rPr>
              <w:t>NRSG 611</w:t>
            </w:r>
          </w:p>
        </w:tc>
        <w:tc>
          <w:tcPr>
            <w:tcW w:w="2848" w:type="dxa"/>
          </w:tcPr>
          <w:p>
            <w:pPr>
              <w:pStyle w:val="TableParagraph"/>
              <w:ind w:left="162"/>
              <w:rPr>
                <w:sz w:val="20"/>
              </w:rPr>
            </w:pPr>
            <w:r>
              <w:rPr>
                <w:sz w:val="20"/>
              </w:rPr>
              <w:t>GLOBAL HEALTH FIELD</w:t>
            </w:r>
          </w:p>
          <w:p>
            <w:pPr>
              <w:pStyle w:val="TableParagraph"/>
              <w:spacing w:line="210" w:lineRule="exact" w:before="10"/>
              <w:ind w:left="162"/>
              <w:rPr>
                <w:sz w:val="20"/>
              </w:rPr>
            </w:pPr>
            <w:r>
              <w:rPr>
                <w:sz w:val="20"/>
              </w:rPr>
              <w:t>EXPERIENCE</w:t>
            </w:r>
          </w:p>
        </w:tc>
        <w:tc>
          <w:tcPr>
            <w:tcW w:w="707" w:type="dxa"/>
          </w:tcPr>
          <w:p>
            <w:pPr>
              <w:pStyle w:val="TableParagraph"/>
              <w:ind w:right="198"/>
              <w:jc w:val="right"/>
              <w:rPr>
                <w:sz w:val="20"/>
              </w:rPr>
            </w:pPr>
            <w:r>
              <w:rPr>
                <w:w w:val="100"/>
                <w:sz w:val="20"/>
              </w:rPr>
              <w:t>3</w:t>
            </w:r>
          </w:p>
        </w:tc>
      </w:tr>
    </w:tbl>
    <w:p>
      <w:pPr>
        <w:pStyle w:val="BodyText"/>
        <w:spacing w:before="0"/>
        <w:ind w:left="0"/>
        <w:rPr>
          <w:sz w:val="22"/>
        </w:rPr>
      </w:pPr>
    </w:p>
    <w:p>
      <w:pPr>
        <w:pStyle w:val="BodyText"/>
        <w:spacing w:before="6"/>
        <w:ind w:left="0"/>
        <w:rPr>
          <w:sz w:val="27"/>
        </w:rPr>
      </w:pPr>
    </w:p>
    <w:p>
      <w:pPr>
        <w:spacing w:before="0"/>
        <w:ind w:left="200" w:right="0" w:firstLine="0"/>
        <w:jc w:val="left"/>
        <w:rPr>
          <w:i/>
          <w:sz w:val="20"/>
        </w:rPr>
      </w:pPr>
      <w:r>
        <w:rPr>
          <w:i/>
          <w:sz w:val="20"/>
        </w:rPr>
        <w:t>PREV 664/NRSG 664: interprofessional course</w:t>
      </w:r>
    </w:p>
    <w:p>
      <w:pPr>
        <w:pStyle w:val="Heading5"/>
        <w:spacing w:before="178"/>
      </w:pPr>
      <w:r>
        <w:rPr/>
        <w:t>Required Courses – Nursing Informatics</w:t>
      </w:r>
    </w:p>
    <w:p>
      <w:pPr>
        <w:pStyle w:val="BodyText"/>
        <w:spacing w:before="191"/>
      </w:pPr>
      <w:r>
        <w:rPr/>
        <w:pict>
          <v:shape style="position:absolute;margin-left:49.279999pt;margin-top:21.903517pt;width:206.5pt;height:155.2pt;mso-position-horizontal-relative:page;mso-position-vertical-relative:paragraph;z-index:13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1"/>
                    <w:gridCol w:w="2809"/>
                  </w:tblGrid>
                  <w:tr>
                    <w:trPr>
                      <w:trHeight w:val="471" w:hRule="atLeast"/>
                    </w:trPr>
                    <w:tc>
                      <w:tcPr>
                        <w:tcW w:w="1321" w:type="dxa"/>
                      </w:tcPr>
                      <w:p>
                        <w:pPr>
                          <w:pStyle w:val="TableParagraph"/>
                          <w:spacing w:line="223" w:lineRule="exact" w:before="0"/>
                          <w:ind w:right="184"/>
                          <w:jc w:val="right"/>
                          <w:rPr>
                            <w:sz w:val="20"/>
                          </w:rPr>
                        </w:pPr>
                        <w:r>
                          <w:rPr>
                            <w:sz w:val="20"/>
                          </w:rPr>
                          <w:t>NURS 786</w:t>
                        </w:r>
                      </w:p>
                    </w:tc>
                    <w:tc>
                      <w:tcPr>
                        <w:tcW w:w="2809" w:type="dxa"/>
                      </w:tcPr>
                      <w:p>
                        <w:pPr>
                          <w:pStyle w:val="TableParagraph"/>
                          <w:spacing w:line="223" w:lineRule="exact" w:before="0"/>
                          <w:ind w:left="184"/>
                          <w:rPr>
                            <w:sz w:val="20"/>
                          </w:rPr>
                        </w:pPr>
                        <w:r>
                          <w:rPr>
                            <w:sz w:val="20"/>
                          </w:rPr>
                          <w:t>SYSTEMS ANALYSIS AND</w:t>
                        </w:r>
                      </w:p>
                      <w:p>
                        <w:pPr>
                          <w:pStyle w:val="TableParagraph"/>
                          <w:spacing w:line="219" w:lineRule="exact" w:before="10"/>
                          <w:ind w:left="184"/>
                          <w:rPr>
                            <w:sz w:val="20"/>
                          </w:rPr>
                        </w:pPr>
                        <w:r>
                          <w:rPr>
                            <w:sz w:val="20"/>
                          </w:rPr>
                          <w:t>DESIGN</w:t>
                        </w:r>
                      </w:p>
                    </w:tc>
                  </w:tr>
                  <w:tr>
                    <w:trPr>
                      <w:trHeight w:val="1200" w:hRule="atLeast"/>
                    </w:trPr>
                    <w:tc>
                      <w:tcPr>
                        <w:tcW w:w="1321" w:type="dxa"/>
                      </w:tcPr>
                      <w:p>
                        <w:pPr>
                          <w:pStyle w:val="TableParagraph"/>
                          <w:ind w:right="183"/>
                          <w:jc w:val="right"/>
                          <w:rPr>
                            <w:sz w:val="20"/>
                          </w:rPr>
                        </w:pPr>
                        <w:r>
                          <w:rPr>
                            <w:sz w:val="20"/>
                          </w:rPr>
                          <w:t>NURS 736</w:t>
                        </w:r>
                      </w:p>
                    </w:tc>
                    <w:tc>
                      <w:tcPr>
                        <w:tcW w:w="2809" w:type="dxa"/>
                      </w:tcPr>
                      <w:p>
                        <w:pPr>
                          <w:pStyle w:val="TableParagraph"/>
                          <w:spacing w:line="249" w:lineRule="auto"/>
                          <w:ind w:left="184" w:right="216"/>
                          <w:rPr>
                            <w:sz w:val="20"/>
                          </w:rPr>
                        </w:pPr>
                        <w:r>
                          <w:rPr>
                            <w:sz w:val="20"/>
                          </w:rPr>
                          <w:t>TECHNOLOGY SOLUTIONS FOR GENERATING KNOWLEDGE IN HEALTH</w:t>
                        </w:r>
                      </w:p>
                      <w:p>
                        <w:pPr>
                          <w:pStyle w:val="TableParagraph"/>
                          <w:spacing w:line="219" w:lineRule="exact" w:before="3"/>
                          <w:ind w:left="184"/>
                          <w:rPr>
                            <w:sz w:val="20"/>
                          </w:rPr>
                        </w:pPr>
                        <w:r>
                          <w:rPr>
                            <w:sz w:val="20"/>
                          </w:rPr>
                          <w:t>CARE</w:t>
                        </w:r>
                      </w:p>
                    </w:tc>
                  </w:tr>
                  <w:tr>
                    <w:trPr>
                      <w:trHeight w:val="480" w:hRule="atLeast"/>
                    </w:trPr>
                    <w:tc>
                      <w:tcPr>
                        <w:tcW w:w="1321" w:type="dxa"/>
                      </w:tcPr>
                      <w:p>
                        <w:pPr>
                          <w:pStyle w:val="TableParagraph"/>
                          <w:ind w:right="183"/>
                          <w:jc w:val="right"/>
                          <w:rPr>
                            <w:sz w:val="20"/>
                          </w:rPr>
                        </w:pPr>
                        <w:r>
                          <w:rPr>
                            <w:sz w:val="20"/>
                          </w:rPr>
                          <w:t>NURS 785</w:t>
                        </w:r>
                      </w:p>
                    </w:tc>
                    <w:tc>
                      <w:tcPr>
                        <w:tcW w:w="2809" w:type="dxa"/>
                      </w:tcPr>
                      <w:p>
                        <w:pPr>
                          <w:pStyle w:val="TableParagraph"/>
                          <w:ind w:left="184"/>
                          <w:rPr>
                            <w:sz w:val="20"/>
                          </w:rPr>
                        </w:pPr>
                        <w:r>
                          <w:rPr>
                            <w:sz w:val="20"/>
                          </w:rPr>
                          <w:t>HEALTH CARE</w:t>
                        </w:r>
                      </w:p>
                      <w:p>
                        <w:pPr>
                          <w:pStyle w:val="TableParagraph"/>
                          <w:spacing w:line="219" w:lineRule="exact" w:before="10"/>
                          <w:ind w:left="184"/>
                          <w:rPr>
                            <w:sz w:val="20"/>
                          </w:rPr>
                        </w:pPr>
                        <w:r>
                          <w:rPr>
                            <w:sz w:val="20"/>
                          </w:rPr>
                          <w:t>DATABASE SYSTEMS</w:t>
                        </w:r>
                      </w:p>
                    </w:tc>
                  </w:tr>
                  <w:tr>
                    <w:trPr>
                      <w:trHeight w:val="720" w:hRule="atLeast"/>
                    </w:trPr>
                    <w:tc>
                      <w:tcPr>
                        <w:tcW w:w="1321" w:type="dxa"/>
                      </w:tcPr>
                      <w:p>
                        <w:pPr>
                          <w:pStyle w:val="TableParagraph"/>
                          <w:ind w:right="183"/>
                          <w:jc w:val="right"/>
                          <w:rPr>
                            <w:sz w:val="20"/>
                          </w:rPr>
                        </w:pPr>
                        <w:r>
                          <w:rPr>
                            <w:sz w:val="20"/>
                          </w:rPr>
                          <w:t>NURS 784</w:t>
                        </w:r>
                      </w:p>
                    </w:tc>
                    <w:tc>
                      <w:tcPr>
                        <w:tcW w:w="2809" w:type="dxa"/>
                      </w:tcPr>
                      <w:p>
                        <w:pPr>
                          <w:pStyle w:val="TableParagraph"/>
                          <w:spacing w:line="249" w:lineRule="auto"/>
                          <w:ind w:left="184" w:right="343"/>
                          <w:rPr>
                            <w:sz w:val="20"/>
                          </w:rPr>
                        </w:pPr>
                        <w:r>
                          <w:rPr>
                            <w:sz w:val="20"/>
                          </w:rPr>
                          <w:t>INFORMATION TECHNOLOGY PROJECT</w:t>
                        </w:r>
                      </w:p>
                      <w:p>
                        <w:pPr>
                          <w:pStyle w:val="TableParagraph"/>
                          <w:spacing w:line="219" w:lineRule="exact" w:before="2"/>
                          <w:ind w:left="184"/>
                          <w:rPr>
                            <w:sz w:val="20"/>
                          </w:rPr>
                        </w:pPr>
                        <w:r>
                          <w:rPr>
                            <w:sz w:val="20"/>
                          </w:rPr>
                          <w:t>MANAGEMENT</w:t>
                        </w:r>
                      </w:p>
                    </w:tc>
                  </w:tr>
                  <w:tr>
                    <w:trPr>
                      <w:trHeight w:val="231" w:hRule="atLeast"/>
                    </w:trPr>
                    <w:tc>
                      <w:tcPr>
                        <w:tcW w:w="1321" w:type="dxa"/>
                      </w:tcPr>
                      <w:p>
                        <w:pPr>
                          <w:pStyle w:val="TableParagraph"/>
                          <w:spacing w:line="210" w:lineRule="exact"/>
                          <w:ind w:right="183"/>
                          <w:jc w:val="right"/>
                          <w:rPr>
                            <w:sz w:val="20"/>
                          </w:rPr>
                        </w:pPr>
                        <w:r>
                          <w:rPr>
                            <w:sz w:val="20"/>
                          </w:rPr>
                          <w:t>NURS 737</w:t>
                        </w:r>
                      </w:p>
                    </w:tc>
                    <w:tc>
                      <w:tcPr>
                        <w:tcW w:w="2809" w:type="dxa"/>
                      </w:tcPr>
                      <w:p>
                        <w:pPr>
                          <w:pStyle w:val="TableParagraph"/>
                          <w:spacing w:line="210" w:lineRule="exact"/>
                          <w:ind w:left="184"/>
                          <w:rPr>
                            <w:sz w:val="20"/>
                          </w:rPr>
                        </w:pPr>
                        <w:r>
                          <w:rPr>
                            <w:sz w:val="20"/>
                          </w:rPr>
                          <w:t>NURSING INFORMATICS</w:t>
                        </w:r>
                      </w:p>
                    </w:tc>
                  </w:tr>
                </w:tbl>
                <w:p>
                  <w:pPr>
                    <w:pStyle w:val="BodyText"/>
                    <w:spacing w:before="0"/>
                    <w:ind w:left="0"/>
                  </w:pPr>
                </w:p>
              </w:txbxContent>
            </v:textbox>
            <w10:wrap type="none"/>
          </v:shape>
        </w:pict>
      </w:r>
      <w:r>
        <w:rPr/>
        <w:t>(18-19 total credits)</w:t>
      </w:r>
    </w:p>
    <w:p>
      <w:pPr>
        <w:pStyle w:val="BodyText"/>
        <w:spacing w:before="3"/>
        <w:ind w:left="0"/>
        <w:rPr>
          <w:sz w:val="9"/>
        </w:rPr>
      </w:pPr>
      <w:r>
        <w:rPr/>
        <w:br w:type="column"/>
      </w:r>
      <w:r>
        <w:rPr>
          <w:sz w:val="9"/>
        </w:rPr>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1"/>
        <w:gridCol w:w="2590"/>
      </w:tblGrid>
      <w:tr>
        <w:trPr>
          <w:trHeight w:val="711" w:hRule="atLeast"/>
        </w:trPr>
        <w:tc>
          <w:tcPr>
            <w:tcW w:w="1321" w:type="dxa"/>
          </w:tcPr>
          <w:p>
            <w:pPr>
              <w:pStyle w:val="TableParagraph"/>
              <w:spacing w:before="0"/>
              <w:rPr>
                <w:sz w:val="20"/>
              </w:rPr>
            </w:pPr>
          </w:p>
        </w:tc>
        <w:tc>
          <w:tcPr>
            <w:tcW w:w="2590" w:type="dxa"/>
          </w:tcPr>
          <w:p>
            <w:pPr>
              <w:pStyle w:val="TableParagraph"/>
              <w:spacing w:line="249" w:lineRule="auto" w:before="0"/>
              <w:ind w:left="184" w:right="207"/>
              <w:rPr>
                <w:sz w:val="20"/>
              </w:rPr>
            </w:pPr>
            <w:r>
              <w:rPr>
                <w:sz w:val="20"/>
              </w:rPr>
              <w:t>CONCEPTS AND PRACTICE IN SYSTEMS</w:t>
            </w:r>
          </w:p>
          <w:p>
            <w:pPr>
              <w:pStyle w:val="TableParagraph"/>
              <w:spacing w:line="219" w:lineRule="exact" w:before="0"/>
              <w:ind w:left="184"/>
              <w:rPr>
                <w:sz w:val="20"/>
              </w:rPr>
            </w:pPr>
            <w:r>
              <w:rPr>
                <w:sz w:val="20"/>
              </w:rPr>
              <w:t>ADOPTION</w:t>
            </w:r>
          </w:p>
        </w:tc>
      </w:tr>
      <w:tr>
        <w:trPr>
          <w:trHeight w:val="471" w:hRule="atLeast"/>
        </w:trPr>
        <w:tc>
          <w:tcPr>
            <w:tcW w:w="1321" w:type="dxa"/>
          </w:tcPr>
          <w:p>
            <w:pPr>
              <w:pStyle w:val="TableParagraph"/>
              <w:ind w:left="200"/>
              <w:rPr>
                <w:sz w:val="20"/>
              </w:rPr>
            </w:pPr>
            <w:r>
              <w:rPr>
                <w:sz w:val="20"/>
              </w:rPr>
              <w:t>NURS 738</w:t>
            </w:r>
          </w:p>
        </w:tc>
        <w:tc>
          <w:tcPr>
            <w:tcW w:w="2590" w:type="dxa"/>
          </w:tcPr>
          <w:p>
            <w:pPr>
              <w:pStyle w:val="TableParagraph"/>
              <w:ind w:left="184"/>
              <w:rPr>
                <w:sz w:val="20"/>
              </w:rPr>
            </w:pPr>
            <w:r>
              <w:rPr>
                <w:sz w:val="20"/>
              </w:rPr>
              <w:t>PRACTICUM AND</w:t>
            </w:r>
          </w:p>
          <w:p>
            <w:pPr>
              <w:pStyle w:val="TableParagraph"/>
              <w:spacing w:line="210" w:lineRule="exact" w:before="10"/>
              <w:ind w:left="184"/>
              <w:rPr>
                <w:sz w:val="20"/>
              </w:rPr>
            </w:pPr>
            <w:r>
              <w:rPr>
                <w:sz w:val="20"/>
              </w:rPr>
              <w:t>HEALTH INFORMATICS</w:t>
            </w:r>
          </w:p>
        </w:tc>
      </w:tr>
    </w:tbl>
    <w:p>
      <w:pPr>
        <w:pStyle w:val="Heading5"/>
        <w:spacing w:before="178"/>
        <w:ind w:left="199" w:right="939"/>
      </w:pPr>
      <w:r>
        <w:rPr/>
        <w:t>Required Courses – Teaching In Nursing and Health Profession (12 Total Credits)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569"/>
        <w:gridCol w:w="2956"/>
        <w:gridCol w:w="639"/>
      </w:tblGrid>
      <w:tr>
        <w:trPr>
          <w:trHeight w:val="1431" w:hRule="atLeast"/>
        </w:trPr>
        <w:tc>
          <w:tcPr>
            <w:tcW w:w="782" w:type="dxa"/>
          </w:tcPr>
          <w:p>
            <w:pPr>
              <w:pStyle w:val="TableParagraph"/>
              <w:spacing w:line="223" w:lineRule="exact" w:before="0"/>
              <w:ind w:right="50"/>
              <w:jc w:val="right"/>
              <w:rPr>
                <w:sz w:val="20"/>
              </w:rPr>
            </w:pPr>
            <w:r>
              <w:rPr>
                <w:sz w:val="20"/>
              </w:rPr>
              <w:t>NURS</w:t>
            </w:r>
          </w:p>
        </w:tc>
        <w:tc>
          <w:tcPr>
            <w:tcW w:w="569" w:type="dxa"/>
          </w:tcPr>
          <w:p>
            <w:pPr>
              <w:pStyle w:val="TableParagraph"/>
              <w:spacing w:line="223" w:lineRule="exact" w:before="0"/>
              <w:ind w:left="51"/>
              <w:rPr>
                <w:sz w:val="20"/>
              </w:rPr>
            </w:pPr>
            <w:r>
              <w:rPr>
                <w:sz w:val="20"/>
              </w:rPr>
              <w:t>787</w:t>
            </w:r>
          </w:p>
        </w:tc>
        <w:tc>
          <w:tcPr>
            <w:tcW w:w="2956" w:type="dxa"/>
          </w:tcPr>
          <w:p>
            <w:pPr>
              <w:pStyle w:val="TableParagraph"/>
              <w:spacing w:line="249" w:lineRule="auto" w:before="0"/>
              <w:ind w:left="116" w:right="338"/>
              <w:rPr>
                <w:sz w:val="20"/>
              </w:rPr>
            </w:pPr>
            <w:r>
              <w:rPr>
                <w:sz w:val="20"/>
              </w:rPr>
              <w:t>THEORETICAL FOUNDATIONS OF TEACHING </w:t>
            </w:r>
            <w:r>
              <w:rPr>
                <w:spacing w:val="-2"/>
                <w:sz w:val="20"/>
              </w:rPr>
              <w:t>AND </w:t>
            </w:r>
            <w:r>
              <w:rPr>
                <w:sz w:val="20"/>
              </w:rPr>
              <w:t>LEARNING IN </w:t>
            </w:r>
            <w:r>
              <w:rPr>
                <w:spacing w:val="-5"/>
                <w:sz w:val="20"/>
              </w:rPr>
              <w:t>NURSING </w:t>
            </w:r>
            <w:r>
              <w:rPr>
                <w:sz w:val="20"/>
              </w:rPr>
              <w:t>AND HEALTH</w:t>
            </w:r>
          </w:p>
          <w:p>
            <w:pPr>
              <w:pStyle w:val="TableParagraph"/>
              <w:spacing w:line="219" w:lineRule="exact" w:before="0"/>
              <w:ind w:left="116"/>
              <w:rPr>
                <w:sz w:val="20"/>
              </w:rPr>
            </w:pPr>
            <w:r>
              <w:rPr>
                <w:sz w:val="20"/>
              </w:rPr>
              <w:t>PROFESSIONS</w:t>
            </w:r>
          </w:p>
        </w:tc>
        <w:tc>
          <w:tcPr>
            <w:tcW w:w="639" w:type="dxa"/>
          </w:tcPr>
          <w:p>
            <w:pPr>
              <w:pStyle w:val="TableParagraph"/>
              <w:spacing w:line="223" w:lineRule="exact" w:before="0"/>
              <w:ind w:right="198"/>
              <w:jc w:val="right"/>
              <w:rPr>
                <w:sz w:val="20"/>
              </w:rPr>
            </w:pPr>
            <w:r>
              <w:rPr>
                <w:w w:val="100"/>
                <w:sz w:val="20"/>
              </w:rPr>
              <w:t>3</w:t>
            </w:r>
          </w:p>
        </w:tc>
      </w:tr>
      <w:tr>
        <w:trPr>
          <w:trHeight w:val="1440" w:hRule="atLeast"/>
        </w:trPr>
        <w:tc>
          <w:tcPr>
            <w:tcW w:w="782" w:type="dxa"/>
          </w:tcPr>
          <w:p>
            <w:pPr>
              <w:pStyle w:val="TableParagraph"/>
              <w:ind w:right="50"/>
              <w:jc w:val="right"/>
              <w:rPr>
                <w:sz w:val="20"/>
              </w:rPr>
            </w:pPr>
            <w:r>
              <w:rPr>
                <w:sz w:val="20"/>
              </w:rPr>
              <w:t>NURS</w:t>
            </w:r>
          </w:p>
        </w:tc>
        <w:tc>
          <w:tcPr>
            <w:tcW w:w="569" w:type="dxa"/>
          </w:tcPr>
          <w:p>
            <w:pPr>
              <w:pStyle w:val="TableParagraph"/>
              <w:ind w:left="51"/>
              <w:rPr>
                <w:sz w:val="20"/>
              </w:rPr>
            </w:pPr>
            <w:r>
              <w:rPr>
                <w:sz w:val="20"/>
              </w:rPr>
              <w:t>791</w:t>
            </w:r>
          </w:p>
        </w:tc>
        <w:tc>
          <w:tcPr>
            <w:tcW w:w="2956" w:type="dxa"/>
          </w:tcPr>
          <w:p>
            <w:pPr>
              <w:pStyle w:val="TableParagraph"/>
              <w:spacing w:line="249" w:lineRule="auto"/>
              <w:ind w:left="116" w:right="338"/>
              <w:rPr>
                <w:sz w:val="20"/>
              </w:rPr>
            </w:pPr>
            <w:r>
              <w:rPr>
                <w:sz w:val="20"/>
              </w:rPr>
              <w:t>INSTRUCTIONAL STRATEGIES </w:t>
            </w:r>
            <w:r>
              <w:rPr>
                <w:spacing w:val="-2"/>
                <w:sz w:val="20"/>
              </w:rPr>
              <w:t>AND </w:t>
            </w:r>
            <w:r>
              <w:rPr>
                <w:sz w:val="20"/>
              </w:rPr>
              <w:t>ASSESSMENT </w:t>
            </w:r>
            <w:r>
              <w:rPr>
                <w:spacing w:val="-2"/>
                <w:sz w:val="20"/>
              </w:rPr>
              <w:t>AND </w:t>
            </w:r>
            <w:r>
              <w:rPr>
                <w:sz w:val="20"/>
              </w:rPr>
              <w:t>LEARNING IN </w:t>
            </w:r>
            <w:r>
              <w:rPr>
                <w:spacing w:val="-5"/>
                <w:sz w:val="20"/>
              </w:rPr>
              <w:t>NURSING </w:t>
            </w:r>
            <w:r>
              <w:rPr>
                <w:sz w:val="20"/>
              </w:rPr>
              <w:t>AND HEALTH</w:t>
            </w:r>
          </w:p>
          <w:p>
            <w:pPr>
              <w:pStyle w:val="TableParagraph"/>
              <w:spacing w:line="219" w:lineRule="exact" w:before="4"/>
              <w:ind w:left="116"/>
              <w:rPr>
                <w:sz w:val="20"/>
              </w:rPr>
            </w:pPr>
            <w:r>
              <w:rPr>
                <w:sz w:val="20"/>
              </w:rPr>
              <w:t>PROFESSIONS</w:t>
            </w:r>
          </w:p>
        </w:tc>
        <w:tc>
          <w:tcPr>
            <w:tcW w:w="639" w:type="dxa"/>
          </w:tcPr>
          <w:p>
            <w:pPr>
              <w:pStyle w:val="TableParagraph"/>
              <w:ind w:right="198"/>
              <w:jc w:val="right"/>
              <w:rPr>
                <w:sz w:val="20"/>
              </w:rPr>
            </w:pPr>
            <w:r>
              <w:rPr>
                <w:w w:val="100"/>
                <w:sz w:val="20"/>
              </w:rPr>
              <w:t>3</w:t>
            </w:r>
          </w:p>
        </w:tc>
      </w:tr>
      <w:tr>
        <w:trPr>
          <w:trHeight w:val="720" w:hRule="atLeast"/>
        </w:trPr>
        <w:tc>
          <w:tcPr>
            <w:tcW w:w="782" w:type="dxa"/>
          </w:tcPr>
          <w:p>
            <w:pPr>
              <w:pStyle w:val="TableParagraph"/>
              <w:ind w:right="50"/>
              <w:jc w:val="right"/>
              <w:rPr>
                <w:sz w:val="20"/>
              </w:rPr>
            </w:pPr>
            <w:r>
              <w:rPr>
                <w:sz w:val="20"/>
              </w:rPr>
              <w:t>NURS</w:t>
            </w:r>
          </w:p>
        </w:tc>
        <w:tc>
          <w:tcPr>
            <w:tcW w:w="569" w:type="dxa"/>
          </w:tcPr>
          <w:p>
            <w:pPr>
              <w:pStyle w:val="TableParagraph"/>
              <w:ind w:left="51"/>
              <w:rPr>
                <w:sz w:val="20"/>
              </w:rPr>
            </w:pPr>
            <w:r>
              <w:rPr>
                <w:sz w:val="20"/>
              </w:rPr>
              <w:t>792</w:t>
            </w:r>
          </w:p>
        </w:tc>
        <w:tc>
          <w:tcPr>
            <w:tcW w:w="2956" w:type="dxa"/>
          </w:tcPr>
          <w:p>
            <w:pPr>
              <w:pStyle w:val="TableParagraph"/>
              <w:spacing w:line="249" w:lineRule="auto"/>
              <w:ind w:left="116" w:right="320"/>
              <w:rPr>
                <w:sz w:val="20"/>
              </w:rPr>
            </w:pPr>
            <w:r>
              <w:rPr>
                <w:sz w:val="20"/>
              </w:rPr>
              <w:t>PRACTICUM IN TEACHING IN NURSING AND HEALTH</w:t>
            </w:r>
          </w:p>
          <w:p>
            <w:pPr>
              <w:pStyle w:val="TableParagraph"/>
              <w:spacing w:line="219" w:lineRule="exact" w:before="2"/>
              <w:ind w:left="116"/>
              <w:rPr>
                <w:sz w:val="20"/>
              </w:rPr>
            </w:pPr>
            <w:r>
              <w:rPr>
                <w:sz w:val="20"/>
              </w:rPr>
              <w:t>PROFESSIONS</w:t>
            </w:r>
          </w:p>
        </w:tc>
        <w:tc>
          <w:tcPr>
            <w:tcW w:w="639" w:type="dxa"/>
          </w:tcPr>
          <w:p>
            <w:pPr>
              <w:pStyle w:val="TableParagraph"/>
              <w:ind w:right="198"/>
              <w:jc w:val="right"/>
              <w:rPr>
                <w:sz w:val="20"/>
              </w:rPr>
            </w:pPr>
            <w:r>
              <w:rPr>
                <w:w w:val="100"/>
                <w:sz w:val="20"/>
              </w:rPr>
              <w:t>3</w:t>
            </w:r>
          </w:p>
        </w:tc>
      </w:tr>
      <w:tr>
        <w:trPr>
          <w:trHeight w:val="231" w:hRule="atLeast"/>
        </w:trPr>
        <w:tc>
          <w:tcPr>
            <w:tcW w:w="782" w:type="dxa"/>
          </w:tcPr>
          <w:p>
            <w:pPr>
              <w:pStyle w:val="TableParagraph"/>
              <w:spacing w:line="210" w:lineRule="exact"/>
              <w:ind w:right="50"/>
              <w:jc w:val="right"/>
              <w:rPr>
                <w:sz w:val="20"/>
              </w:rPr>
            </w:pPr>
            <w:r>
              <w:rPr>
                <w:sz w:val="20"/>
              </w:rPr>
              <w:t>NURS</w:t>
            </w:r>
          </w:p>
        </w:tc>
        <w:tc>
          <w:tcPr>
            <w:tcW w:w="569" w:type="dxa"/>
          </w:tcPr>
          <w:p>
            <w:pPr>
              <w:pStyle w:val="TableParagraph"/>
              <w:spacing w:line="210" w:lineRule="exact"/>
              <w:ind w:left="51"/>
              <w:rPr>
                <w:sz w:val="20"/>
              </w:rPr>
            </w:pPr>
            <w:r>
              <w:rPr>
                <w:sz w:val="20"/>
              </w:rPr>
              <w:t>TBD</w:t>
            </w:r>
          </w:p>
        </w:tc>
        <w:tc>
          <w:tcPr>
            <w:tcW w:w="2956" w:type="dxa"/>
          </w:tcPr>
          <w:p>
            <w:pPr>
              <w:pStyle w:val="TableParagraph"/>
              <w:spacing w:line="210" w:lineRule="exact"/>
              <w:ind w:left="116"/>
              <w:rPr>
                <w:sz w:val="20"/>
              </w:rPr>
            </w:pPr>
            <w:r>
              <w:rPr>
                <w:sz w:val="20"/>
              </w:rPr>
              <w:t>ELECTIVE</w:t>
            </w:r>
          </w:p>
        </w:tc>
        <w:tc>
          <w:tcPr>
            <w:tcW w:w="639" w:type="dxa"/>
          </w:tcPr>
          <w:p>
            <w:pPr>
              <w:pStyle w:val="TableParagraph"/>
              <w:spacing w:before="0"/>
              <w:rPr>
                <w:sz w:val="16"/>
              </w:rPr>
            </w:pPr>
          </w:p>
        </w:tc>
      </w:tr>
    </w:tbl>
    <w:p>
      <w:pPr>
        <w:pStyle w:val="Heading5"/>
        <w:spacing w:line="415" w:lineRule="auto" w:before="196"/>
        <w:ind w:left="199" w:right="2868"/>
      </w:pPr>
      <w:r>
        <w:rPr/>
        <w:pict>
          <v:shape style="position:absolute;margin-left:323.600006pt;margin-top:43.500298pt;width:247.3pt;height:167.2pt;mso-position-horizontal-relative:page;mso-position-vertical-relative:paragraph;z-index:13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1"/>
                    <w:gridCol w:w="2957"/>
                    <w:gridCol w:w="677"/>
                  </w:tblGrid>
                  <w:tr>
                    <w:trPr>
                      <w:trHeight w:val="711" w:hRule="atLeast"/>
                    </w:trPr>
                    <w:tc>
                      <w:tcPr>
                        <w:tcW w:w="1311" w:type="dxa"/>
                      </w:tcPr>
                      <w:p>
                        <w:pPr>
                          <w:pStyle w:val="TableParagraph"/>
                          <w:spacing w:line="223" w:lineRule="exact" w:before="0"/>
                          <w:ind w:left="182" w:right="158"/>
                          <w:jc w:val="center"/>
                          <w:rPr>
                            <w:sz w:val="20"/>
                          </w:rPr>
                        </w:pPr>
                        <w:r>
                          <w:rPr>
                            <w:sz w:val="20"/>
                          </w:rPr>
                          <w:t>NRSG 780</w:t>
                        </w:r>
                      </w:p>
                    </w:tc>
                    <w:tc>
                      <w:tcPr>
                        <w:tcW w:w="2957" w:type="dxa"/>
                      </w:tcPr>
                      <w:p>
                        <w:pPr>
                          <w:pStyle w:val="TableParagraph"/>
                          <w:spacing w:line="249" w:lineRule="auto" w:before="0"/>
                          <w:ind w:left="175" w:right="528"/>
                          <w:rPr>
                            <w:sz w:val="20"/>
                          </w:rPr>
                        </w:pPr>
                        <w:r>
                          <w:rPr>
                            <w:sz w:val="20"/>
                          </w:rPr>
                          <w:t>HEALTH PROMOTION AND POPULATION</w:t>
                        </w:r>
                      </w:p>
                      <w:p>
                        <w:pPr>
                          <w:pStyle w:val="TableParagraph"/>
                          <w:spacing w:line="219" w:lineRule="exact" w:before="0"/>
                          <w:ind w:left="175"/>
                          <w:rPr>
                            <w:sz w:val="20"/>
                          </w:rPr>
                        </w:pPr>
                        <w:r>
                          <w:rPr>
                            <w:sz w:val="20"/>
                          </w:rPr>
                          <w:t>HEALTH</w:t>
                        </w:r>
                      </w:p>
                    </w:tc>
                    <w:tc>
                      <w:tcPr>
                        <w:tcW w:w="677" w:type="dxa"/>
                      </w:tcPr>
                      <w:p>
                        <w:pPr>
                          <w:pStyle w:val="TableParagraph"/>
                          <w:spacing w:line="223" w:lineRule="exact" w:before="0"/>
                          <w:ind w:right="197"/>
                          <w:jc w:val="right"/>
                          <w:rPr>
                            <w:sz w:val="20"/>
                          </w:rPr>
                        </w:pPr>
                        <w:r>
                          <w:rPr>
                            <w:w w:val="100"/>
                            <w:sz w:val="20"/>
                          </w:rPr>
                          <w:t>3</w:t>
                        </w:r>
                      </w:p>
                    </w:tc>
                  </w:tr>
                  <w:tr>
                    <w:trPr>
                      <w:trHeight w:val="960" w:hRule="atLeast"/>
                    </w:trPr>
                    <w:tc>
                      <w:tcPr>
                        <w:tcW w:w="1311" w:type="dxa"/>
                      </w:tcPr>
                      <w:p>
                        <w:pPr>
                          <w:pStyle w:val="TableParagraph"/>
                          <w:ind w:left="182" w:right="158"/>
                          <w:jc w:val="center"/>
                          <w:rPr>
                            <w:sz w:val="20"/>
                          </w:rPr>
                        </w:pPr>
                        <w:r>
                          <w:rPr>
                            <w:sz w:val="20"/>
                          </w:rPr>
                          <w:t>NURS 782</w:t>
                        </w:r>
                      </w:p>
                    </w:tc>
                    <w:tc>
                      <w:tcPr>
                        <w:tcW w:w="2957" w:type="dxa"/>
                      </w:tcPr>
                      <w:p>
                        <w:pPr>
                          <w:pStyle w:val="TableParagraph"/>
                          <w:spacing w:line="249" w:lineRule="auto"/>
                          <w:ind w:left="175" w:right="528"/>
                          <w:rPr>
                            <w:sz w:val="20"/>
                          </w:rPr>
                        </w:pPr>
                        <w:r>
                          <w:rPr>
                            <w:sz w:val="20"/>
                          </w:rPr>
                          <w:t>HEALTH SYSTEMS AND HEALTH POLICY: LEADERSHIP AND</w:t>
                        </w:r>
                      </w:p>
                      <w:p>
                        <w:pPr>
                          <w:pStyle w:val="TableParagraph"/>
                          <w:spacing w:line="219" w:lineRule="exact" w:before="2"/>
                          <w:ind w:left="175"/>
                          <w:rPr>
                            <w:sz w:val="20"/>
                          </w:rPr>
                        </w:pPr>
                        <w:r>
                          <w:rPr>
                            <w:sz w:val="20"/>
                          </w:rPr>
                          <w:t>QUALITY IMPROVEMENT</w:t>
                        </w:r>
                      </w:p>
                    </w:tc>
                    <w:tc>
                      <w:tcPr>
                        <w:tcW w:w="677" w:type="dxa"/>
                      </w:tcPr>
                      <w:p>
                        <w:pPr>
                          <w:pStyle w:val="TableParagraph"/>
                          <w:ind w:right="197"/>
                          <w:jc w:val="right"/>
                          <w:rPr>
                            <w:sz w:val="20"/>
                          </w:rPr>
                        </w:pPr>
                        <w:r>
                          <w:rPr>
                            <w:w w:val="100"/>
                            <w:sz w:val="20"/>
                          </w:rPr>
                          <w:t>3</w:t>
                        </w:r>
                      </w:p>
                    </w:tc>
                  </w:tr>
                  <w:tr>
                    <w:trPr>
                      <w:trHeight w:val="960" w:hRule="atLeast"/>
                    </w:trPr>
                    <w:tc>
                      <w:tcPr>
                        <w:tcW w:w="1311" w:type="dxa"/>
                      </w:tcPr>
                      <w:p>
                        <w:pPr>
                          <w:pStyle w:val="TableParagraph"/>
                          <w:ind w:left="182" w:right="158"/>
                          <w:jc w:val="center"/>
                          <w:rPr>
                            <w:sz w:val="20"/>
                          </w:rPr>
                        </w:pPr>
                        <w:r>
                          <w:rPr>
                            <w:sz w:val="20"/>
                          </w:rPr>
                          <w:t>NRSG 790</w:t>
                        </w:r>
                      </w:p>
                    </w:tc>
                    <w:tc>
                      <w:tcPr>
                        <w:tcW w:w="2957" w:type="dxa"/>
                      </w:tcPr>
                      <w:p>
                        <w:pPr>
                          <w:pStyle w:val="TableParagraph"/>
                          <w:spacing w:line="249" w:lineRule="auto"/>
                          <w:ind w:left="175" w:right="1054"/>
                          <w:rPr>
                            <w:sz w:val="20"/>
                          </w:rPr>
                        </w:pPr>
                        <w:r>
                          <w:rPr>
                            <w:sz w:val="20"/>
                          </w:rPr>
                          <w:t>METHODS FOR RESEARCH AND EVIDENCE-BASED</w:t>
                        </w:r>
                      </w:p>
                      <w:p>
                        <w:pPr>
                          <w:pStyle w:val="TableParagraph"/>
                          <w:spacing w:line="219" w:lineRule="exact" w:before="2"/>
                          <w:ind w:left="175"/>
                          <w:rPr>
                            <w:sz w:val="20"/>
                          </w:rPr>
                        </w:pPr>
                        <w:r>
                          <w:rPr>
                            <w:sz w:val="20"/>
                          </w:rPr>
                          <w:t>PRACTICE</w:t>
                        </w:r>
                      </w:p>
                    </w:tc>
                    <w:tc>
                      <w:tcPr>
                        <w:tcW w:w="677" w:type="dxa"/>
                      </w:tcPr>
                      <w:p>
                        <w:pPr>
                          <w:pStyle w:val="TableParagraph"/>
                          <w:ind w:right="197"/>
                          <w:jc w:val="right"/>
                          <w:rPr>
                            <w:sz w:val="20"/>
                          </w:rPr>
                        </w:pPr>
                        <w:r>
                          <w:rPr>
                            <w:w w:val="100"/>
                            <w:sz w:val="20"/>
                          </w:rPr>
                          <w:t>3</w:t>
                        </w:r>
                      </w:p>
                    </w:tc>
                  </w:tr>
                  <w:tr>
                    <w:trPr>
                      <w:trHeight w:val="711" w:hRule="atLeast"/>
                    </w:trPr>
                    <w:tc>
                      <w:tcPr>
                        <w:tcW w:w="1311" w:type="dxa"/>
                      </w:tcPr>
                      <w:p>
                        <w:pPr>
                          <w:pStyle w:val="TableParagraph"/>
                          <w:ind w:left="182" w:right="158"/>
                          <w:jc w:val="center"/>
                          <w:rPr>
                            <w:sz w:val="20"/>
                          </w:rPr>
                        </w:pPr>
                        <w:r>
                          <w:rPr>
                            <w:sz w:val="20"/>
                          </w:rPr>
                          <w:t>NRSG 795</w:t>
                        </w:r>
                      </w:p>
                    </w:tc>
                    <w:tc>
                      <w:tcPr>
                        <w:tcW w:w="2957" w:type="dxa"/>
                      </w:tcPr>
                      <w:p>
                        <w:pPr>
                          <w:pStyle w:val="TableParagraph"/>
                          <w:spacing w:line="249" w:lineRule="auto"/>
                          <w:ind w:left="175" w:right="880"/>
                          <w:rPr>
                            <w:sz w:val="20"/>
                          </w:rPr>
                        </w:pPr>
                        <w:r>
                          <w:rPr>
                            <w:sz w:val="20"/>
                          </w:rPr>
                          <w:t>BIOSTATISTICS FOR EVIDENCE-BASED</w:t>
                        </w:r>
                      </w:p>
                      <w:p>
                        <w:pPr>
                          <w:pStyle w:val="TableParagraph"/>
                          <w:spacing w:line="210" w:lineRule="exact" w:before="2"/>
                          <w:ind w:left="175"/>
                          <w:rPr>
                            <w:sz w:val="20"/>
                          </w:rPr>
                        </w:pPr>
                        <w:r>
                          <w:rPr>
                            <w:sz w:val="20"/>
                          </w:rPr>
                          <w:t>PRACTICE</w:t>
                        </w:r>
                      </w:p>
                    </w:tc>
                    <w:tc>
                      <w:tcPr>
                        <w:tcW w:w="677" w:type="dxa"/>
                      </w:tcPr>
                      <w:p>
                        <w:pPr>
                          <w:pStyle w:val="TableParagraph"/>
                          <w:ind w:right="197"/>
                          <w:jc w:val="right"/>
                          <w:rPr>
                            <w:sz w:val="20"/>
                          </w:rPr>
                        </w:pPr>
                        <w:r>
                          <w:rPr>
                            <w:w w:val="100"/>
                            <w:sz w:val="20"/>
                          </w:rPr>
                          <w:t>3</w:t>
                        </w:r>
                      </w:p>
                    </w:tc>
                  </w:tr>
                </w:tbl>
                <w:p>
                  <w:pPr>
                    <w:pStyle w:val="BodyText"/>
                    <w:spacing w:before="0"/>
                    <w:ind w:left="0"/>
                  </w:pPr>
                </w:p>
              </w:txbxContent>
            </v:textbox>
            <w10:wrap type="none"/>
          </v:shape>
        </w:pict>
      </w:r>
      <w:r>
        <w:rPr/>
        <w:t>Master’s Curriculum Required Core (12 credits)</w:t>
      </w: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BodyText"/>
        <w:spacing w:before="6"/>
        <w:ind w:left="0"/>
        <w:rPr>
          <w:sz w:val="28"/>
        </w:rPr>
      </w:pPr>
    </w:p>
    <w:p>
      <w:pPr>
        <w:pStyle w:val="Heading5"/>
        <w:spacing w:before="1"/>
        <w:ind w:left="199"/>
      </w:pPr>
      <w:r>
        <w:rPr/>
        <w:t>Required Courses – Clinical Nurse Leader</w:t>
      </w:r>
    </w:p>
    <w:p>
      <w:pPr>
        <w:pStyle w:val="BodyText"/>
        <w:ind w:left="199"/>
      </w:pPr>
      <w:r>
        <w:rPr/>
        <w:t>(65 total credits)</w:t>
      </w:r>
    </w:p>
    <w:p>
      <w:pPr>
        <w:spacing w:after="0"/>
        <w:sectPr>
          <w:pgSz w:w="12240" w:h="15840"/>
          <w:pgMar w:header="746" w:footer="0" w:top="1320" w:bottom="280" w:left="880" w:right="300"/>
          <w:cols w:num="2" w:equalWidth="0">
            <w:col w:w="5097" w:space="390"/>
            <w:col w:w="5573"/>
          </w:cols>
        </w:sectPr>
      </w:pPr>
    </w:p>
    <w:tbl>
      <w:tblPr>
        <w:tblW w:w="0" w:type="auto"/>
        <w:jc w:val="left"/>
        <w:tblInd w:w="5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3058"/>
      </w:tblGrid>
      <w:tr>
        <w:trPr>
          <w:trHeight w:val="711" w:hRule="atLeast"/>
        </w:trPr>
        <w:tc>
          <w:tcPr>
            <w:tcW w:w="1249" w:type="dxa"/>
          </w:tcPr>
          <w:p>
            <w:pPr>
              <w:pStyle w:val="TableParagraph"/>
              <w:spacing w:line="223" w:lineRule="exact" w:before="0"/>
              <w:ind w:left="205" w:right="119"/>
              <w:jc w:val="center"/>
              <w:rPr>
                <w:sz w:val="20"/>
              </w:rPr>
            </w:pPr>
            <w:r>
              <w:rPr>
                <w:sz w:val="20"/>
              </w:rPr>
              <w:t>NURS 501</w:t>
            </w:r>
          </w:p>
        </w:tc>
        <w:tc>
          <w:tcPr>
            <w:tcW w:w="3058" w:type="dxa"/>
          </w:tcPr>
          <w:p>
            <w:pPr>
              <w:pStyle w:val="TableParagraph"/>
              <w:spacing w:line="249" w:lineRule="auto" w:before="0"/>
              <w:ind w:left="112"/>
              <w:rPr>
                <w:sz w:val="20"/>
              </w:rPr>
            </w:pPr>
            <w:r>
              <w:rPr>
                <w:sz w:val="20"/>
              </w:rPr>
              <w:t>PATHOPHYSIOLOGICAL AND PHARMACOLOGICAL BASES</w:t>
            </w:r>
          </w:p>
          <w:p>
            <w:pPr>
              <w:pStyle w:val="TableParagraph"/>
              <w:spacing w:line="219" w:lineRule="exact" w:before="0"/>
              <w:ind w:left="112"/>
              <w:rPr>
                <w:sz w:val="20"/>
              </w:rPr>
            </w:pPr>
            <w:r>
              <w:rPr>
                <w:sz w:val="20"/>
              </w:rPr>
              <w:t>FOR NURSING PRACTICE</w:t>
            </w:r>
          </w:p>
        </w:tc>
      </w:tr>
      <w:tr>
        <w:trPr>
          <w:trHeight w:val="479" w:hRule="atLeast"/>
        </w:trPr>
        <w:tc>
          <w:tcPr>
            <w:tcW w:w="1249" w:type="dxa"/>
          </w:tcPr>
          <w:p>
            <w:pPr>
              <w:pStyle w:val="TableParagraph"/>
              <w:ind w:left="205" w:right="119"/>
              <w:jc w:val="center"/>
              <w:rPr>
                <w:sz w:val="20"/>
              </w:rPr>
            </w:pPr>
            <w:r>
              <w:rPr>
                <w:sz w:val="20"/>
              </w:rPr>
              <w:t>NURS 503</w:t>
            </w:r>
          </w:p>
        </w:tc>
        <w:tc>
          <w:tcPr>
            <w:tcW w:w="3058" w:type="dxa"/>
          </w:tcPr>
          <w:p>
            <w:pPr>
              <w:pStyle w:val="TableParagraph"/>
              <w:ind w:left="112"/>
              <w:rPr>
                <w:sz w:val="20"/>
              </w:rPr>
            </w:pPr>
            <w:r>
              <w:rPr>
                <w:sz w:val="20"/>
              </w:rPr>
              <w:t>HEALTH ASSESSMENT</w:t>
            </w:r>
          </w:p>
          <w:p>
            <w:pPr>
              <w:pStyle w:val="TableParagraph"/>
              <w:spacing w:line="219" w:lineRule="exact" w:before="10"/>
              <w:ind w:left="112"/>
              <w:rPr>
                <w:sz w:val="20"/>
              </w:rPr>
            </w:pPr>
            <w:r>
              <w:rPr>
                <w:sz w:val="20"/>
              </w:rPr>
              <w:t>ACROSS THE LIFESPAN</w:t>
            </w:r>
          </w:p>
        </w:tc>
      </w:tr>
      <w:tr>
        <w:trPr>
          <w:trHeight w:val="711" w:hRule="atLeast"/>
        </w:trPr>
        <w:tc>
          <w:tcPr>
            <w:tcW w:w="1249" w:type="dxa"/>
          </w:tcPr>
          <w:p>
            <w:pPr>
              <w:pStyle w:val="TableParagraph"/>
              <w:ind w:left="205" w:right="119"/>
              <w:jc w:val="center"/>
              <w:rPr>
                <w:sz w:val="20"/>
              </w:rPr>
            </w:pPr>
            <w:r>
              <w:rPr>
                <w:sz w:val="20"/>
              </w:rPr>
              <w:t>NURS 505</w:t>
            </w:r>
          </w:p>
        </w:tc>
        <w:tc>
          <w:tcPr>
            <w:tcW w:w="3058" w:type="dxa"/>
          </w:tcPr>
          <w:p>
            <w:pPr>
              <w:pStyle w:val="TableParagraph"/>
              <w:spacing w:line="249" w:lineRule="auto"/>
              <w:ind w:left="112" w:right="520"/>
              <w:rPr>
                <w:sz w:val="20"/>
              </w:rPr>
            </w:pPr>
            <w:r>
              <w:rPr>
                <w:sz w:val="20"/>
              </w:rPr>
              <w:t>INTRODUCTION TO PROFESSIONAL NURSING</w:t>
            </w:r>
          </w:p>
          <w:p>
            <w:pPr>
              <w:pStyle w:val="TableParagraph"/>
              <w:spacing w:line="210" w:lineRule="exact" w:before="2"/>
              <w:ind w:left="112"/>
              <w:rPr>
                <w:sz w:val="20"/>
              </w:rPr>
            </w:pPr>
            <w:r>
              <w:rPr>
                <w:sz w:val="20"/>
              </w:rPr>
              <w:t>PRACTICE</w:t>
            </w:r>
          </w:p>
        </w:tc>
      </w:tr>
    </w:tbl>
    <w:p>
      <w:pPr>
        <w:spacing w:after="0" w:line="210" w:lineRule="exact"/>
        <w:rPr>
          <w:sz w:val="20"/>
        </w:rPr>
        <w:sectPr>
          <w:type w:val="continuous"/>
          <w:pgSz w:w="12240" w:h="15840"/>
          <w:pgMar w:top="1500" w:bottom="280" w:left="880" w:right="300"/>
        </w:sectPr>
      </w:pPr>
    </w:p>
    <w:p>
      <w:pPr>
        <w:pStyle w:val="Heading5"/>
        <w:spacing w:line="415" w:lineRule="auto" w:before="90"/>
        <w:ind w:left="5686" w:right="2273"/>
      </w:pPr>
      <w:r>
        <w:rPr/>
        <w:pict>
          <v:shape style="position:absolute;margin-left:49.279999pt;margin-top:5.316453pt;width:211.5pt;height:251.2pt;mso-position-horizontal-relative:page;mso-position-vertical-relative:paragraph;z-index:13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2981"/>
                  </w:tblGrid>
                  <w:tr>
                    <w:trPr>
                      <w:trHeight w:val="711" w:hRule="atLeast"/>
                    </w:trPr>
                    <w:tc>
                      <w:tcPr>
                        <w:tcW w:w="1249" w:type="dxa"/>
                      </w:tcPr>
                      <w:p>
                        <w:pPr>
                          <w:pStyle w:val="TableParagraph"/>
                          <w:spacing w:line="223" w:lineRule="exact" w:before="0"/>
                          <w:ind w:right="111"/>
                          <w:jc w:val="right"/>
                          <w:rPr>
                            <w:sz w:val="20"/>
                          </w:rPr>
                        </w:pPr>
                        <w:r>
                          <w:rPr>
                            <w:sz w:val="20"/>
                          </w:rPr>
                          <w:t>NURS 507</w:t>
                        </w:r>
                      </w:p>
                    </w:tc>
                    <w:tc>
                      <w:tcPr>
                        <w:tcW w:w="2981" w:type="dxa"/>
                      </w:tcPr>
                      <w:p>
                        <w:pPr>
                          <w:pStyle w:val="TableParagraph"/>
                          <w:spacing w:line="249" w:lineRule="auto" w:before="0"/>
                          <w:ind w:left="112"/>
                          <w:rPr>
                            <w:sz w:val="20"/>
                          </w:rPr>
                        </w:pPr>
                        <w:r>
                          <w:rPr>
                            <w:spacing w:val="-6"/>
                            <w:sz w:val="20"/>
                          </w:rPr>
                          <w:t>INTRODUCTION </w:t>
                        </w:r>
                        <w:r>
                          <w:rPr>
                            <w:sz w:val="20"/>
                          </w:rPr>
                          <w:t>TO </w:t>
                        </w:r>
                        <w:r>
                          <w:rPr>
                            <w:spacing w:val="-7"/>
                            <w:sz w:val="20"/>
                          </w:rPr>
                          <w:t>NURSING </w:t>
                        </w:r>
                        <w:r>
                          <w:rPr>
                            <w:spacing w:val="-5"/>
                            <w:sz w:val="20"/>
                          </w:rPr>
                          <w:t>AND </w:t>
                        </w:r>
                        <w:r>
                          <w:rPr>
                            <w:spacing w:val="-6"/>
                            <w:sz w:val="20"/>
                          </w:rPr>
                          <w:t>THE CLINICAL</w:t>
                        </w:r>
                      </w:p>
                      <w:p>
                        <w:pPr>
                          <w:pStyle w:val="TableParagraph"/>
                          <w:spacing w:line="219" w:lineRule="exact" w:before="0"/>
                          <w:ind w:left="112"/>
                          <w:rPr>
                            <w:sz w:val="20"/>
                          </w:rPr>
                        </w:pPr>
                        <w:r>
                          <w:rPr>
                            <w:sz w:val="20"/>
                          </w:rPr>
                          <w:t>NURSE LEADERSHIP ROLE</w:t>
                        </w:r>
                      </w:p>
                    </w:tc>
                  </w:tr>
                  <w:tr>
                    <w:trPr>
                      <w:trHeight w:val="240" w:hRule="atLeast"/>
                    </w:trPr>
                    <w:tc>
                      <w:tcPr>
                        <w:tcW w:w="1249" w:type="dxa"/>
                      </w:tcPr>
                      <w:p>
                        <w:pPr>
                          <w:pStyle w:val="TableParagraph"/>
                          <w:spacing w:line="219" w:lineRule="exact"/>
                          <w:ind w:right="111"/>
                          <w:jc w:val="right"/>
                          <w:rPr>
                            <w:sz w:val="20"/>
                          </w:rPr>
                        </w:pPr>
                        <w:r>
                          <w:rPr>
                            <w:sz w:val="20"/>
                          </w:rPr>
                          <w:t>NURS 514</w:t>
                        </w:r>
                      </w:p>
                    </w:tc>
                    <w:tc>
                      <w:tcPr>
                        <w:tcW w:w="2981" w:type="dxa"/>
                      </w:tcPr>
                      <w:p>
                        <w:pPr>
                          <w:pStyle w:val="TableParagraph"/>
                          <w:spacing w:line="219" w:lineRule="exact"/>
                          <w:ind w:left="112"/>
                          <w:rPr>
                            <w:sz w:val="20"/>
                          </w:rPr>
                        </w:pPr>
                        <w:r>
                          <w:rPr>
                            <w:sz w:val="20"/>
                          </w:rPr>
                          <w:t>ADULT HEALTH NURSING</w:t>
                        </w:r>
                      </w:p>
                    </w:tc>
                  </w:tr>
                  <w:tr>
                    <w:trPr>
                      <w:trHeight w:val="839" w:hRule="atLeast"/>
                    </w:trPr>
                    <w:tc>
                      <w:tcPr>
                        <w:tcW w:w="1249" w:type="dxa"/>
                      </w:tcPr>
                      <w:p>
                        <w:pPr>
                          <w:pStyle w:val="TableParagraph"/>
                          <w:ind w:right="111"/>
                          <w:jc w:val="right"/>
                          <w:rPr>
                            <w:sz w:val="20"/>
                          </w:rPr>
                        </w:pPr>
                        <w:r>
                          <w:rPr>
                            <w:sz w:val="20"/>
                          </w:rPr>
                          <w:t>NURS 625</w:t>
                        </w:r>
                      </w:p>
                    </w:tc>
                    <w:tc>
                      <w:tcPr>
                        <w:tcW w:w="2981" w:type="dxa"/>
                      </w:tcPr>
                      <w:p>
                        <w:pPr>
                          <w:pStyle w:val="TableParagraph"/>
                          <w:spacing w:line="249" w:lineRule="auto"/>
                          <w:ind w:left="112" w:right="1036"/>
                          <w:jc w:val="both"/>
                          <w:rPr>
                            <w:sz w:val="20"/>
                          </w:rPr>
                        </w:pPr>
                        <w:r>
                          <w:rPr>
                            <w:sz w:val="20"/>
                          </w:rPr>
                          <w:t>INTRODUCTION </w:t>
                        </w:r>
                        <w:r>
                          <w:rPr>
                            <w:spacing w:val="-9"/>
                            <w:sz w:val="20"/>
                          </w:rPr>
                          <w:t>TO </w:t>
                        </w:r>
                        <w:r>
                          <w:rPr>
                            <w:spacing w:val="-2"/>
                            <w:sz w:val="20"/>
                          </w:rPr>
                          <w:t>GERONTOLOGICAL </w:t>
                        </w:r>
                        <w:r>
                          <w:rPr>
                            <w:spacing w:val="-3"/>
                            <w:sz w:val="20"/>
                          </w:rPr>
                          <w:t>NURSING</w:t>
                        </w:r>
                      </w:p>
                    </w:tc>
                  </w:tr>
                  <w:tr>
                    <w:trPr>
                      <w:trHeight w:val="1080" w:hRule="atLeast"/>
                    </w:trPr>
                    <w:tc>
                      <w:tcPr>
                        <w:tcW w:w="1249" w:type="dxa"/>
                      </w:tcPr>
                      <w:p>
                        <w:pPr>
                          <w:pStyle w:val="TableParagraph"/>
                          <w:spacing w:before="121"/>
                          <w:ind w:right="111"/>
                          <w:jc w:val="right"/>
                          <w:rPr>
                            <w:sz w:val="20"/>
                          </w:rPr>
                        </w:pPr>
                        <w:r>
                          <w:rPr>
                            <w:sz w:val="20"/>
                          </w:rPr>
                          <w:t>NRSG 736</w:t>
                        </w:r>
                      </w:p>
                    </w:tc>
                    <w:tc>
                      <w:tcPr>
                        <w:tcW w:w="2981" w:type="dxa"/>
                      </w:tcPr>
                      <w:p>
                        <w:pPr>
                          <w:pStyle w:val="TableParagraph"/>
                          <w:spacing w:line="240" w:lineRule="atLeast" w:before="111"/>
                          <w:ind w:left="112"/>
                          <w:rPr>
                            <w:sz w:val="20"/>
                          </w:rPr>
                        </w:pPr>
                        <w:r>
                          <w:rPr>
                            <w:sz w:val="20"/>
                          </w:rPr>
                          <w:t>TECHNOLOGY SOLUTIONS FOR GENERATING KNOWLEDGE IN HEALTH CARE</w:t>
                        </w:r>
                      </w:p>
                    </w:tc>
                  </w:tr>
                  <w:tr>
                    <w:trPr>
                      <w:trHeight w:val="480" w:hRule="atLeast"/>
                    </w:trPr>
                    <w:tc>
                      <w:tcPr>
                        <w:tcW w:w="1249" w:type="dxa"/>
                      </w:tcPr>
                      <w:p>
                        <w:pPr>
                          <w:pStyle w:val="TableParagraph"/>
                          <w:ind w:right="111"/>
                          <w:jc w:val="right"/>
                          <w:rPr>
                            <w:sz w:val="20"/>
                          </w:rPr>
                        </w:pPr>
                        <w:r>
                          <w:rPr>
                            <w:sz w:val="20"/>
                          </w:rPr>
                          <w:t>NURS 509</w:t>
                        </w:r>
                      </w:p>
                    </w:tc>
                    <w:tc>
                      <w:tcPr>
                        <w:tcW w:w="2981" w:type="dxa"/>
                      </w:tcPr>
                      <w:p>
                        <w:pPr>
                          <w:pStyle w:val="TableParagraph"/>
                          <w:ind w:left="112"/>
                          <w:rPr>
                            <w:sz w:val="20"/>
                          </w:rPr>
                        </w:pPr>
                        <w:r>
                          <w:rPr>
                            <w:sz w:val="20"/>
                          </w:rPr>
                          <w:t>MATERNAL AND NEWBORN</w:t>
                        </w:r>
                      </w:p>
                      <w:p>
                        <w:pPr>
                          <w:pStyle w:val="TableParagraph"/>
                          <w:spacing w:line="219" w:lineRule="exact" w:before="10"/>
                          <w:ind w:left="112"/>
                          <w:rPr>
                            <w:sz w:val="20"/>
                          </w:rPr>
                        </w:pPr>
                        <w:r>
                          <w:rPr>
                            <w:sz w:val="20"/>
                          </w:rPr>
                          <w:t>NURSING</w:t>
                        </w:r>
                      </w:p>
                    </w:tc>
                  </w:tr>
                  <w:tr>
                    <w:trPr>
                      <w:trHeight w:val="240" w:hRule="atLeast"/>
                    </w:trPr>
                    <w:tc>
                      <w:tcPr>
                        <w:tcW w:w="1249" w:type="dxa"/>
                      </w:tcPr>
                      <w:p>
                        <w:pPr>
                          <w:pStyle w:val="TableParagraph"/>
                          <w:spacing w:line="219" w:lineRule="exact"/>
                          <w:ind w:right="111"/>
                          <w:jc w:val="right"/>
                          <w:rPr>
                            <w:sz w:val="20"/>
                          </w:rPr>
                        </w:pPr>
                        <w:r>
                          <w:rPr>
                            <w:sz w:val="20"/>
                          </w:rPr>
                          <w:t>NURS 517</w:t>
                        </w:r>
                      </w:p>
                    </w:tc>
                    <w:tc>
                      <w:tcPr>
                        <w:tcW w:w="2981" w:type="dxa"/>
                      </w:tcPr>
                      <w:p>
                        <w:pPr>
                          <w:pStyle w:val="TableParagraph"/>
                          <w:spacing w:line="219" w:lineRule="exact"/>
                          <w:ind w:left="112"/>
                          <w:rPr>
                            <w:sz w:val="20"/>
                          </w:rPr>
                        </w:pPr>
                        <w:r>
                          <w:rPr>
                            <w:sz w:val="20"/>
                          </w:rPr>
                          <w:t>PEDIATRIC NURSING</w:t>
                        </w:r>
                      </w:p>
                    </w:tc>
                  </w:tr>
                  <w:tr>
                    <w:trPr>
                      <w:trHeight w:val="480" w:hRule="atLeast"/>
                    </w:trPr>
                    <w:tc>
                      <w:tcPr>
                        <w:tcW w:w="1249" w:type="dxa"/>
                      </w:tcPr>
                      <w:p>
                        <w:pPr>
                          <w:pStyle w:val="TableParagraph"/>
                          <w:ind w:right="110"/>
                          <w:jc w:val="right"/>
                          <w:rPr>
                            <w:sz w:val="20"/>
                          </w:rPr>
                        </w:pPr>
                        <w:r>
                          <w:rPr>
                            <w:sz w:val="20"/>
                          </w:rPr>
                          <w:t>NURS 508</w:t>
                        </w:r>
                      </w:p>
                    </w:tc>
                    <w:tc>
                      <w:tcPr>
                        <w:tcW w:w="2981" w:type="dxa"/>
                      </w:tcPr>
                      <w:p>
                        <w:pPr>
                          <w:pStyle w:val="TableParagraph"/>
                          <w:ind w:left="112"/>
                          <w:rPr>
                            <w:sz w:val="20"/>
                          </w:rPr>
                        </w:pPr>
                        <w:r>
                          <w:rPr>
                            <w:sz w:val="20"/>
                          </w:rPr>
                          <w:t>COMMUNITY/PUBLIC</w:t>
                        </w:r>
                      </w:p>
                      <w:p>
                        <w:pPr>
                          <w:pStyle w:val="TableParagraph"/>
                          <w:spacing w:line="219" w:lineRule="exact" w:before="10"/>
                          <w:ind w:left="112"/>
                          <w:rPr>
                            <w:sz w:val="20"/>
                          </w:rPr>
                        </w:pPr>
                        <w:r>
                          <w:rPr>
                            <w:sz w:val="20"/>
                          </w:rPr>
                          <w:t>HEALTH NURSING</w:t>
                        </w:r>
                      </w:p>
                    </w:tc>
                  </w:tr>
                  <w:tr>
                    <w:trPr>
                      <w:trHeight w:val="480" w:hRule="atLeast"/>
                    </w:trPr>
                    <w:tc>
                      <w:tcPr>
                        <w:tcW w:w="1249" w:type="dxa"/>
                      </w:tcPr>
                      <w:p>
                        <w:pPr>
                          <w:pStyle w:val="TableParagraph"/>
                          <w:ind w:right="111"/>
                          <w:jc w:val="right"/>
                          <w:rPr>
                            <w:sz w:val="20"/>
                          </w:rPr>
                        </w:pPr>
                        <w:r>
                          <w:rPr>
                            <w:sz w:val="20"/>
                          </w:rPr>
                          <w:t>NURS 511</w:t>
                        </w:r>
                      </w:p>
                    </w:tc>
                    <w:tc>
                      <w:tcPr>
                        <w:tcW w:w="2981" w:type="dxa"/>
                      </w:tcPr>
                      <w:p>
                        <w:pPr>
                          <w:pStyle w:val="TableParagraph"/>
                          <w:ind w:left="112"/>
                          <w:rPr>
                            <w:sz w:val="20"/>
                          </w:rPr>
                        </w:pPr>
                        <w:r>
                          <w:rPr>
                            <w:sz w:val="20"/>
                          </w:rPr>
                          <w:t>PSYCHIATRIC MENTAL</w:t>
                        </w:r>
                      </w:p>
                      <w:p>
                        <w:pPr>
                          <w:pStyle w:val="TableParagraph"/>
                          <w:spacing w:line="219" w:lineRule="exact" w:before="10"/>
                          <w:ind w:left="112"/>
                          <w:rPr>
                            <w:sz w:val="20"/>
                          </w:rPr>
                        </w:pPr>
                        <w:r>
                          <w:rPr>
                            <w:sz w:val="20"/>
                          </w:rPr>
                          <w:t>HEALTH NURSING</w:t>
                        </w:r>
                      </w:p>
                    </w:tc>
                  </w:tr>
                  <w:tr>
                    <w:trPr>
                      <w:trHeight w:val="471" w:hRule="atLeast"/>
                    </w:trPr>
                    <w:tc>
                      <w:tcPr>
                        <w:tcW w:w="1249" w:type="dxa"/>
                      </w:tcPr>
                      <w:p>
                        <w:pPr>
                          <w:pStyle w:val="TableParagraph"/>
                          <w:ind w:right="111"/>
                          <w:jc w:val="right"/>
                          <w:rPr>
                            <w:sz w:val="20"/>
                          </w:rPr>
                        </w:pPr>
                        <w:r>
                          <w:rPr>
                            <w:sz w:val="20"/>
                          </w:rPr>
                          <w:t>NURS 523</w:t>
                        </w:r>
                      </w:p>
                    </w:tc>
                    <w:tc>
                      <w:tcPr>
                        <w:tcW w:w="2981" w:type="dxa"/>
                      </w:tcPr>
                      <w:p>
                        <w:pPr>
                          <w:pStyle w:val="TableParagraph"/>
                          <w:ind w:left="112"/>
                          <w:rPr>
                            <w:sz w:val="20"/>
                          </w:rPr>
                        </w:pPr>
                        <w:r>
                          <w:rPr>
                            <w:sz w:val="20"/>
                          </w:rPr>
                          <w:t>CLINICAL NURSE LEADER</w:t>
                        </w:r>
                      </w:p>
                      <w:p>
                        <w:pPr>
                          <w:pStyle w:val="TableParagraph"/>
                          <w:spacing w:line="210" w:lineRule="exact" w:before="10"/>
                          <w:ind w:left="112"/>
                          <w:rPr>
                            <w:sz w:val="20"/>
                          </w:rPr>
                        </w:pPr>
                        <w:r>
                          <w:rPr>
                            <w:sz w:val="20"/>
                          </w:rPr>
                          <w:t>EMPHASIS PRACTICUM</w:t>
                        </w:r>
                      </w:p>
                    </w:tc>
                  </w:tr>
                </w:tbl>
                <w:p>
                  <w:pPr>
                    <w:pStyle w:val="BodyText"/>
                    <w:spacing w:before="0"/>
                    <w:ind w:left="0"/>
                  </w:pPr>
                </w:p>
              </w:txbxContent>
            </v:textbox>
            <w10:wrap type="none"/>
          </v:shape>
        </w:pict>
      </w:r>
      <w:r>
        <w:rPr/>
        <w:pict>
          <v:shape style="position:absolute;margin-left:323.600006pt;margin-top:38.196453pt;width:208.9pt;height:191.2pt;mso-position-horizontal-relative:page;mso-position-vertical-relative:paragraph;z-index:14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4"/>
                    <w:gridCol w:w="2882"/>
                  </w:tblGrid>
                  <w:tr>
                    <w:trPr>
                      <w:trHeight w:val="471" w:hRule="atLeast"/>
                    </w:trPr>
                    <w:tc>
                      <w:tcPr>
                        <w:tcW w:w="1294" w:type="dxa"/>
                      </w:tcPr>
                      <w:p>
                        <w:pPr>
                          <w:pStyle w:val="TableParagraph"/>
                          <w:spacing w:line="223" w:lineRule="exact" w:before="0"/>
                          <w:ind w:left="205" w:right="163"/>
                          <w:jc w:val="center"/>
                          <w:rPr>
                            <w:sz w:val="20"/>
                          </w:rPr>
                        </w:pPr>
                        <w:r>
                          <w:rPr>
                            <w:sz w:val="20"/>
                          </w:rPr>
                          <w:t>NURS 690</w:t>
                        </w:r>
                      </w:p>
                    </w:tc>
                    <w:tc>
                      <w:tcPr>
                        <w:tcW w:w="2882" w:type="dxa"/>
                      </w:tcPr>
                      <w:p>
                        <w:pPr>
                          <w:pStyle w:val="TableParagraph"/>
                          <w:spacing w:line="223" w:lineRule="exact" w:before="0"/>
                          <w:ind w:left="158"/>
                          <w:rPr>
                            <w:sz w:val="20"/>
                          </w:rPr>
                        </w:pPr>
                        <w:r>
                          <w:rPr>
                            <w:sz w:val="20"/>
                          </w:rPr>
                          <w:t>MANAGERIAL HEALTH</w:t>
                        </w:r>
                      </w:p>
                      <w:p>
                        <w:pPr>
                          <w:pStyle w:val="TableParagraph"/>
                          <w:spacing w:line="219" w:lineRule="exact" w:before="10"/>
                          <w:ind w:left="158"/>
                          <w:rPr>
                            <w:sz w:val="20"/>
                          </w:rPr>
                        </w:pPr>
                        <w:r>
                          <w:rPr>
                            <w:sz w:val="20"/>
                          </w:rPr>
                          <w:t>FINANCE</w:t>
                        </w:r>
                      </w:p>
                    </w:tc>
                  </w:tr>
                  <w:tr>
                    <w:trPr>
                      <w:trHeight w:val="960" w:hRule="atLeast"/>
                    </w:trPr>
                    <w:tc>
                      <w:tcPr>
                        <w:tcW w:w="1294" w:type="dxa"/>
                      </w:tcPr>
                      <w:p>
                        <w:pPr>
                          <w:pStyle w:val="TableParagraph"/>
                          <w:ind w:left="205" w:right="164"/>
                          <w:jc w:val="center"/>
                          <w:rPr>
                            <w:sz w:val="20"/>
                          </w:rPr>
                        </w:pPr>
                        <w:r>
                          <w:rPr>
                            <w:sz w:val="20"/>
                          </w:rPr>
                          <w:t>NURS 691</w:t>
                        </w:r>
                      </w:p>
                    </w:tc>
                    <w:tc>
                      <w:tcPr>
                        <w:tcW w:w="2882" w:type="dxa"/>
                      </w:tcPr>
                      <w:p>
                        <w:pPr>
                          <w:pStyle w:val="TableParagraph"/>
                          <w:spacing w:line="249" w:lineRule="auto"/>
                          <w:ind w:left="158" w:right="209"/>
                          <w:rPr>
                            <w:sz w:val="20"/>
                          </w:rPr>
                        </w:pPr>
                        <w:r>
                          <w:rPr>
                            <w:sz w:val="20"/>
                          </w:rPr>
                          <w:t>ORGANIZATIONAL THEORIES: APPLICATIONS TO HEALTH SERVICE</w:t>
                        </w:r>
                      </w:p>
                      <w:p>
                        <w:pPr>
                          <w:pStyle w:val="TableParagraph"/>
                          <w:spacing w:line="219" w:lineRule="exact" w:before="2"/>
                          <w:ind w:left="158"/>
                          <w:rPr>
                            <w:sz w:val="20"/>
                          </w:rPr>
                        </w:pPr>
                        <w:r>
                          <w:rPr>
                            <w:sz w:val="20"/>
                          </w:rPr>
                          <w:t>MANAGEMENT</w:t>
                        </w:r>
                      </w:p>
                    </w:tc>
                  </w:tr>
                  <w:tr>
                    <w:trPr>
                      <w:trHeight w:val="720" w:hRule="atLeast"/>
                    </w:trPr>
                    <w:tc>
                      <w:tcPr>
                        <w:tcW w:w="1294" w:type="dxa"/>
                      </w:tcPr>
                      <w:p>
                        <w:pPr>
                          <w:pStyle w:val="TableParagraph"/>
                          <w:ind w:left="205" w:right="164"/>
                          <w:jc w:val="center"/>
                          <w:rPr>
                            <w:sz w:val="20"/>
                          </w:rPr>
                        </w:pPr>
                        <w:r>
                          <w:rPr>
                            <w:sz w:val="20"/>
                          </w:rPr>
                          <w:t>NURS 692</w:t>
                        </w:r>
                      </w:p>
                    </w:tc>
                    <w:tc>
                      <w:tcPr>
                        <w:tcW w:w="2882" w:type="dxa"/>
                      </w:tcPr>
                      <w:p>
                        <w:pPr>
                          <w:pStyle w:val="TableParagraph"/>
                          <w:spacing w:line="249" w:lineRule="auto"/>
                          <w:ind w:left="158" w:right="481"/>
                          <w:rPr>
                            <w:sz w:val="20"/>
                          </w:rPr>
                        </w:pPr>
                        <w:r>
                          <w:rPr>
                            <w:sz w:val="20"/>
                          </w:rPr>
                          <w:t>ADMINISTRATION OF NURSING AND HEALTH</w:t>
                        </w:r>
                      </w:p>
                      <w:p>
                        <w:pPr>
                          <w:pStyle w:val="TableParagraph"/>
                          <w:spacing w:line="219" w:lineRule="exact" w:before="2"/>
                          <w:ind w:left="158"/>
                          <w:rPr>
                            <w:sz w:val="20"/>
                          </w:rPr>
                        </w:pPr>
                        <w:r>
                          <w:rPr>
                            <w:sz w:val="20"/>
                          </w:rPr>
                          <w:t>CARE SERVICES</w:t>
                        </w:r>
                      </w:p>
                    </w:tc>
                  </w:tr>
                  <w:tr>
                    <w:trPr>
                      <w:trHeight w:val="720" w:hRule="atLeast"/>
                    </w:trPr>
                    <w:tc>
                      <w:tcPr>
                        <w:tcW w:w="1294" w:type="dxa"/>
                      </w:tcPr>
                      <w:p>
                        <w:pPr>
                          <w:pStyle w:val="TableParagraph"/>
                          <w:ind w:left="205" w:right="164"/>
                          <w:jc w:val="center"/>
                          <w:rPr>
                            <w:sz w:val="20"/>
                          </w:rPr>
                        </w:pPr>
                        <w:r>
                          <w:rPr>
                            <w:sz w:val="20"/>
                          </w:rPr>
                          <w:t>NURS 695</w:t>
                        </w:r>
                      </w:p>
                    </w:tc>
                    <w:tc>
                      <w:tcPr>
                        <w:tcW w:w="2882" w:type="dxa"/>
                      </w:tcPr>
                      <w:p>
                        <w:pPr>
                          <w:pStyle w:val="TableParagraph"/>
                          <w:spacing w:line="249" w:lineRule="auto"/>
                          <w:ind w:left="158"/>
                          <w:rPr>
                            <w:sz w:val="20"/>
                          </w:rPr>
                        </w:pPr>
                        <w:r>
                          <w:rPr>
                            <w:sz w:val="20"/>
                          </w:rPr>
                          <w:t>PRACTICUM IN HEALTH SERVICES, LEADERSHIP,</w:t>
                        </w:r>
                      </w:p>
                      <w:p>
                        <w:pPr>
                          <w:pStyle w:val="TableParagraph"/>
                          <w:spacing w:line="219" w:lineRule="exact" w:before="2"/>
                          <w:ind w:left="158"/>
                          <w:rPr>
                            <w:sz w:val="20"/>
                          </w:rPr>
                        </w:pPr>
                        <w:r>
                          <w:rPr>
                            <w:sz w:val="20"/>
                          </w:rPr>
                          <w:t>AND MANAGEMENT</w:t>
                        </w:r>
                      </w:p>
                    </w:tc>
                  </w:tr>
                  <w:tr>
                    <w:trPr>
                      <w:trHeight w:val="951" w:hRule="atLeast"/>
                    </w:trPr>
                    <w:tc>
                      <w:tcPr>
                        <w:tcW w:w="1294" w:type="dxa"/>
                      </w:tcPr>
                      <w:p>
                        <w:pPr>
                          <w:pStyle w:val="TableParagraph"/>
                          <w:ind w:left="205" w:right="164"/>
                          <w:jc w:val="center"/>
                          <w:rPr>
                            <w:sz w:val="20"/>
                          </w:rPr>
                        </w:pPr>
                        <w:r>
                          <w:rPr>
                            <w:sz w:val="20"/>
                          </w:rPr>
                          <w:t>NURS 736</w:t>
                        </w:r>
                      </w:p>
                    </w:tc>
                    <w:tc>
                      <w:tcPr>
                        <w:tcW w:w="2882" w:type="dxa"/>
                      </w:tcPr>
                      <w:p>
                        <w:pPr>
                          <w:pStyle w:val="TableParagraph"/>
                          <w:spacing w:line="249" w:lineRule="auto"/>
                          <w:ind w:left="158" w:right="176"/>
                          <w:rPr>
                            <w:sz w:val="20"/>
                          </w:rPr>
                        </w:pPr>
                        <w:r>
                          <w:rPr>
                            <w:sz w:val="20"/>
                          </w:rPr>
                          <w:t>TECHNOLOGY SOLUTIONS FOR GENERATING KNOWLEDGE IN HEALTH</w:t>
                        </w:r>
                      </w:p>
                      <w:p>
                        <w:pPr>
                          <w:pStyle w:val="TableParagraph"/>
                          <w:spacing w:line="210" w:lineRule="exact" w:before="2"/>
                          <w:ind w:left="158"/>
                          <w:rPr>
                            <w:sz w:val="20"/>
                          </w:rPr>
                        </w:pPr>
                        <w:r>
                          <w:rPr>
                            <w:sz w:val="20"/>
                          </w:rPr>
                          <w:t>CARE</w:t>
                        </w:r>
                      </w:p>
                    </w:tc>
                  </w:tr>
                </w:tbl>
                <w:p>
                  <w:pPr>
                    <w:pStyle w:val="BodyText"/>
                    <w:spacing w:before="0"/>
                    <w:ind w:left="0"/>
                  </w:pPr>
                </w:p>
              </w:txbxContent>
            </v:textbox>
            <w10:wrap type="none"/>
          </v:shape>
        </w:pict>
      </w:r>
      <w:r>
        <w:rPr/>
        <w:t>Management (38 total credits) HSLM Core</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4"/>
        <w:ind w:left="0"/>
        <w:rPr>
          <w:sz w:val="26"/>
        </w:rPr>
      </w:pPr>
    </w:p>
    <w:p>
      <w:pPr>
        <w:spacing w:after="0"/>
        <w:rPr>
          <w:sz w:val="26"/>
        </w:rPr>
        <w:sectPr>
          <w:pgSz w:w="12240" w:h="15840"/>
          <w:pgMar w:header="746" w:footer="0" w:top="1320" w:bottom="280" w:left="880" w:right="300"/>
        </w:sectPr>
      </w:pPr>
    </w:p>
    <w:p>
      <w:pPr>
        <w:pStyle w:val="BodyText"/>
        <w:spacing w:before="0"/>
        <w:ind w:left="0"/>
        <w:rPr>
          <w:sz w:val="22"/>
        </w:rPr>
      </w:pPr>
    </w:p>
    <w:p>
      <w:pPr>
        <w:pStyle w:val="BodyText"/>
        <w:spacing w:before="9"/>
        <w:ind w:left="0"/>
        <w:rPr>
          <w:sz w:val="32"/>
        </w:rPr>
      </w:pPr>
    </w:p>
    <w:p>
      <w:pPr>
        <w:pStyle w:val="Heading5"/>
        <w:spacing w:before="0"/>
        <w:ind w:right="18"/>
      </w:pPr>
      <w:r>
        <w:rPr/>
        <w:t>Required Courses – Community/Public Health Nursing (38 total credits)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6"/>
        <w:gridCol w:w="2901"/>
      </w:tblGrid>
      <w:tr>
        <w:trPr>
          <w:trHeight w:val="711" w:hRule="atLeast"/>
        </w:trPr>
        <w:tc>
          <w:tcPr>
            <w:tcW w:w="1306" w:type="dxa"/>
          </w:tcPr>
          <w:p>
            <w:pPr>
              <w:pStyle w:val="TableParagraph"/>
              <w:spacing w:line="223" w:lineRule="exact" w:before="0"/>
              <w:ind w:right="168"/>
              <w:jc w:val="right"/>
              <w:rPr>
                <w:sz w:val="20"/>
              </w:rPr>
            </w:pPr>
            <w:r>
              <w:rPr>
                <w:sz w:val="20"/>
              </w:rPr>
              <w:t>NURS 761</w:t>
            </w:r>
          </w:p>
        </w:tc>
        <w:tc>
          <w:tcPr>
            <w:tcW w:w="2901" w:type="dxa"/>
          </w:tcPr>
          <w:p>
            <w:pPr>
              <w:pStyle w:val="TableParagraph"/>
              <w:spacing w:line="249" w:lineRule="auto" w:before="0"/>
              <w:ind w:left="170" w:right="260"/>
              <w:rPr>
                <w:sz w:val="20"/>
              </w:rPr>
            </w:pPr>
            <w:r>
              <w:rPr>
                <w:sz w:val="20"/>
              </w:rPr>
              <w:t>POPULATIONS AT RISK IN COMMUNITY/PUBLIC</w:t>
            </w:r>
          </w:p>
          <w:p>
            <w:pPr>
              <w:pStyle w:val="TableParagraph"/>
              <w:spacing w:line="219" w:lineRule="exact" w:before="0"/>
              <w:ind w:left="170"/>
              <w:rPr>
                <w:sz w:val="20"/>
              </w:rPr>
            </w:pPr>
            <w:r>
              <w:rPr>
                <w:sz w:val="20"/>
              </w:rPr>
              <w:t>HEALTH</w:t>
            </w:r>
          </w:p>
        </w:tc>
      </w:tr>
      <w:tr>
        <w:trPr>
          <w:trHeight w:val="480" w:hRule="atLeast"/>
        </w:trPr>
        <w:tc>
          <w:tcPr>
            <w:tcW w:w="1306" w:type="dxa"/>
          </w:tcPr>
          <w:p>
            <w:pPr>
              <w:pStyle w:val="TableParagraph"/>
              <w:ind w:right="168"/>
              <w:jc w:val="right"/>
              <w:rPr>
                <w:sz w:val="20"/>
              </w:rPr>
            </w:pPr>
            <w:r>
              <w:rPr>
                <w:sz w:val="20"/>
              </w:rPr>
              <w:t>NURS 769</w:t>
            </w:r>
          </w:p>
        </w:tc>
        <w:tc>
          <w:tcPr>
            <w:tcW w:w="2901" w:type="dxa"/>
          </w:tcPr>
          <w:p>
            <w:pPr>
              <w:pStyle w:val="TableParagraph"/>
              <w:ind w:left="170"/>
              <w:rPr>
                <w:sz w:val="20"/>
              </w:rPr>
            </w:pPr>
            <w:r>
              <w:rPr>
                <w:sz w:val="20"/>
              </w:rPr>
              <w:t>SOCIETY, HEALTH, AND</w:t>
            </w:r>
          </w:p>
          <w:p>
            <w:pPr>
              <w:pStyle w:val="TableParagraph"/>
              <w:spacing w:line="219" w:lineRule="exact" w:before="10"/>
              <w:ind w:left="170"/>
              <w:rPr>
                <w:sz w:val="20"/>
              </w:rPr>
            </w:pPr>
            <w:r>
              <w:rPr>
                <w:sz w:val="20"/>
              </w:rPr>
              <w:t>SOCIAL JUSTICE</w:t>
            </w:r>
          </w:p>
        </w:tc>
      </w:tr>
      <w:tr>
        <w:trPr>
          <w:trHeight w:val="480" w:hRule="atLeast"/>
        </w:trPr>
        <w:tc>
          <w:tcPr>
            <w:tcW w:w="1306" w:type="dxa"/>
          </w:tcPr>
          <w:p>
            <w:pPr>
              <w:pStyle w:val="TableParagraph"/>
              <w:ind w:right="168"/>
              <w:jc w:val="right"/>
              <w:rPr>
                <w:sz w:val="20"/>
              </w:rPr>
            </w:pPr>
            <w:r>
              <w:rPr>
                <w:sz w:val="20"/>
              </w:rPr>
              <w:t>NURS 671</w:t>
            </w:r>
          </w:p>
        </w:tc>
        <w:tc>
          <w:tcPr>
            <w:tcW w:w="2901" w:type="dxa"/>
          </w:tcPr>
          <w:p>
            <w:pPr>
              <w:pStyle w:val="TableParagraph"/>
              <w:ind w:left="170"/>
              <w:rPr>
                <w:sz w:val="20"/>
              </w:rPr>
            </w:pPr>
            <w:r>
              <w:rPr>
                <w:sz w:val="20"/>
              </w:rPr>
              <w:t>EPIDEMIOLOGICAL</w:t>
            </w:r>
          </w:p>
          <w:p>
            <w:pPr>
              <w:pStyle w:val="TableParagraph"/>
              <w:spacing w:line="219" w:lineRule="exact" w:before="10"/>
              <w:ind w:left="170"/>
              <w:rPr>
                <w:sz w:val="20"/>
              </w:rPr>
            </w:pPr>
            <w:r>
              <w:rPr>
                <w:sz w:val="20"/>
              </w:rPr>
              <w:t>ASSESSMENT STRATEGIES</w:t>
            </w:r>
          </w:p>
        </w:tc>
      </w:tr>
      <w:tr>
        <w:trPr>
          <w:trHeight w:val="960" w:hRule="atLeast"/>
        </w:trPr>
        <w:tc>
          <w:tcPr>
            <w:tcW w:w="1306" w:type="dxa"/>
          </w:tcPr>
          <w:p>
            <w:pPr>
              <w:pStyle w:val="TableParagraph"/>
              <w:ind w:right="168"/>
              <w:jc w:val="right"/>
              <w:rPr>
                <w:sz w:val="20"/>
              </w:rPr>
            </w:pPr>
            <w:r>
              <w:rPr>
                <w:sz w:val="20"/>
              </w:rPr>
              <w:t>NURS 732</w:t>
            </w:r>
          </w:p>
        </w:tc>
        <w:tc>
          <w:tcPr>
            <w:tcW w:w="2901" w:type="dxa"/>
          </w:tcPr>
          <w:p>
            <w:pPr>
              <w:pStyle w:val="TableParagraph"/>
              <w:spacing w:line="249" w:lineRule="auto"/>
              <w:ind w:left="170" w:right="674"/>
              <w:jc w:val="both"/>
              <w:rPr>
                <w:sz w:val="20"/>
              </w:rPr>
            </w:pPr>
            <w:r>
              <w:rPr>
                <w:sz w:val="20"/>
              </w:rPr>
              <w:t>PROGRAM </w:t>
            </w:r>
            <w:r>
              <w:rPr>
                <w:spacing w:val="-4"/>
                <w:sz w:val="20"/>
              </w:rPr>
              <w:t>PLANNING </w:t>
            </w:r>
            <w:r>
              <w:rPr>
                <w:sz w:val="20"/>
              </w:rPr>
              <w:t>AND EVALUATION IN COMMUNITY/PUBLIC</w:t>
            </w:r>
          </w:p>
          <w:p>
            <w:pPr>
              <w:pStyle w:val="TableParagraph"/>
              <w:spacing w:line="219" w:lineRule="exact" w:before="2"/>
              <w:ind w:left="170"/>
              <w:jc w:val="both"/>
              <w:rPr>
                <w:sz w:val="20"/>
              </w:rPr>
            </w:pPr>
            <w:r>
              <w:rPr>
                <w:sz w:val="20"/>
              </w:rPr>
              <w:t>HEALTH</w:t>
            </w:r>
          </w:p>
        </w:tc>
      </w:tr>
      <w:tr>
        <w:trPr>
          <w:trHeight w:val="960" w:hRule="atLeast"/>
        </w:trPr>
        <w:tc>
          <w:tcPr>
            <w:tcW w:w="1306" w:type="dxa"/>
          </w:tcPr>
          <w:p>
            <w:pPr>
              <w:pStyle w:val="TableParagraph"/>
              <w:ind w:right="168"/>
              <w:jc w:val="right"/>
              <w:rPr>
                <w:sz w:val="20"/>
              </w:rPr>
            </w:pPr>
            <w:r>
              <w:rPr>
                <w:sz w:val="20"/>
              </w:rPr>
              <w:t>NURS 762</w:t>
            </w:r>
          </w:p>
        </w:tc>
        <w:tc>
          <w:tcPr>
            <w:tcW w:w="2901" w:type="dxa"/>
          </w:tcPr>
          <w:p>
            <w:pPr>
              <w:pStyle w:val="TableParagraph"/>
              <w:spacing w:line="249" w:lineRule="auto"/>
              <w:ind w:left="170" w:right="674"/>
              <w:jc w:val="both"/>
              <w:rPr>
                <w:sz w:val="20"/>
              </w:rPr>
            </w:pPr>
            <w:r>
              <w:rPr>
                <w:sz w:val="20"/>
              </w:rPr>
              <w:t>PROGRAM </w:t>
            </w:r>
            <w:r>
              <w:rPr>
                <w:spacing w:val="-4"/>
                <w:sz w:val="20"/>
              </w:rPr>
              <w:t>PLANNING </w:t>
            </w:r>
            <w:r>
              <w:rPr>
                <w:sz w:val="20"/>
              </w:rPr>
              <w:t>AND EVALUATION IN COMMUNITY/PUBLIC</w:t>
            </w:r>
          </w:p>
          <w:p>
            <w:pPr>
              <w:pStyle w:val="TableParagraph"/>
              <w:spacing w:line="219" w:lineRule="exact" w:before="2"/>
              <w:ind w:left="170"/>
              <w:jc w:val="both"/>
              <w:rPr>
                <w:sz w:val="20"/>
              </w:rPr>
            </w:pPr>
            <w:r>
              <w:rPr>
                <w:sz w:val="20"/>
              </w:rPr>
              <w:t>HEALTH</w:t>
            </w:r>
          </w:p>
        </w:tc>
      </w:tr>
      <w:tr>
        <w:trPr>
          <w:trHeight w:val="480" w:hRule="atLeast"/>
        </w:trPr>
        <w:tc>
          <w:tcPr>
            <w:tcW w:w="1306" w:type="dxa"/>
          </w:tcPr>
          <w:p>
            <w:pPr>
              <w:pStyle w:val="TableParagraph"/>
              <w:ind w:right="167"/>
              <w:jc w:val="right"/>
              <w:rPr>
                <w:sz w:val="20"/>
              </w:rPr>
            </w:pPr>
            <w:r>
              <w:rPr>
                <w:sz w:val="20"/>
              </w:rPr>
              <w:t>NURS 730</w:t>
            </w:r>
          </w:p>
        </w:tc>
        <w:tc>
          <w:tcPr>
            <w:tcW w:w="2901" w:type="dxa"/>
          </w:tcPr>
          <w:p>
            <w:pPr>
              <w:pStyle w:val="TableParagraph"/>
              <w:ind w:left="170"/>
              <w:rPr>
                <w:sz w:val="20"/>
              </w:rPr>
            </w:pPr>
            <w:r>
              <w:rPr>
                <w:sz w:val="20"/>
              </w:rPr>
              <w:t>ENVIRONMENTAL</w:t>
            </w:r>
          </w:p>
          <w:p>
            <w:pPr>
              <w:pStyle w:val="TableParagraph"/>
              <w:spacing w:line="219" w:lineRule="exact" w:before="10"/>
              <w:ind w:left="170"/>
              <w:rPr>
                <w:sz w:val="20"/>
              </w:rPr>
            </w:pPr>
            <w:r>
              <w:rPr>
                <w:sz w:val="20"/>
              </w:rPr>
              <w:t>HEALTH</w:t>
            </w:r>
          </w:p>
        </w:tc>
      </w:tr>
      <w:tr>
        <w:trPr>
          <w:trHeight w:val="720" w:hRule="atLeast"/>
        </w:trPr>
        <w:tc>
          <w:tcPr>
            <w:tcW w:w="1306" w:type="dxa"/>
          </w:tcPr>
          <w:p>
            <w:pPr>
              <w:pStyle w:val="TableParagraph"/>
              <w:ind w:right="168"/>
              <w:jc w:val="right"/>
              <w:rPr>
                <w:sz w:val="20"/>
              </w:rPr>
            </w:pPr>
            <w:r>
              <w:rPr>
                <w:sz w:val="20"/>
              </w:rPr>
              <w:t>NURS 733</w:t>
            </w:r>
          </w:p>
        </w:tc>
        <w:tc>
          <w:tcPr>
            <w:tcW w:w="2901" w:type="dxa"/>
          </w:tcPr>
          <w:p>
            <w:pPr>
              <w:pStyle w:val="TableParagraph"/>
              <w:spacing w:line="249" w:lineRule="auto"/>
              <w:ind w:left="170" w:right="688"/>
              <w:rPr>
                <w:sz w:val="20"/>
              </w:rPr>
            </w:pPr>
            <w:r>
              <w:rPr>
                <w:sz w:val="20"/>
              </w:rPr>
              <w:t>LEADERSHIP IN COMMUNITY/PUBLIC</w:t>
            </w:r>
          </w:p>
          <w:p>
            <w:pPr>
              <w:pStyle w:val="TableParagraph"/>
              <w:spacing w:line="219" w:lineRule="exact" w:before="2"/>
              <w:ind w:left="170"/>
              <w:rPr>
                <w:sz w:val="20"/>
              </w:rPr>
            </w:pPr>
            <w:r>
              <w:rPr>
                <w:sz w:val="20"/>
              </w:rPr>
              <w:t>HEALTH</w:t>
            </w:r>
          </w:p>
        </w:tc>
      </w:tr>
      <w:tr>
        <w:trPr>
          <w:trHeight w:val="951" w:hRule="atLeast"/>
        </w:trPr>
        <w:tc>
          <w:tcPr>
            <w:tcW w:w="1306" w:type="dxa"/>
          </w:tcPr>
          <w:p>
            <w:pPr>
              <w:pStyle w:val="TableParagraph"/>
              <w:ind w:right="168"/>
              <w:jc w:val="right"/>
              <w:rPr>
                <w:sz w:val="20"/>
              </w:rPr>
            </w:pPr>
            <w:r>
              <w:rPr>
                <w:sz w:val="20"/>
              </w:rPr>
              <w:t>NURS 753</w:t>
            </w:r>
          </w:p>
        </w:tc>
        <w:tc>
          <w:tcPr>
            <w:tcW w:w="2901" w:type="dxa"/>
          </w:tcPr>
          <w:p>
            <w:pPr>
              <w:pStyle w:val="TableParagraph"/>
              <w:spacing w:line="249" w:lineRule="auto"/>
              <w:ind w:left="170" w:right="1227"/>
              <w:rPr>
                <w:sz w:val="20"/>
              </w:rPr>
            </w:pPr>
            <w:r>
              <w:rPr>
                <w:sz w:val="20"/>
              </w:rPr>
              <w:t>PRACTICUM IN LEADERSHIP IN COMMUNITY/</w:t>
            </w:r>
          </w:p>
          <w:p>
            <w:pPr>
              <w:pStyle w:val="TableParagraph"/>
              <w:spacing w:line="210" w:lineRule="exact" w:before="2"/>
              <w:ind w:left="170"/>
              <w:rPr>
                <w:sz w:val="20"/>
              </w:rPr>
            </w:pPr>
            <w:r>
              <w:rPr>
                <w:sz w:val="20"/>
              </w:rPr>
              <w:t>PUBLIC HEALTH NURSING</w:t>
            </w:r>
          </w:p>
        </w:tc>
      </w:tr>
    </w:tbl>
    <w:p>
      <w:pPr>
        <w:pStyle w:val="BodyText"/>
        <w:spacing w:before="0"/>
        <w:ind w:left="0"/>
        <w:rPr>
          <w:sz w:val="22"/>
        </w:rPr>
      </w:pPr>
    </w:p>
    <w:p>
      <w:pPr>
        <w:pStyle w:val="BodyText"/>
        <w:spacing w:before="0"/>
        <w:ind w:left="0"/>
        <w:rPr>
          <w:sz w:val="22"/>
        </w:rPr>
      </w:pPr>
    </w:p>
    <w:p>
      <w:pPr>
        <w:pStyle w:val="Heading5"/>
      </w:pPr>
      <w:r>
        <w:rPr/>
        <w:t>Required Courses – Health Services Leadership and</w:t>
      </w:r>
    </w:p>
    <w:p>
      <w:pPr>
        <w:pStyle w:val="Heading5"/>
        <w:spacing w:before="92"/>
        <w:ind w:left="199"/>
      </w:pPr>
      <w:r>
        <w:rPr/>
        <w:br w:type="column"/>
      </w:r>
      <w:r>
        <w:rPr/>
        <w:t>HSLM Focus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1"/>
        <w:gridCol w:w="1326"/>
      </w:tblGrid>
      <w:tr>
        <w:trPr>
          <w:trHeight w:val="231" w:hRule="atLeast"/>
        </w:trPr>
        <w:tc>
          <w:tcPr>
            <w:tcW w:w="1401" w:type="dxa"/>
          </w:tcPr>
          <w:p>
            <w:pPr>
              <w:pStyle w:val="TableParagraph"/>
              <w:spacing w:line="212" w:lineRule="exact" w:before="0"/>
              <w:ind w:left="204" w:right="172"/>
              <w:jc w:val="center"/>
              <w:rPr>
                <w:sz w:val="20"/>
              </w:rPr>
            </w:pPr>
            <w:r>
              <w:rPr>
                <w:sz w:val="20"/>
              </w:rPr>
              <w:t>NURS TBD</w:t>
            </w:r>
          </w:p>
        </w:tc>
        <w:tc>
          <w:tcPr>
            <w:tcW w:w="1326" w:type="dxa"/>
          </w:tcPr>
          <w:p>
            <w:pPr>
              <w:pStyle w:val="TableParagraph"/>
              <w:spacing w:line="212" w:lineRule="exact" w:before="0"/>
              <w:ind w:left="149" w:right="180"/>
              <w:jc w:val="center"/>
              <w:rPr>
                <w:sz w:val="20"/>
              </w:rPr>
            </w:pPr>
            <w:r>
              <w:rPr>
                <w:sz w:val="20"/>
              </w:rPr>
              <w:t>ELECTIVE</w:t>
            </w:r>
          </w:p>
        </w:tc>
      </w:tr>
      <w:tr>
        <w:trPr>
          <w:trHeight w:val="240" w:hRule="atLeast"/>
        </w:trPr>
        <w:tc>
          <w:tcPr>
            <w:tcW w:w="1401" w:type="dxa"/>
          </w:tcPr>
          <w:p>
            <w:pPr>
              <w:pStyle w:val="TableParagraph"/>
              <w:spacing w:line="219" w:lineRule="exact"/>
              <w:ind w:left="204" w:right="172"/>
              <w:jc w:val="center"/>
              <w:rPr>
                <w:sz w:val="20"/>
              </w:rPr>
            </w:pPr>
            <w:r>
              <w:rPr>
                <w:sz w:val="20"/>
              </w:rPr>
              <w:t>NURS TBD</w:t>
            </w:r>
          </w:p>
        </w:tc>
        <w:tc>
          <w:tcPr>
            <w:tcW w:w="1326" w:type="dxa"/>
          </w:tcPr>
          <w:p>
            <w:pPr>
              <w:pStyle w:val="TableParagraph"/>
              <w:spacing w:line="219" w:lineRule="exact"/>
              <w:ind w:left="149" w:right="180"/>
              <w:jc w:val="center"/>
              <w:rPr>
                <w:sz w:val="20"/>
              </w:rPr>
            </w:pPr>
            <w:r>
              <w:rPr>
                <w:sz w:val="20"/>
              </w:rPr>
              <w:t>ELECTIVE</w:t>
            </w:r>
          </w:p>
        </w:tc>
      </w:tr>
      <w:tr>
        <w:trPr>
          <w:trHeight w:val="231" w:hRule="atLeast"/>
        </w:trPr>
        <w:tc>
          <w:tcPr>
            <w:tcW w:w="1401" w:type="dxa"/>
          </w:tcPr>
          <w:p>
            <w:pPr>
              <w:pStyle w:val="TableParagraph"/>
              <w:spacing w:line="210" w:lineRule="exact"/>
              <w:ind w:left="204" w:right="172"/>
              <w:jc w:val="center"/>
              <w:rPr>
                <w:sz w:val="20"/>
              </w:rPr>
            </w:pPr>
            <w:r>
              <w:rPr>
                <w:sz w:val="20"/>
              </w:rPr>
              <w:t>NURS TBD</w:t>
            </w:r>
          </w:p>
        </w:tc>
        <w:tc>
          <w:tcPr>
            <w:tcW w:w="1326" w:type="dxa"/>
          </w:tcPr>
          <w:p>
            <w:pPr>
              <w:pStyle w:val="TableParagraph"/>
              <w:spacing w:line="210" w:lineRule="exact"/>
              <w:ind w:left="149" w:right="180"/>
              <w:jc w:val="center"/>
              <w:rPr>
                <w:sz w:val="20"/>
              </w:rPr>
            </w:pPr>
            <w:r>
              <w:rPr>
                <w:sz w:val="20"/>
              </w:rPr>
              <w:t>ELECTIVE</w:t>
            </w:r>
          </w:p>
        </w:tc>
      </w:tr>
    </w:tbl>
    <w:p>
      <w:pPr>
        <w:pStyle w:val="Heading5"/>
        <w:spacing w:before="193"/>
        <w:ind w:left="199"/>
      </w:pPr>
      <w:r>
        <w:rPr/>
        <w:t>HSLM Education Focus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569"/>
        <w:gridCol w:w="2814"/>
        <w:gridCol w:w="781"/>
      </w:tblGrid>
      <w:tr>
        <w:trPr>
          <w:trHeight w:val="1431" w:hRule="atLeast"/>
        </w:trPr>
        <w:tc>
          <w:tcPr>
            <w:tcW w:w="782" w:type="dxa"/>
          </w:tcPr>
          <w:p>
            <w:pPr>
              <w:pStyle w:val="TableParagraph"/>
              <w:spacing w:line="223" w:lineRule="exact" w:before="0"/>
              <w:ind w:right="50"/>
              <w:jc w:val="right"/>
              <w:rPr>
                <w:sz w:val="20"/>
              </w:rPr>
            </w:pPr>
            <w:r>
              <w:rPr>
                <w:sz w:val="20"/>
              </w:rPr>
              <w:t>NURS</w:t>
            </w:r>
          </w:p>
        </w:tc>
        <w:tc>
          <w:tcPr>
            <w:tcW w:w="569" w:type="dxa"/>
          </w:tcPr>
          <w:p>
            <w:pPr>
              <w:pStyle w:val="TableParagraph"/>
              <w:spacing w:line="223" w:lineRule="exact" w:before="0"/>
              <w:ind w:left="51"/>
              <w:rPr>
                <w:sz w:val="20"/>
              </w:rPr>
            </w:pPr>
            <w:r>
              <w:rPr>
                <w:sz w:val="20"/>
              </w:rPr>
              <w:t>787</w:t>
            </w:r>
          </w:p>
        </w:tc>
        <w:tc>
          <w:tcPr>
            <w:tcW w:w="2814" w:type="dxa"/>
          </w:tcPr>
          <w:p>
            <w:pPr>
              <w:pStyle w:val="TableParagraph"/>
              <w:spacing w:line="249" w:lineRule="auto" w:before="0"/>
              <w:ind w:left="116" w:right="196"/>
              <w:rPr>
                <w:sz w:val="20"/>
              </w:rPr>
            </w:pPr>
            <w:r>
              <w:rPr>
                <w:sz w:val="20"/>
              </w:rPr>
              <w:t>THEORETICAL FOUNDATIONS OF TEACHING </w:t>
            </w:r>
            <w:r>
              <w:rPr>
                <w:spacing w:val="-2"/>
                <w:sz w:val="20"/>
              </w:rPr>
              <w:t>AND </w:t>
            </w:r>
            <w:r>
              <w:rPr>
                <w:sz w:val="20"/>
              </w:rPr>
              <w:t>LEARNING IN </w:t>
            </w:r>
            <w:r>
              <w:rPr>
                <w:spacing w:val="-5"/>
                <w:sz w:val="20"/>
              </w:rPr>
              <w:t>NURSING </w:t>
            </w:r>
            <w:r>
              <w:rPr>
                <w:sz w:val="20"/>
              </w:rPr>
              <w:t>AND HEALTH</w:t>
            </w:r>
          </w:p>
          <w:p>
            <w:pPr>
              <w:pStyle w:val="TableParagraph"/>
              <w:spacing w:line="219" w:lineRule="exact" w:before="0"/>
              <w:ind w:left="116"/>
              <w:rPr>
                <w:sz w:val="20"/>
              </w:rPr>
            </w:pPr>
            <w:r>
              <w:rPr>
                <w:sz w:val="20"/>
              </w:rPr>
              <w:t>PROFESSIONS</w:t>
            </w:r>
          </w:p>
        </w:tc>
        <w:tc>
          <w:tcPr>
            <w:tcW w:w="781" w:type="dxa"/>
          </w:tcPr>
          <w:p>
            <w:pPr>
              <w:pStyle w:val="TableParagraph"/>
              <w:spacing w:line="223" w:lineRule="exact" w:before="0"/>
              <w:ind w:right="198"/>
              <w:jc w:val="right"/>
              <w:rPr>
                <w:sz w:val="20"/>
              </w:rPr>
            </w:pPr>
            <w:r>
              <w:rPr>
                <w:w w:val="100"/>
                <w:sz w:val="20"/>
              </w:rPr>
              <w:t>3</w:t>
            </w:r>
          </w:p>
        </w:tc>
      </w:tr>
      <w:tr>
        <w:trPr>
          <w:trHeight w:val="1200" w:hRule="atLeast"/>
        </w:trPr>
        <w:tc>
          <w:tcPr>
            <w:tcW w:w="782" w:type="dxa"/>
          </w:tcPr>
          <w:p>
            <w:pPr>
              <w:pStyle w:val="TableParagraph"/>
              <w:ind w:right="50"/>
              <w:jc w:val="right"/>
              <w:rPr>
                <w:sz w:val="20"/>
              </w:rPr>
            </w:pPr>
            <w:r>
              <w:rPr>
                <w:sz w:val="20"/>
              </w:rPr>
              <w:t>NURS</w:t>
            </w:r>
          </w:p>
        </w:tc>
        <w:tc>
          <w:tcPr>
            <w:tcW w:w="569" w:type="dxa"/>
          </w:tcPr>
          <w:p>
            <w:pPr>
              <w:pStyle w:val="TableParagraph"/>
              <w:ind w:left="51"/>
              <w:rPr>
                <w:sz w:val="20"/>
              </w:rPr>
            </w:pPr>
            <w:r>
              <w:rPr>
                <w:sz w:val="20"/>
              </w:rPr>
              <w:t>791</w:t>
            </w:r>
          </w:p>
        </w:tc>
        <w:tc>
          <w:tcPr>
            <w:tcW w:w="2814" w:type="dxa"/>
          </w:tcPr>
          <w:p>
            <w:pPr>
              <w:pStyle w:val="TableParagraph"/>
              <w:spacing w:line="249" w:lineRule="auto"/>
              <w:ind w:left="116" w:right="196"/>
              <w:rPr>
                <w:sz w:val="20"/>
              </w:rPr>
            </w:pPr>
            <w:r>
              <w:rPr>
                <w:sz w:val="20"/>
              </w:rPr>
              <w:t>INSTRUCTIONAL STRATEGIES AND ASSESSMENT OF LEARNING IN NURSING</w:t>
            </w:r>
          </w:p>
          <w:p>
            <w:pPr>
              <w:pStyle w:val="TableParagraph"/>
              <w:spacing w:line="219" w:lineRule="exact" w:before="3"/>
              <w:ind w:left="116"/>
              <w:rPr>
                <w:sz w:val="20"/>
              </w:rPr>
            </w:pPr>
            <w:r>
              <w:rPr>
                <w:sz w:val="20"/>
              </w:rPr>
              <w:t>AND HEALTH</w:t>
            </w:r>
          </w:p>
        </w:tc>
        <w:tc>
          <w:tcPr>
            <w:tcW w:w="781" w:type="dxa"/>
          </w:tcPr>
          <w:p>
            <w:pPr>
              <w:pStyle w:val="TableParagraph"/>
              <w:ind w:right="198"/>
              <w:jc w:val="right"/>
              <w:rPr>
                <w:sz w:val="20"/>
              </w:rPr>
            </w:pPr>
            <w:r>
              <w:rPr>
                <w:w w:val="100"/>
                <w:sz w:val="20"/>
              </w:rPr>
              <w:t>3</w:t>
            </w:r>
          </w:p>
        </w:tc>
      </w:tr>
      <w:tr>
        <w:trPr>
          <w:trHeight w:val="231" w:hRule="atLeast"/>
        </w:trPr>
        <w:tc>
          <w:tcPr>
            <w:tcW w:w="782" w:type="dxa"/>
          </w:tcPr>
          <w:p>
            <w:pPr>
              <w:pStyle w:val="TableParagraph"/>
              <w:spacing w:line="210" w:lineRule="exact"/>
              <w:ind w:right="50"/>
              <w:jc w:val="right"/>
              <w:rPr>
                <w:sz w:val="20"/>
              </w:rPr>
            </w:pPr>
            <w:r>
              <w:rPr>
                <w:sz w:val="20"/>
              </w:rPr>
              <w:t>NURS</w:t>
            </w:r>
          </w:p>
        </w:tc>
        <w:tc>
          <w:tcPr>
            <w:tcW w:w="569" w:type="dxa"/>
          </w:tcPr>
          <w:p>
            <w:pPr>
              <w:pStyle w:val="TableParagraph"/>
              <w:spacing w:line="210" w:lineRule="exact"/>
              <w:ind w:left="51"/>
              <w:rPr>
                <w:sz w:val="20"/>
              </w:rPr>
            </w:pPr>
            <w:r>
              <w:rPr>
                <w:sz w:val="20"/>
              </w:rPr>
              <w:t>TBD</w:t>
            </w:r>
          </w:p>
        </w:tc>
        <w:tc>
          <w:tcPr>
            <w:tcW w:w="2814" w:type="dxa"/>
          </w:tcPr>
          <w:p>
            <w:pPr>
              <w:pStyle w:val="TableParagraph"/>
              <w:spacing w:line="210" w:lineRule="exact"/>
              <w:ind w:left="116"/>
              <w:rPr>
                <w:sz w:val="20"/>
              </w:rPr>
            </w:pPr>
            <w:r>
              <w:rPr>
                <w:sz w:val="20"/>
              </w:rPr>
              <w:t>ELECTIVE</w:t>
            </w:r>
          </w:p>
        </w:tc>
        <w:tc>
          <w:tcPr>
            <w:tcW w:w="781" w:type="dxa"/>
          </w:tcPr>
          <w:p>
            <w:pPr>
              <w:pStyle w:val="TableParagraph"/>
              <w:spacing w:before="0"/>
              <w:rPr>
                <w:sz w:val="16"/>
              </w:rPr>
            </w:pPr>
          </w:p>
        </w:tc>
      </w:tr>
    </w:tbl>
    <w:p>
      <w:pPr>
        <w:pStyle w:val="BodyText"/>
        <w:spacing w:before="2"/>
        <w:ind w:left="0"/>
        <w:rPr>
          <w:sz w:val="17"/>
        </w:rPr>
      </w:pPr>
    </w:p>
    <w:p>
      <w:pPr>
        <w:pStyle w:val="Heading5"/>
        <w:spacing w:before="0"/>
        <w:ind w:left="199"/>
      </w:pPr>
      <w:r>
        <w:rPr/>
        <w:pict>
          <v:shape style="position:absolute;margin-left:323.600006pt;margin-top:12.820313pt;width:208.9pt;height:167.2pt;mso-position-horizontal-relative:page;mso-position-vertical-relative:paragraph;z-index:14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562"/>
                    <w:gridCol w:w="2834"/>
                  </w:tblGrid>
                  <w:tr>
                    <w:trPr>
                      <w:trHeight w:val="951" w:hRule="atLeast"/>
                    </w:trPr>
                    <w:tc>
                      <w:tcPr>
                        <w:tcW w:w="782" w:type="dxa"/>
                      </w:tcPr>
                      <w:p>
                        <w:pPr>
                          <w:pStyle w:val="TableParagraph"/>
                          <w:spacing w:line="223" w:lineRule="exact" w:before="0"/>
                          <w:ind w:right="50"/>
                          <w:jc w:val="right"/>
                          <w:rPr>
                            <w:sz w:val="20"/>
                          </w:rPr>
                        </w:pPr>
                        <w:r>
                          <w:rPr>
                            <w:sz w:val="20"/>
                          </w:rPr>
                          <w:t>NURS</w:t>
                        </w:r>
                      </w:p>
                    </w:tc>
                    <w:tc>
                      <w:tcPr>
                        <w:tcW w:w="562" w:type="dxa"/>
                      </w:tcPr>
                      <w:p>
                        <w:pPr>
                          <w:pStyle w:val="TableParagraph"/>
                          <w:spacing w:line="223" w:lineRule="exact" w:before="0"/>
                          <w:ind w:left="51"/>
                          <w:rPr>
                            <w:sz w:val="20"/>
                          </w:rPr>
                        </w:pPr>
                        <w:r>
                          <w:rPr>
                            <w:sz w:val="20"/>
                          </w:rPr>
                          <w:t>691</w:t>
                        </w:r>
                      </w:p>
                    </w:tc>
                    <w:tc>
                      <w:tcPr>
                        <w:tcW w:w="2834" w:type="dxa"/>
                      </w:tcPr>
                      <w:p>
                        <w:pPr>
                          <w:pStyle w:val="TableParagraph"/>
                          <w:spacing w:line="249" w:lineRule="auto" w:before="0"/>
                          <w:ind w:left="108" w:right="211"/>
                          <w:rPr>
                            <w:sz w:val="20"/>
                          </w:rPr>
                        </w:pPr>
                        <w:r>
                          <w:rPr>
                            <w:sz w:val="20"/>
                          </w:rPr>
                          <w:t>ORGANIZATIONAL THEORIES: APPLICATIONS TO HEALTH SERVICE</w:t>
                        </w:r>
                      </w:p>
                      <w:p>
                        <w:pPr>
                          <w:pStyle w:val="TableParagraph"/>
                          <w:spacing w:line="219" w:lineRule="exact" w:before="0"/>
                          <w:ind w:left="108"/>
                          <w:rPr>
                            <w:sz w:val="20"/>
                          </w:rPr>
                        </w:pPr>
                        <w:r>
                          <w:rPr>
                            <w:sz w:val="20"/>
                          </w:rPr>
                          <w:t>MANAGEMENT</w:t>
                        </w:r>
                      </w:p>
                    </w:tc>
                  </w:tr>
                  <w:tr>
                    <w:trPr>
                      <w:trHeight w:val="720" w:hRule="atLeast"/>
                    </w:trPr>
                    <w:tc>
                      <w:tcPr>
                        <w:tcW w:w="782" w:type="dxa"/>
                      </w:tcPr>
                      <w:p>
                        <w:pPr>
                          <w:pStyle w:val="TableParagraph"/>
                          <w:ind w:right="50"/>
                          <w:jc w:val="right"/>
                          <w:rPr>
                            <w:sz w:val="20"/>
                          </w:rPr>
                        </w:pPr>
                        <w:r>
                          <w:rPr>
                            <w:sz w:val="20"/>
                          </w:rPr>
                          <w:t>NURS</w:t>
                        </w:r>
                      </w:p>
                    </w:tc>
                    <w:tc>
                      <w:tcPr>
                        <w:tcW w:w="562" w:type="dxa"/>
                      </w:tcPr>
                      <w:p>
                        <w:pPr>
                          <w:pStyle w:val="TableParagraph"/>
                          <w:ind w:left="51"/>
                          <w:rPr>
                            <w:sz w:val="20"/>
                          </w:rPr>
                        </w:pPr>
                        <w:r>
                          <w:rPr>
                            <w:sz w:val="20"/>
                          </w:rPr>
                          <w:t>692</w:t>
                        </w:r>
                      </w:p>
                    </w:tc>
                    <w:tc>
                      <w:tcPr>
                        <w:tcW w:w="2834" w:type="dxa"/>
                      </w:tcPr>
                      <w:p>
                        <w:pPr>
                          <w:pStyle w:val="TableParagraph"/>
                          <w:spacing w:line="249" w:lineRule="auto"/>
                          <w:ind w:left="108" w:right="483"/>
                          <w:rPr>
                            <w:sz w:val="20"/>
                          </w:rPr>
                        </w:pPr>
                        <w:r>
                          <w:rPr>
                            <w:sz w:val="20"/>
                          </w:rPr>
                          <w:t>ADMINISTRATION OF NURSING AND HEALTH</w:t>
                        </w:r>
                      </w:p>
                      <w:p>
                        <w:pPr>
                          <w:pStyle w:val="TableParagraph"/>
                          <w:spacing w:line="219" w:lineRule="exact" w:before="2"/>
                          <w:ind w:left="108"/>
                          <w:rPr>
                            <w:sz w:val="20"/>
                          </w:rPr>
                        </w:pPr>
                        <w:r>
                          <w:rPr>
                            <w:sz w:val="20"/>
                          </w:rPr>
                          <w:t>CARE SERVICES</w:t>
                        </w:r>
                      </w:p>
                    </w:tc>
                  </w:tr>
                  <w:tr>
                    <w:trPr>
                      <w:trHeight w:val="960" w:hRule="atLeast"/>
                    </w:trPr>
                    <w:tc>
                      <w:tcPr>
                        <w:tcW w:w="782" w:type="dxa"/>
                      </w:tcPr>
                      <w:p>
                        <w:pPr>
                          <w:pStyle w:val="TableParagraph"/>
                          <w:ind w:right="50"/>
                          <w:jc w:val="right"/>
                          <w:rPr>
                            <w:sz w:val="20"/>
                          </w:rPr>
                        </w:pPr>
                        <w:r>
                          <w:rPr>
                            <w:sz w:val="20"/>
                          </w:rPr>
                          <w:t>NURS</w:t>
                        </w:r>
                      </w:p>
                    </w:tc>
                    <w:tc>
                      <w:tcPr>
                        <w:tcW w:w="562" w:type="dxa"/>
                      </w:tcPr>
                      <w:p>
                        <w:pPr>
                          <w:pStyle w:val="TableParagraph"/>
                          <w:ind w:left="51"/>
                          <w:rPr>
                            <w:sz w:val="20"/>
                          </w:rPr>
                        </w:pPr>
                        <w:r>
                          <w:rPr>
                            <w:sz w:val="20"/>
                          </w:rPr>
                          <w:t>736</w:t>
                        </w:r>
                      </w:p>
                    </w:tc>
                    <w:tc>
                      <w:tcPr>
                        <w:tcW w:w="2834" w:type="dxa"/>
                      </w:tcPr>
                      <w:p>
                        <w:pPr>
                          <w:pStyle w:val="TableParagraph"/>
                          <w:spacing w:line="249" w:lineRule="auto"/>
                          <w:ind w:left="108" w:right="178"/>
                          <w:rPr>
                            <w:sz w:val="20"/>
                          </w:rPr>
                        </w:pPr>
                        <w:r>
                          <w:rPr>
                            <w:sz w:val="20"/>
                          </w:rPr>
                          <w:t>TECHNOLOGY SOLUTIONS FOR GENERATING KNOWLEDGE IN HEALTH</w:t>
                        </w:r>
                      </w:p>
                      <w:p>
                        <w:pPr>
                          <w:pStyle w:val="TableParagraph"/>
                          <w:spacing w:line="219" w:lineRule="exact" w:before="2"/>
                          <w:ind w:left="108"/>
                          <w:rPr>
                            <w:sz w:val="20"/>
                          </w:rPr>
                        </w:pPr>
                        <w:r>
                          <w:rPr>
                            <w:sz w:val="20"/>
                          </w:rPr>
                          <w:t>CARE</w:t>
                        </w:r>
                      </w:p>
                    </w:tc>
                  </w:tr>
                  <w:tr>
                    <w:trPr>
                      <w:trHeight w:val="240" w:hRule="atLeast"/>
                    </w:trPr>
                    <w:tc>
                      <w:tcPr>
                        <w:tcW w:w="782" w:type="dxa"/>
                      </w:tcPr>
                      <w:p>
                        <w:pPr>
                          <w:pStyle w:val="TableParagraph"/>
                          <w:spacing w:line="219" w:lineRule="exact"/>
                          <w:ind w:right="50"/>
                          <w:jc w:val="right"/>
                          <w:rPr>
                            <w:sz w:val="20"/>
                          </w:rPr>
                        </w:pPr>
                        <w:r>
                          <w:rPr>
                            <w:sz w:val="20"/>
                          </w:rPr>
                          <w:t>NURS</w:t>
                        </w:r>
                      </w:p>
                    </w:tc>
                    <w:tc>
                      <w:tcPr>
                        <w:tcW w:w="562" w:type="dxa"/>
                      </w:tcPr>
                      <w:p>
                        <w:pPr>
                          <w:pStyle w:val="TableParagraph"/>
                          <w:spacing w:line="219" w:lineRule="exact"/>
                          <w:ind w:left="51"/>
                          <w:rPr>
                            <w:sz w:val="20"/>
                          </w:rPr>
                        </w:pPr>
                        <w:r>
                          <w:rPr>
                            <w:sz w:val="20"/>
                          </w:rPr>
                          <w:t>TBD</w:t>
                        </w:r>
                      </w:p>
                    </w:tc>
                    <w:tc>
                      <w:tcPr>
                        <w:tcW w:w="2834" w:type="dxa"/>
                      </w:tcPr>
                      <w:p>
                        <w:pPr>
                          <w:pStyle w:val="TableParagraph"/>
                          <w:spacing w:line="219" w:lineRule="exact"/>
                          <w:ind w:left="108"/>
                          <w:rPr>
                            <w:sz w:val="20"/>
                          </w:rPr>
                        </w:pPr>
                        <w:r>
                          <w:rPr>
                            <w:sz w:val="20"/>
                          </w:rPr>
                          <w:t>ELECTIVE</w:t>
                        </w:r>
                      </w:p>
                    </w:tc>
                  </w:tr>
                  <w:tr>
                    <w:trPr>
                      <w:trHeight w:val="240" w:hRule="atLeast"/>
                    </w:trPr>
                    <w:tc>
                      <w:tcPr>
                        <w:tcW w:w="782" w:type="dxa"/>
                      </w:tcPr>
                      <w:p>
                        <w:pPr>
                          <w:pStyle w:val="TableParagraph"/>
                          <w:spacing w:line="219" w:lineRule="exact"/>
                          <w:ind w:right="50"/>
                          <w:jc w:val="right"/>
                          <w:rPr>
                            <w:sz w:val="20"/>
                          </w:rPr>
                        </w:pPr>
                        <w:r>
                          <w:rPr>
                            <w:sz w:val="20"/>
                          </w:rPr>
                          <w:t>NURS</w:t>
                        </w:r>
                      </w:p>
                    </w:tc>
                    <w:tc>
                      <w:tcPr>
                        <w:tcW w:w="562" w:type="dxa"/>
                      </w:tcPr>
                      <w:p>
                        <w:pPr>
                          <w:pStyle w:val="TableParagraph"/>
                          <w:spacing w:line="219" w:lineRule="exact"/>
                          <w:ind w:left="51"/>
                          <w:rPr>
                            <w:sz w:val="20"/>
                          </w:rPr>
                        </w:pPr>
                        <w:r>
                          <w:rPr>
                            <w:sz w:val="20"/>
                          </w:rPr>
                          <w:t>TBD</w:t>
                        </w:r>
                      </w:p>
                    </w:tc>
                    <w:tc>
                      <w:tcPr>
                        <w:tcW w:w="2834" w:type="dxa"/>
                      </w:tcPr>
                      <w:p>
                        <w:pPr>
                          <w:pStyle w:val="TableParagraph"/>
                          <w:spacing w:line="219" w:lineRule="exact"/>
                          <w:ind w:left="108"/>
                          <w:rPr>
                            <w:sz w:val="20"/>
                          </w:rPr>
                        </w:pPr>
                        <w:r>
                          <w:rPr>
                            <w:sz w:val="20"/>
                          </w:rPr>
                          <w:t>ELECTIVE</w:t>
                        </w:r>
                      </w:p>
                    </w:tc>
                  </w:tr>
                  <w:tr>
                    <w:trPr>
                      <w:trHeight w:val="231" w:hRule="atLeast"/>
                    </w:trPr>
                    <w:tc>
                      <w:tcPr>
                        <w:tcW w:w="1344" w:type="dxa"/>
                        <w:gridSpan w:val="2"/>
                      </w:tcPr>
                      <w:p>
                        <w:pPr>
                          <w:pStyle w:val="TableParagraph"/>
                          <w:spacing w:before="0"/>
                          <w:rPr>
                            <w:sz w:val="16"/>
                          </w:rPr>
                        </w:pPr>
                      </w:p>
                    </w:tc>
                    <w:tc>
                      <w:tcPr>
                        <w:tcW w:w="2834" w:type="dxa"/>
                      </w:tcPr>
                      <w:p>
                        <w:pPr>
                          <w:pStyle w:val="TableParagraph"/>
                          <w:spacing w:line="210" w:lineRule="exact"/>
                          <w:ind w:left="108"/>
                          <w:rPr>
                            <w:sz w:val="20"/>
                          </w:rPr>
                        </w:pPr>
                        <w:r>
                          <w:rPr>
                            <w:sz w:val="20"/>
                          </w:rPr>
                          <w:t>BUSINESS COURSE (AT</w:t>
                        </w:r>
                      </w:p>
                    </w:tc>
                  </w:tr>
                </w:tbl>
                <w:p>
                  <w:pPr>
                    <w:pStyle w:val="BodyText"/>
                    <w:spacing w:before="0"/>
                    <w:ind w:left="0"/>
                  </w:pPr>
                </w:p>
              </w:txbxContent>
            </v:textbox>
            <w10:wrap type="none"/>
          </v:shape>
        </w:pict>
      </w:r>
      <w:r>
        <w:rPr/>
        <w:t>MS/MBA dual degree (68 total credits for both degrees)</w:t>
      </w:r>
    </w:p>
    <w:p>
      <w:pPr>
        <w:spacing w:after="0"/>
        <w:sectPr>
          <w:type w:val="continuous"/>
          <w:pgSz w:w="12240" w:h="15840"/>
          <w:pgMar w:top="1500" w:bottom="280" w:left="880" w:right="300"/>
          <w:cols w:num="2" w:equalWidth="0">
            <w:col w:w="4887" w:space="600"/>
            <w:col w:w="5573"/>
          </w:cols>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4"/>
        <w:gridCol w:w="2669"/>
      </w:tblGrid>
      <w:tr>
        <w:trPr>
          <w:trHeight w:val="471" w:hRule="atLeast"/>
        </w:trPr>
        <w:tc>
          <w:tcPr>
            <w:tcW w:w="1294" w:type="dxa"/>
          </w:tcPr>
          <w:p>
            <w:pPr>
              <w:pStyle w:val="TableParagraph"/>
              <w:spacing w:before="0"/>
              <w:rPr>
                <w:sz w:val="20"/>
              </w:rPr>
            </w:pPr>
          </w:p>
        </w:tc>
        <w:tc>
          <w:tcPr>
            <w:tcW w:w="2669" w:type="dxa"/>
          </w:tcPr>
          <w:p>
            <w:pPr>
              <w:pStyle w:val="TableParagraph"/>
              <w:spacing w:line="223" w:lineRule="exact" w:before="0"/>
              <w:ind w:left="158"/>
              <w:rPr>
                <w:sz w:val="20"/>
              </w:rPr>
            </w:pPr>
            <w:r>
              <w:rPr>
                <w:sz w:val="20"/>
              </w:rPr>
              <w:t>SELECTED SCHOOL OF</w:t>
            </w:r>
          </w:p>
          <w:p>
            <w:pPr>
              <w:pStyle w:val="TableParagraph"/>
              <w:spacing w:line="219" w:lineRule="exact" w:before="10"/>
              <w:ind w:left="158"/>
              <w:rPr>
                <w:sz w:val="20"/>
              </w:rPr>
            </w:pPr>
            <w:r>
              <w:rPr>
                <w:sz w:val="20"/>
              </w:rPr>
              <w:t>BUSINESS)</w:t>
            </w:r>
          </w:p>
        </w:tc>
      </w:tr>
      <w:tr>
        <w:trPr>
          <w:trHeight w:val="711" w:hRule="atLeast"/>
        </w:trPr>
        <w:tc>
          <w:tcPr>
            <w:tcW w:w="1294" w:type="dxa"/>
          </w:tcPr>
          <w:p>
            <w:pPr>
              <w:pStyle w:val="TableParagraph"/>
              <w:ind w:left="200"/>
              <w:rPr>
                <w:sz w:val="20"/>
              </w:rPr>
            </w:pPr>
            <w:r>
              <w:rPr>
                <w:sz w:val="20"/>
              </w:rPr>
              <w:t>NURS 695</w:t>
            </w:r>
          </w:p>
        </w:tc>
        <w:tc>
          <w:tcPr>
            <w:tcW w:w="2669" w:type="dxa"/>
          </w:tcPr>
          <w:p>
            <w:pPr>
              <w:pStyle w:val="TableParagraph"/>
              <w:ind w:left="158"/>
              <w:rPr>
                <w:sz w:val="20"/>
              </w:rPr>
            </w:pPr>
            <w:r>
              <w:rPr>
                <w:sz w:val="20"/>
              </w:rPr>
              <w:t>PRACTICUM IN HEALTH</w:t>
            </w:r>
          </w:p>
          <w:p>
            <w:pPr>
              <w:pStyle w:val="TableParagraph"/>
              <w:spacing w:line="240" w:lineRule="atLeast" w:before="0"/>
              <w:ind w:left="158"/>
              <w:rPr>
                <w:sz w:val="20"/>
              </w:rPr>
            </w:pPr>
            <w:r>
              <w:rPr>
                <w:sz w:val="20"/>
              </w:rPr>
              <w:t>SERVICES, LEADERSHIP, AND MANAGEMENT</w:t>
            </w:r>
          </w:p>
        </w:tc>
      </w:tr>
    </w:tbl>
    <w:p>
      <w:pPr>
        <w:pStyle w:val="BodyText"/>
        <w:spacing w:before="3"/>
        <w:ind w:left="0"/>
        <w:rPr>
          <w:sz w:val="28"/>
        </w:rPr>
      </w:pPr>
    </w:p>
    <w:p>
      <w:pPr>
        <w:spacing w:after="0"/>
        <w:rPr>
          <w:sz w:val="28"/>
        </w:rPr>
        <w:sectPr>
          <w:pgSz w:w="12240" w:h="15840"/>
          <w:pgMar w:header="746" w:footer="0" w:top="1320" w:bottom="280" w:left="880" w:right="300"/>
        </w:sectPr>
      </w:pPr>
    </w:p>
    <w:p>
      <w:pPr>
        <w:pStyle w:val="Heading5"/>
        <w:spacing w:before="93"/>
      </w:pPr>
      <w:r>
        <w:rPr/>
        <w:t>Required Courses – Nursing Informatics</w:t>
      </w:r>
    </w:p>
    <w:p>
      <w:pPr>
        <w:pStyle w:val="BodyText"/>
        <w:spacing w:before="190"/>
      </w:pPr>
      <w:r>
        <w:rPr/>
        <w:t>(40 total credits)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4"/>
        <w:gridCol w:w="2882"/>
      </w:tblGrid>
      <w:tr>
        <w:trPr>
          <w:trHeight w:val="471" w:hRule="atLeast"/>
        </w:trPr>
        <w:tc>
          <w:tcPr>
            <w:tcW w:w="1294" w:type="dxa"/>
          </w:tcPr>
          <w:p>
            <w:pPr>
              <w:pStyle w:val="TableParagraph"/>
              <w:spacing w:line="223" w:lineRule="exact" w:before="0"/>
              <w:ind w:right="156"/>
              <w:jc w:val="right"/>
              <w:rPr>
                <w:sz w:val="20"/>
              </w:rPr>
            </w:pPr>
            <w:r>
              <w:rPr>
                <w:sz w:val="20"/>
              </w:rPr>
              <w:t>NURS 690</w:t>
            </w:r>
          </w:p>
        </w:tc>
        <w:tc>
          <w:tcPr>
            <w:tcW w:w="2882" w:type="dxa"/>
          </w:tcPr>
          <w:p>
            <w:pPr>
              <w:pStyle w:val="TableParagraph"/>
              <w:spacing w:line="223" w:lineRule="exact" w:before="0"/>
              <w:ind w:left="158"/>
              <w:rPr>
                <w:sz w:val="20"/>
              </w:rPr>
            </w:pPr>
            <w:r>
              <w:rPr>
                <w:sz w:val="20"/>
              </w:rPr>
              <w:t>MANAGERIAL HEALTH</w:t>
            </w:r>
          </w:p>
          <w:p>
            <w:pPr>
              <w:pStyle w:val="TableParagraph"/>
              <w:spacing w:line="219" w:lineRule="exact" w:before="10"/>
              <w:ind w:left="158"/>
              <w:rPr>
                <w:sz w:val="20"/>
              </w:rPr>
            </w:pPr>
            <w:r>
              <w:rPr>
                <w:sz w:val="20"/>
              </w:rPr>
              <w:t>FINANCE</w:t>
            </w:r>
          </w:p>
        </w:tc>
      </w:tr>
      <w:tr>
        <w:trPr>
          <w:trHeight w:val="960" w:hRule="atLeast"/>
        </w:trPr>
        <w:tc>
          <w:tcPr>
            <w:tcW w:w="1294" w:type="dxa"/>
          </w:tcPr>
          <w:p>
            <w:pPr>
              <w:pStyle w:val="TableParagraph"/>
              <w:ind w:right="156"/>
              <w:jc w:val="right"/>
              <w:rPr>
                <w:sz w:val="20"/>
              </w:rPr>
            </w:pPr>
            <w:r>
              <w:rPr>
                <w:sz w:val="20"/>
              </w:rPr>
              <w:t>NURS 691</w:t>
            </w:r>
          </w:p>
        </w:tc>
        <w:tc>
          <w:tcPr>
            <w:tcW w:w="2882" w:type="dxa"/>
          </w:tcPr>
          <w:p>
            <w:pPr>
              <w:pStyle w:val="TableParagraph"/>
              <w:spacing w:line="249" w:lineRule="auto"/>
              <w:ind w:left="158" w:right="209"/>
              <w:rPr>
                <w:sz w:val="20"/>
              </w:rPr>
            </w:pPr>
            <w:r>
              <w:rPr>
                <w:sz w:val="20"/>
              </w:rPr>
              <w:t>ORGANIZATIONAL THEORIES: APPLICATIONS TO HEALTH SERVICE</w:t>
            </w:r>
          </w:p>
          <w:p>
            <w:pPr>
              <w:pStyle w:val="TableParagraph"/>
              <w:spacing w:line="219" w:lineRule="exact" w:before="2"/>
              <w:ind w:left="158"/>
              <w:rPr>
                <w:sz w:val="20"/>
              </w:rPr>
            </w:pPr>
            <w:r>
              <w:rPr>
                <w:sz w:val="20"/>
              </w:rPr>
              <w:t>MANAGEMENT</w:t>
            </w:r>
          </w:p>
        </w:tc>
      </w:tr>
      <w:tr>
        <w:trPr>
          <w:trHeight w:val="960" w:hRule="atLeast"/>
        </w:trPr>
        <w:tc>
          <w:tcPr>
            <w:tcW w:w="1294" w:type="dxa"/>
          </w:tcPr>
          <w:p>
            <w:pPr>
              <w:pStyle w:val="TableParagraph"/>
              <w:ind w:right="156"/>
              <w:jc w:val="right"/>
              <w:rPr>
                <w:sz w:val="20"/>
              </w:rPr>
            </w:pPr>
            <w:r>
              <w:rPr>
                <w:sz w:val="20"/>
              </w:rPr>
              <w:t>NURS 736</w:t>
            </w:r>
          </w:p>
        </w:tc>
        <w:tc>
          <w:tcPr>
            <w:tcW w:w="2882" w:type="dxa"/>
          </w:tcPr>
          <w:p>
            <w:pPr>
              <w:pStyle w:val="TableParagraph"/>
              <w:spacing w:line="249" w:lineRule="auto"/>
              <w:ind w:left="158" w:right="176"/>
              <w:rPr>
                <w:sz w:val="20"/>
              </w:rPr>
            </w:pPr>
            <w:r>
              <w:rPr>
                <w:sz w:val="20"/>
              </w:rPr>
              <w:t>TECHNOLOGY SOLUTIONS FOR GENERATING KNOWLEDGE IN HEALTH</w:t>
            </w:r>
          </w:p>
          <w:p>
            <w:pPr>
              <w:pStyle w:val="TableParagraph"/>
              <w:spacing w:line="219" w:lineRule="exact" w:before="2"/>
              <w:ind w:left="158"/>
              <w:rPr>
                <w:sz w:val="20"/>
              </w:rPr>
            </w:pPr>
            <w:r>
              <w:rPr>
                <w:sz w:val="20"/>
              </w:rPr>
              <w:t>CARE</w:t>
            </w:r>
          </w:p>
        </w:tc>
      </w:tr>
      <w:tr>
        <w:trPr>
          <w:trHeight w:val="480" w:hRule="atLeast"/>
        </w:trPr>
        <w:tc>
          <w:tcPr>
            <w:tcW w:w="1294" w:type="dxa"/>
          </w:tcPr>
          <w:p>
            <w:pPr>
              <w:pStyle w:val="TableParagraph"/>
              <w:ind w:right="156"/>
              <w:jc w:val="right"/>
              <w:rPr>
                <w:sz w:val="20"/>
              </w:rPr>
            </w:pPr>
            <w:r>
              <w:rPr>
                <w:sz w:val="20"/>
              </w:rPr>
              <w:t>NURS 786</w:t>
            </w:r>
          </w:p>
        </w:tc>
        <w:tc>
          <w:tcPr>
            <w:tcW w:w="2882" w:type="dxa"/>
          </w:tcPr>
          <w:p>
            <w:pPr>
              <w:pStyle w:val="TableParagraph"/>
              <w:ind w:left="158"/>
              <w:rPr>
                <w:sz w:val="20"/>
              </w:rPr>
            </w:pPr>
            <w:r>
              <w:rPr>
                <w:sz w:val="20"/>
              </w:rPr>
              <w:t>SYSTEMS ANALYSIS AND</w:t>
            </w:r>
          </w:p>
          <w:p>
            <w:pPr>
              <w:pStyle w:val="TableParagraph"/>
              <w:spacing w:line="219" w:lineRule="exact" w:before="10"/>
              <w:ind w:left="158"/>
              <w:rPr>
                <w:sz w:val="20"/>
              </w:rPr>
            </w:pPr>
            <w:r>
              <w:rPr>
                <w:sz w:val="20"/>
              </w:rPr>
              <w:t>DESIGN</w:t>
            </w:r>
          </w:p>
        </w:tc>
      </w:tr>
      <w:tr>
        <w:trPr>
          <w:trHeight w:val="720" w:hRule="atLeast"/>
        </w:trPr>
        <w:tc>
          <w:tcPr>
            <w:tcW w:w="1294" w:type="dxa"/>
          </w:tcPr>
          <w:p>
            <w:pPr>
              <w:pStyle w:val="TableParagraph"/>
              <w:ind w:right="156"/>
              <w:jc w:val="right"/>
              <w:rPr>
                <w:sz w:val="20"/>
              </w:rPr>
            </w:pPr>
            <w:r>
              <w:rPr>
                <w:sz w:val="20"/>
              </w:rPr>
              <w:t>NURS 784</w:t>
            </w:r>
          </w:p>
        </w:tc>
        <w:tc>
          <w:tcPr>
            <w:tcW w:w="2882" w:type="dxa"/>
          </w:tcPr>
          <w:p>
            <w:pPr>
              <w:pStyle w:val="TableParagraph"/>
              <w:spacing w:line="249" w:lineRule="auto"/>
              <w:ind w:left="158" w:right="442"/>
              <w:rPr>
                <w:sz w:val="20"/>
              </w:rPr>
            </w:pPr>
            <w:r>
              <w:rPr>
                <w:sz w:val="20"/>
              </w:rPr>
              <w:t>INFORMATION TECHNOLOGY PROJECT</w:t>
            </w:r>
          </w:p>
          <w:p>
            <w:pPr>
              <w:pStyle w:val="TableParagraph"/>
              <w:spacing w:line="219" w:lineRule="exact" w:before="2"/>
              <w:ind w:left="158"/>
              <w:rPr>
                <w:sz w:val="20"/>
              </w:rPr>
            </w:pPr>
            <w:r>
              <w:rPr>
                <w:sz w:val="20"/>
              </w:rPr>
              <w:t>MANAGEMENT</w:t>
            </w:r>
          </w:p>
        </w:tc>
      </w:tr>
      <w:tr>
        <w:trPr>
          <w:trHeight w:val="480" w:hRule="atLeast"/>
        </w:trPr>
        <w:tc>
          <w:tcPr>
            <w:tcW w:w="1294" w:type="dxa"/>
          </w:tcPr>
          <w:p>
            <w:pPr>
              <w:pStyle w:val="TableParagraph"/>
              <w:ind w:right="156"/>
              <w:jc w:val="right"/>
              <w:rPr>
                <w:sz w:val="20"/>
              </w:rPr>
            </w:pPr>
            <w:r>
              <w:rPr>
                <w:sz w:val="20"/>
              </w:rPr>
              <w:t>NURS 785</w:t>
            </w:r>
          </w:p>
        </w:tc>
        <w:tc>
          <w:tcPr>
            <w:tcW w:w="2882" w:type="dxa"/>
          </w:tcPr>
          <w:p>
            <w:pPr>
              <w:pStyle w:val="TableParagraph"/>
              <w:ind w:left="158"/>
              <w:rPr>
                <w:sz w:val="20"/>
              </w:rPr>
            </w:pPr>
            <w:r>
              <w:rPr>
                <w:sz w:val="20"/>
              </w:rPr>
              <w:t>HEALTH CARE DATABASE</w:t>
            </w:r>
          </w:p>
          <w:p>
            <w:pPr>
              <w:pStyle w:val="TableParagraph"/>
              <w:spacing w:line="219" w:lineRule="exact" w:before="10"/>
              <w:ind w:left="158"/>
              <w:rPr>
                <w:sz w:val="20"/>
              </w:rPr>
            </w:pPr>
            <w:r>
              <w:rPr>
                <w:sz w:val="20"/>
              </w:rPr>
              <w:t>SYSTEMS</w:t>
            </w:r>
          </w:p>
        </w:tc>
      </w:tr>
      <w:tr>
        <w:trPr>
          <w:trHeight w:val="720" w:hRule="atLeast"/>
        </w:trPr>
        <w:tc>
          <w:tcPr>
            <w:tcW w:w="1294" w:type="dxa"/>
          </w:tcPr>
          <w:p>
            <w:pPr>
              <w:pStyle w:val="TableParagraph"/>
              <w:ind w:right="156"/>
              <w:jc w:val="right"/>
              <w:rPr>
                <w:sz w:val="20"/>
              </w:rPr>
            </w:pPr>
            <w:r>
              <w:rPr>
                <w:sz w:val="20"/>
              </w:rPr>
              <w:t>NURS 737</w:t>
            </w:r>
          </w:p>
        </w:tc>
        <w:tc>
          <w:tcPr>
            <w:tcW w:w="2882" w:type="dxa"/>
          </w:tcPr>
          <w:p>
            <w:pPr>
              <w:pStyle w:val="TableParagraph"/>
              <w:spacing w:line="249" w:lineRule="auto"/>
              <w:ind w:left="158" w:right="181"/>
              <w:rPr>
                <w:sz w:val="20"/>
              </w:rPr>
            </w:pPr>
            <w:r>
              <w:rPr>
                <w:sz w:val="20"/>
              </w:rPr>
              <w:t>NURSING INFORMATICS CONCEPTS AND PRACTICE</w:t>
            </w:r>
          </w:p>
          <w:p>
            <w:pPr>
              <w:pStyle w:val="TableParagraph"/>
              <w:spacing w:line="219" w:lineRule="exact" w:before="2"/>
              <w:ind w:left="158"/>
              <w:rPr>
                <w:sz w:val="20"/>
              </w:rPr>
            </w:pPr>
            <w:r>
              <w:rPr>
                <w:sz w:val="20"/>
              </w:rPr>
              <w:t>IN SYSTEMS ADOPTION</w:t>
            </w:r>
          </w:p>
        </w:tc>
      </w:tr>
      <w:tr>
        <w:trPr>
          <w:trHeight w:val="480" w:hRule="atLeast"/>
        </w:trPr>
        <w:tc>
          <w:tcPr>
            <w:tcW w:w="1294" w:type="dxa"/>
          </w:tcPr>
          <w:p>
            <w:pPr>
              <w:pStyle w:val="TableParagraph"/>
              <w:ind w:right="156"/>
              <w:jc w:val="right"/>
              <w:rPr>
                <w:sz w:val="20"/>
              </w:rPr>
            </w:pPr>
            <w:r>
              <w:rPr>
                <w:sz w:val="20"/>
              </w:rPr>
              <w:t>NURS 738</w:t>
            </w:r>
          </w:p>
        </w:tc>
        <w:tc>
          <w:tcPr>
            <w:tcW w:w="2882" w:type="dxa"/>
          </w:tcPr>
          <w:p>
            <w:pPr>
              <w:pStyle w:val="TableParagraph"/>
              <w:ind w:left="158"/>
              <w:rPr>
                <w:sz w:val="20"/>
              </w:rPr>
            </w:pPr>
            <w:r>
              <w:rPr>
                <w:sz w:val="20"/>
              </w:rPr>
              <w:t>PRACTICUM IN NURSING</w:t>
            </w:r>
          </w:p>
          <w:p>
            <w:pPr>
              <w:pStyle w:val="TableParagraph"/>
              <w:spacing w:line="219" w:lineRule="exact" w:before="10"/>
              <w:ind w:left="158"/>
              <w:rPr>
                <w:sz w:val="20"/>
              </w:rPr>
            </w:pPr>
            <w:r>
              <w:rPr>
                <w:sz w:val="20"/>
              </w:rPr>
              <w:t>INFORMATICS</w:t>
            </w:r>
          </w:p>
        </w:tc>
      </w:tr>
      <w:tr>
        <w:trPr>
          <w:trHeight w:val="711" w:hRule="atLeast"/>
        </w:trPr>
        <w:tc>
          <w:tcPr>
            <w:tcW w:w="1294" w:type="dxa"/>
          </w:tcPr>
          <w:p>
            <w:pPr>
              <w:pStyle w:val="TableParagraph"/>
              <w:ind w:right="156"/>
              <w:jc w:val="right"/>
              <w:rPr>
                <w:sz w:val="20"/>
              </w:rPr>
            </w:pPr>
            <w:r>
              <w:rPr>
                <w:sz w:val="20"/>
              </w:rPr>
              <w:t>NURS 770</w:t>
            </w:r>
          </w:p>
        </w:tc>
        <w:tc>
          <w:tcPr>
            <w:tcW w:w="2882" w:type="dxa"/>
          </w:tcPr>
          <w:p>
            <w:pPr>
              <w:pStyle w:val="TableParagraph"/>
              <w:spacing w:line="249" w:lineRule="auto"/>
              <w:ind w:left="158" w:right="248"/>
              <w:rPr>
                <w:sz w:val="20"/>
              </w:rPr>
            </w:pPr>
            <w:r>
              <w:rPr>
                <w:sz w:val="20"/>
              </w:rPr>
              <w:t>HUMAN-TECHNOLOGY INTERACTION IN HEALTH</w:t>
            </w:r>
          </w:p>
          <w:p>
            <w:pPr>
              <w:pStyle w:val="TableParagraph"/>
              <w:spacing w:line="210" w:lineRule="exact" w:before="2"/>
              <w:ind w:left="158"/>
              <w:rPr>
                <w:sz w:val="20"/>
              </w:rPr>
            </w:pPr>
            <w:r>
              <w:rPr>
                <w:sz w:val="20"/>
              </w:rPr>
              <w:t>CARE</w:t>
            </w:r>
          </w:p>
        </w:tc>
      </w:tr>
    </w:tbl>
    <w:p>
      <w:pPr>
        <w:pStyle w:val="Heading5"/>
        <w:spacing w:before="195"/>
      </w:pPr>
      <w:r>
        <w:rPr/>
        <w:t>Required Courses – Nursing and Public Health</w:t>
      </w:r>
    </w:p>
    <w:p>
      <w:pPr>
        <w:pStyle w:val="BodyText"/>
        <w:spacing w:before="190"/>
      </w:pPr>
      <w:r>
        <w:rPr/>
        <w:pict>
          <v:shape style="position:absolute;margin-left:49.279999pt;margin-top:21.8535pt;width:208.05pt;height:179.2pt;mso-position-horizontal-relative:page;mso-position-vertical-relative:paragraph;z-index:14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2"/>
                    <w:gridCol w:w="2877"/>
                  </w:tblGrid>
                  <w:tr>
                    <w:trPr>
                      <w:trHeight w:val="471" w:hRule="atLeast"/>
                    </w:trPr>
                    <w:tc>
                      <w:tcPr>
                        <w:tcW w:w="1282" w:type="dxa"/>
                      </w:tcPr>
                      <w:p>
                        <w:pPr>
                          <w:pStyle w:val="TableParagraph"/>
                          <w:spacing w:line="223" w:lineRule="exact" w:before="0"/>
                          <w:ind w:left="200"/>
                          <w:rPr>
                            <w:sz w:val="20"/>
                          </w:rPr>
                        </w:pPr>
                        <w:r>
                          <w:rPr>
                            <w:sz w:val="20"/>
                          </w:rPr>
                          <w:t>PH 600</w:t>
                        </w:r>
                      </w:p>
                    </w:tc>
                    <w:tc>
                      <w:tcPr>
                        <w:tcW w:w="2877" w:type="dxa"/>
                      </w:tcPr>
                      <w:p>
                        <w:pPr>
                          <w:pStyle w:val="TableParagraph"/>
                          <w:spacing w:line="223" w:lineRule="exact" w:before="0"/>
                          <w:ind w:left="146"/>
                          <w:rPr>
                            <w:sz w:val="20"/>
                          </w:rPr>
                        </w:pPr>
                        <w:r>
                          <w:rPr>
                            <w:sz w:val="20"/>
                          </w:rPr>
                          <w:t>PRINCIPLES OF</w:t>
                        </w:r>
                      </w:p>
                      <w:p>
                        <w:pPr>
                          <w:pStyle w:val="TableParagraph"/>
                          <w:spacing w:line="219" w:lineRule="exact" w:before="10"/>
                          <w:ind w:left="146"/>
                          <w:rPr>
                            <w:sz w:val="20"/>
                          </w:rPr>
                        </w:pPr>
                        <w:r>
                          <w:rPr>
                            <w:sz w:val="20"/>
                          </w:rPr>
                          <w:t>EPIDEMIOLOGY,</w:t>
                        </w:r>
                      </w:p>
                    </w:tc>
                  </w:tr>
                  <w:tr>
                    <w:trPr>
                      <w:trHeight w:val="240" w:hRule="atLeast"/>
                    </w:trPr>
                    <w:tc>
                      <w:tcPr>
                        <w:tcW w:w="1282" w:type="dxa"/>
                      </w:tcPr>
                      <w:p>
                        <w:pPr>
                          <w:pStyle w:val="TableParagraph"/>
                          <w:spacing w:before="0"/>
                          <w:rPr>
                            <w:sz w:val="16"/>
                          </w:rPr>
                        </w:pPr>
                      </w:p>
                    </w:tc>
                    <w:tc>
                      <w:tcPr>
                        <w:tcW w:w="2877" w:type="dxa"/>
                      </w:tcPr>
                      <w:p>
                        <w:pPr>
                          <w:pStyle w:val="TableParagraph"/>
                          <w:spacing w:line="219" w:lineRule="exact"/>
                          <w:ind w:left="146"/>
                          <w:rPr>
                            <w:sz w:val="20"/>
                          </w:rPr>
                        </w:pPr>
                        <w:r>
                          <w:rPr>
                            <w:sz w:val="20"/>
                          </w:rPr>
                          <w:t>OR</w:t>
                        </w:r>
                      </w:p>
                    </w:tc>
                  </w:tr>
                  <w:tr>
                    <w:trPr>
                      <w:trHeight w:val="600" w:hRule="atLeast"/>
                    </w:trPr>
                    <w:tc>
                      <w:tcPr>
                        <w:tcW w:w="1282" w:type="dxa"/>
                      </w:tcPr>
                      <w:p>
                        <w:pPr>
                          <w:pStyle w:val="TableParagraph"/>
                          <w:ind w:left="200"/>
                          <w:rPr>
                            <w:sz w:val="20"/>
                          </w:rPr>
                        </w:pPr>
                        <w:r>
                          <w:rPr>
                            <w:sz w:val="20"/>
                          </w:rPr>
                          <w:t>NURS 671</w:t>
                        </w:r>
                      </w:p>
                    </w:tc>
                    <w:tc>
                      <w:tcPr>
                        <w:tcW w:w="2877" w:type="dxa"/>
                      </w:tcPr>
                      <w:p>
                        <w:pPr>
                          <w:pStyle w:val="TableParagraph"/>
                          <w:spacing w:line="249" w:lineRule="auto"/>
                          <w:ind w:left="146" w:right="182"/>
                          <w:rPr>
                            <w:sz w:val="20"/>
                          </w:rPr>
                        </w:pPr>
                        <w:r>
                          <w:rPr>
                            <w:sz w:val="20"/>
                          </w:rPr>
                          <w:t>EPIDEMIOLOGICAL ASSESSMENT STRATEGIES</w:t>
                        </w:r>
                      </w:p>
                    </w:tc>
                  </w:tr>
                  <w:tr>
                    <w:trPr>
                      <w:trHeight w:val="600" w:hRule="atLeast"/>
                    </w:trPr>
                    <w:tc>
                      <w:tcPr>
                        <w:tcW w:w="1282" w:type="dxa"/>
                      </w:tcPr>
                      <w:p>
                        <w:pPr>
                          <w:pStyle w:val="TableParagraph"/>
                          <w:spacing w:before="121"/>
                          <w:ind w:left="200"/>
                          <w:rPr>
                            <w:sz w:val="20"/>
                          </w:rPr>
                        </w:pPr>
                        <w:r>
                          <w:rPr>
                            <w:sz w:val="20"/>
                          </w:rPr>
                          <w:t>PH 621</w:t>
                        </w:r>
                      </w:p>
                    </w:tc>
                    <w:tc>
                      <w:tcPr>
                        <w:tcW w:w="2877" w:type="dxa"/>
                      </w:tcPr>
                      <w:p>
                        <w:pPr>
                          <w:pStyle w:val="TableParagraph"/>
                          <w:spacing w:line="240" w:lineRule="atLeast" w:before="111"/>
                          <w:ind w:left="146" w:right="1099"/>
                          <w:rPr>
                            <w:sz w:val="20"/>
                          </w:rPr>
                        </w:pPr>
                        <w:r>
                          <w:rPr>
                            <w:sz w:val="20"/>
                          </w:rPr>
                          <w:t>BIOSTATISTICAL METHODS</w:t>
                        </w:r>
                      </w:p>
                    </w:tc>
                  </w:tr>
                  <w:tr>
                    <w:trPr>
                      <w:trHeight w:val="480" w:hRule="atLeast"/>
                    </w:trPr>
                    <w:tc>
                      <w:tcPr>
                        <w:tcW w:w="1282" w:type="dxa"/>
                      </w:tcPr>
                      <w:p>
                        <w:pPr>
                          <w:pStyle w:val="TableParagraph"/>
                          <w:ind w:left="200"/>
                          <w:rPr>
                            <w:sz w:val="20"/>
                          </w:rPr>
                        </w:pPr>
                        <w:r>
                          <w:rPr>
                            <w:sz w:val="20"/>
                          </w:rPr>
                          <w:t>PH 668</w:t>
                        </w:r>
                      </w:p>
                    </w:tc>
                    <w:tc>
                      <w:tcPr>
                        <w:tcW w:w="2877" w:type="dxa"/>
                      </w:tcPr>
                      <w:p>
                        <w:pPr>
                          <w:pStyle w:val="TableParagraph"/>
                          <w:ind w:left="146"/>
                          <w:rPr>
                            <w:sz w:val="20"/>
                          </w:rPr>
                        </w:pPr>
                        <w:r>
                          <w:rPr>
                            <w:sz w:val="20"/>
                          </w:rPr>
                          <w:t>ENVIRONMENTAL AND</w:t>
                        </w:r>
                      </w:p>
                      <w:p>
                        <w:pPr>
                          <w:pStyle w:val="TableParagraph"/>
                          <w:spacing w:line="219" w:lineRule="exact" w:before="10"/>
                          <w:ind w:left="146"/>
                          <w:rPr>
                            <w:sz w:val="20"/>
                          </w:rPr>
                        </w:pPr>
                        <w:r>
                          <w:rPr>
                            <w:sz w:val="20"/>
                          </w:rPr>
                          <w:t>OCCUPATIONAL HEALTH</w:t>
                        </w:r>
                      </w:p>
                    </w:tc>
                  </w:tr>
                  <w:tr>
                    <w:trPr>
                      <w:trHeight w:val="720" w:hRule="atLeast"/>
                    </w:trPr>
                    <w:tc>
                      <w:tcPr>
                        <w:tcW w:w="1282" w:type="dxa"/>
                      </w:tcPr>
                      <w:p>
                        <w:pPr>
                          <w:pStyle w:val="TableParagraph"/>
                          <w:ind w:left="200"/>
                          <w:rPr>
                            <w:sz w:val="20"/>
                          </w:rPr>
                        </w:pPr>
                        <w:r>
                          <w:rPr>
                            <w:sz w:val="20"/>
                          </w:rPr>
                          <w:t>PH 648</w:t>
                        </w:r>
                      </w:p>
                    </w:tc>
                    <w:tc>
                      <w:tcPr>
                        <w:tcW w:w="2877" w:type="dxa"/>
                      </w:tcPr>
                      <w:p>
                        <w:pPr>
                          <w:pStyle w:val="TableParagraph"/>
                          <w:spacing w:line="249" w:lineRule="auto"/>
                          <w:ind w:left="146" w:right="199"/>
                          <w:rPr>
                            <w:sz w:val="20"/>
                          </w:rPr>
                        </w:pPr>
                        <w:r>
                          <w:rPr>
                            <w:sz w:val="20"/>
                          </w:rPr>
                          <w:t>INTRODUCTION TO THE HEALTH SYSTEM, POLICY,</w:t>
                        </w:r>
                      </w:p>
                      <w:p>
                        <w:pPr>
                          <w:pStyle w:val="TableParagraph"/>
                          <w:spacing w:line="219" w:lineRule="exact" w:before="2"/>
                          <w:ind w:left="146"/>
                          <w:rPr>
                            <w:sz w:val="20"/>
                          </w:rPr>
                        </w:pPr>
                        <w:r>
                          <w:rPr>
                            <w:sz w:val="20"/>
                          </w:rPr>
                          <w:t>AND MANAGEMENT</w:t>
                        </w:r>
                      </w:p>
                    </w:tc>
                  </w:tr>
                  <w:tr>
                    <w:trPr>
                      <w:trHeight w:val="471" w:hRule="atLeast"/>
                    </w:trPr>
                    <w:tc>
                      <w:tcPr>
                        <w:tcW w:w="1282" w:type="dxa"/>
                      </w:tcPr>
                      <w:p>
                        <w:pPr>
                          <w:pStyle w:val="TableParagraph"/>
                          <w:ind w:left="200"/>
                          <w:rPr>
                            <w:sz w:val="20"/>
                          </w:rPr>
                        </w:pPr>
                        <w:r>
                          <w:rPr>
                            <w:sz w:val="20"/>
                          </w:rPr>
                          <w:t>PH 610</w:t>
                        </w:r>
                      </w:p>
                    </w:tc>
                    <w:tc>
                      <w:tcPr>
                        <w:tcW w:w="2877" w:type="dxa"/>
                      </w:tcPr>
                      <w:p>
                        <w:pPr>
                          <w:pStyle w:val="TableParagraph"/>
                          <w:ind w:left="146"/>
                          <w:rPr>
                            <w:sz w:val="20"/>
                          </w:rPr>
                        </w:pPr>
                        <w:r>
                          <w:rPr>
                            <w:sz w:val="20"/>
                          </w:rPr>
                          <w:t>FOUNDATIONS OF PUBLIC</w:t>
                        </w:r>
                      </w:p>
                      <w:p>
                        <w:pPr>
                          <w:pStyle w:val="TableParagraph"/>
                          <w:spacing w:line="210" w:lineRule="exact" w:before="10"/>
                          <w:ind w:left="146"/>
                          <w:rPr>
                            <w:sz w:val="20"/>
                          </w:rPr>
                        </w:pPr>
                        <w:r>
                          <w:rPr>
                            <w:sz w:val="20"/>
                          </w:rPr>
                          <w:t>HEALTH</w:t>
                        </w:r>
                      </w:p>
                    </w:tc>
                  </w:tr>
                </w:tbl>
                <w:p>
                  <w:pPr>
                    <w:pStyle w:val="BodyText"/>
                    <w:spacing w:before="0"/>
                    <w:ind w:left="0"/>
                  </w:pPr>
                </w:p>
              </w:txbxContent>
            </v:textbox>
            <w10:wrap type="none"/>
          </v:shape>
        </w:pict>
      </w:r>
      <w:r>
        <w:rPr/>
        <w:t>(total credits range*)</w:t>
      </w:r>
    </w:p>
    <w:p>
      <w:pPr>
        <w:pStyle w:val="BodyText"/>
        <w:spacing w:before="0"/>
        <w:ind w:left="0"/>
        <w:rPr>
          <w:sz w:val="22"/>
        </w:rPr>
      </w:pPr>
      <w:r>
        <w:rPr/>
        <w:br w:type="column"/>
      </w:r>
      <w:r>
        <w:rPr>
          <w:sz w:val="22"/>
        </w:rPr>
      </w:r>
    </w:p>
    <w:p>
      <w:pPr>
        <w:pStyle w:val="BodyText"/>
        <w:spacing w:before="0"/>
        <w:ind w:left="0"/>
        <w:rPr>
          <w:sz w:val="22"/>
        </w:rPr>
      </w:pPr>
    </w:p>
    <w:p>
      <w:pPr>
        <w:pStyle w:val="BodyText"/>
        <w:spacing w:before="0"/>
        <w:ind w:left="0"/>
        <w:rPr>
          <w:sz w:val="22"/>
        </w:rPr>
      </w:pPr>
    </w:p>
    <w:p>
      <w:pPr>
        <w:pStyle w:val="BodyText"/>
        <w:spacing w:before="0"/>
        <w:ind w:left="0"/>
        <w:rPr>
          <w:sz w:val="22"/>
        </w:rPr>
      </w:pPr>
    </w:p>
    <w:p>
      <w:pPr>
        <w:pStyle w:val="ListParagraph"/>
        <w:numPr>
          <w:ilvl w:val="0"/>
          <w:numId w:val="14"/>
        </w:numPr>
        <w:tabs>
          <w:tab w:pos="354" w:val="left" w:leader="none"/>
        </w:tabs>
        <w:spacing w:line="249" w:lineRule="auto" w:before="170" w:after="0"/>
        <w:ind w:left="200" w:right="939" w:firstLine="0"/>
        <w:jc w:val="left"/>
        <w:rPr>
          <w:i/>
          <w:sz w:val="20"/>
        </w:rPr>
      </w:pPr>
      <w:r>
        <w:rPr/>
        <w:pict>
          <v:shape style="position:absolute;margin-left:323.600006pt;margin-top:-126.026505pt;width:247.55pt;height:131.2pt;mso-position-horizontal-relative:page;mso-position-vertical-relative:paragraph;z-index:14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6"/>
                    <w:gridCol w:w="3067"/>
                    <w:gridCol w:w="635"/>
                  </w:tblGrid>
                  <w:tr>
                    <w:trPr>
                      <w:trHeight w:val="471" w:hRule="atLeast"/>
                    </w:trPr>
                    <w:tc>
                      <w:tcPr>
                        <w:tcW w:w="1246" w:type="dxa"/>
                      </w:tcPr>
                      <w:p>
                        <w:pPr>
                          <w:pStyle w:val="TableParagraph"/>
                          <w:spacing w:line="223" w:lineRule="exact" w:before="0"/>
                          <w:ind w:left="200"/>
                          <w:rPr>
                            <w:sz w:val="20"/>
                          </w:rPr>
                        </w:pPr>
                        <w:r>
                          <w:rPr>
                            <w:sz w:val="20"/>
                          </w:rPr>
                          <w:t>PH 789</w:t>
                        </w:r>
                      </w:p>
                    </w:tc>
                    <w:tc>
                      <w:tcPr>
                        <w:tcW w:w="3067" w:type="dxa"/>
                      </w:tcPr>
                      <w:p>
                        <w:pPr>
                          <w:pStyle w:val="TableParagraph"/>
                          <w:spacing w:line="223" w:lineRule="exact" w:before="0"/>
                          <w:ind w:left="182"/>
                          <w:rPr>
                            <w:sz w:val="20"/>
                          </w:rPr>
                        </w:pPr>
                        <w:r>
                          <w:rPr>
                            <w:sz w:val="20"/>
                          </w:rPr>
                          <w:t>SUPERVISED CAPSTONE</w:t>
                        </w:r>
                      </w:p>
                      <w:p>
                        <w:pPr>
                          <w:pStyle w:val="TableParagraph"/>
                          <w:spacing w:line="219" w:lineRule="exact" w:before="10"/>
                          <w:ind w:left="182"/>
                          <w:rPr>
                            <w:sz w:val="20"/>
                          </w:rPr>
                        </w:pPr>
                        <w:r>
                          <w:rPr>
                            <w:sz w:val="20"/>
                          </w:rPr>
                          <w:t>EXPERIENCE</w:t>
                        </w:r>
                      </w:p>
                    </w:tc>
                    <w:tc>
                      <w:tcPr>
                        <w:tcW w:w="635" w:type="dxa"/>
                      </w:tcPr>
                      <w:p>
                        <w:pPr>
                          <w:pStyle w:val="TableParagraph"/>
                          <w:spacing w:before="0"/>
                          <w:rPr>
                            <w:sz w:val="20"/>
                          </w:rPr>
                        </w:pPr>
                      </w:p>
                    </w:tc>
                  </w:tr>
                  <w:tr>
                    <w:trPr>
                      <w:trHeight w:val="720" w:hRule="atLeast"/>
                    </w:trPr>
                    <w:tc>
                      <w:tcPr>
                        <w:tcW w:w="1246" w:type="dxa"/>
                      </w:tcPr>
                      <w:p>
                        <w:pPr>
                          <w:pStyle w:val="TableParagraph"/>
                          <w:ind w:left="200"/>
                          <w:rPr>
                            <w:sz w:val="20"/>
                          </w:rPr>
                        </w:pPr>
                        <w:r>
                          <w:rPr>
                            <w:sz w:val="20"/>
                          </w:rPr>
                          <w:t>PREV 803</w:t>
                        </w:r>
                      </w:p>
                    </w:tc>
                    <w:tc>
                      <w:tcPr>
                        <w:tcW w:w="3067" w:type="dxa"/>
                      </w:tcPr>
                      <w:p>
                        <w:pPr>
                          <w:pStyle w:val="TableParagraph"/>
                          <w:spacing w:line="249" w:lineRule="auto"/>
                          <w:ind w:left="182" w:right="698"/>
                          <w:rPr>
                            <w:sz w:val="20"/>
                          </w:rPr>
                        </w:pPr>
                        <w:r>
                          <w:rPr>
                            <w:sz w:val="20"/>
                          </w:rPr>
                          <w:t>CLINICAL TRIALS AND EXPERIMENTAL</w:t>
                        </w:r>
                      </w:p>
                      <w:p>
                        <w:pPr>
                          <w:pStyle w:val="TableParagraph"/>
                          <w:spacing w:line="219" w:lineRule="exact" w:before="2"/>
                          <w:ind w:left="182"/>
                          <w:rPr>
                            <w:sz w:val="20"/>
                          </w:rPr>
                        </w:pPr>
                        <w:r>
                          <w:rPr>
                            <w:sz w:val="20"/>
                          </w:rPr>
                          <w:t>EPIDMIOLOGY</w:t>
                        </w:r>
                      </w:p>
                    </w:tc>
                    <w:tc>
                      <w:tcPr>
                        <w:tcW w:w="635" w:type="dxa"/>
                      </w:tcPr>
                      <w:p>
                        <w:pPr>
                          <w:pStyle w:val="TableParagraph"/>
                          <w:ind w:right="195"/>
                          <w:jc w:val="right"/>
                          <w:rPr>
                            <w:sz w:val="20"/>
                          </w:rPr>
                        </w:pPr>
                        <w:r>
                          <w:rPr>
                            <w:w w:val="100"/>
                            <w:sz w:val="20"/>
                          </w:rPr>
                          <w:t>3</w:t>
                        </w:r>
                      </w:p>
                    </w:tc>
                  </w:tr>
                  <w:tr>
                    <w:trPr>
                      <w:trHeight w:val="480" w:hRule="atLeast"/>
                    </w:trPr>
                    <w:tc>
                      <w:tcPr>
                        <w:tcW w:w="1246" w:type="dxa"/>
                      </w:tcPr>
                      <w:p>
                        <w:pPr>
                          <w:pStyle w:val="TableParagraph"/>
                          <w:ind w:left="200"/>
                          <w:rPr>
                            <w:sz w:val="20"/>
                          </w:rPr>
                        </w:pPr>
                        <w:r>
                          <w:rPr>
                            <w:sz w:val="20"/>
                          </w:rPr>
                          <w:t>PREV 659</w:t>
                        </w:r>
                      </w:p>
                    </w:tc>
                    <w:tc>
                      <w:tcPr>
                        <w:tcW w:w="3067" w:type="dxa"/>
                      </w:tcPr>
                      <w:p>
                        <w:pPr>
                          <w:pStyle w:val="TableParagraph"/>
                          <w:ind w:left="182"/>
                          <w:rPr>
                            <w:sz w:val="20"/>
                          </w:rPr>
                        </w:pPr>
                        <w:r>
                          <w:rPr>
                            <w:sz w:val="20"/>
                          </w:rPr>
                          <w:t>OBSERVATIONAL STUDIES</w:t>
                        </w:r>
                      </w:p>
                      <w:p>
                        <w:pPr>
                          <w:pStyle w:val="TableParagraph"/>
                          <w:spacing w:line="219" w:lineRule="exact" w:before="10"/>
                          <w:ind w:left="182"/>
                          <w:rPr>
                            <w:sz w:val="20"/>
                          </w:rPr>
                        </w:pPr>
                        <w:r>
                          <w:rPr>
                            <w:sz w:val="20"/>
                          </w:rPr>
                          <w:t>IN EPIDEMIOLOGY</w:t>
                        </w:r>
                      </w:p>
                    </w:tc>
                    <w:tc>
                      <w:tcPr>
                        <w:tcW w:w="635" w:type="dxa"/>
                      </w:tcPr>
                      <w:p>
                        <w:pPr>
                          <w:pStyle w:val="TableParagraph"/>
                          <w:ind w:right="195"/>
                          <w:jc w:val="right"/>
                          <w:rPr>
                            <w:sz w:val="20"/>
                          </w:rPr>
                        </w:pPr>
                        <w:r>
                          <w:rPr>
                            <w:w w:val="100"/>
                            <w:sz w:val="20"/>
                          </w:rPr>
                          <w:t>3</w:t>
                        </w:r>
                      </w:p>
                    </w:tc>
                  </w:tr>
                  <w:tr>
                    <w:trPr>
                      <w:trHeight w:val="480" w:hRule="atLeast"/>
                    </w:trPr>
                    <w:tc>
                      <w:tcPr>
                        <w:tcW w:w="1246" w:type="dxa"/>
                      </w:tcPr>
                      <w:p>
                        <w:pPr>
                          <w:pStyle w:val="TableParagraph"/>
                          <w:ind w:left="200"/>
                          <w:rPr>
                            <w:sz w:val="20"/>
                          </w:rPr>
                        </w:pPr>
                        <w:r>
                          <w:rPr>
                            <w:sz w:val="20"/>
                          </w:rPr>
                          <w:t>PREV 720</w:t>
                        </w:r>
                      </w:p>
                    </w:tc>
                    <w:tc>
                      <w:tcPr>
                        <w:tcW w:w="3067" w:type="dxa"/>
                      </w:tcPr>
                      <w:p>
                        <w:pPr>
                          <w:pStyle w:val="TableParagraph"/>
                          <w:ind w:left="182"/>
                          <w:rPr>
                            <w:sz w:val="20"/>
                          </w:rPr>
                        </w:pPr>
                        <w:r>
                          <w:rPr>
                            <w:sz w:val="20"/>
                          </w:rPr>
                          <w:t>STATISTICAL METHODS IN</w:t>
                        </w:r>
                      </w:p>
                      <w:p>
                        <w:pPr>
                          <w:pStyle w:val="TableParagraph"/>
                          <w:spacing w:line="219" w:lineRule="exact" w:before="10"/>
                          <w:ind w:left="182"/>
                          <w:rPr>
                            <w:sz w:val="20"/>
                          </w:rPr>
                        </w:pPr>
                        <w:r>
                          <w:rPr>
                            <w:sz w:val="20"/>
                          </w:rPr>
                          <w:t>EPIDEMIOLOGY</w:t>
                        </w:r>
                      </w:p>
                    </w:tc>
                    <w:tc>
                      <w:tcPr>
                        <w:tcW w:w="635" w:type="dxa"/>
                      </w:tcPr>
                      <w:p>
                        <w:pPr>
                          <w:pStyle w:val="TableParagraph"/>
                          <w:ind w:right="195"/>
                          <w:jc w:val="right"/>
                          <w:rPr>
                            <w:sz w:val="20"/>
                          </w:rPr>
                        </w:pPr>
                        <w:r>
                          <w:rPr>
                            <w:w w:val="100"/>
                            <w:sz w:val="20"/>
                          </w:rPr>
                          <w:t>3</w:t>
                        </w:r>
                      </w:p>
                    </w:tc>
                  </w:tr>
                  <w:tr>
                    <w:trPr>
                      <w:trHeight w:val="471" w:hRule="atLeast"/>
                    </w:trPr>
                    <w:tc>
                      <w:tcPr>
                        <w:tcW w:w="1246" w:type="dxa"/>
                      </w:tcPr>
                      <w:p>
                        <w:pPr>
                          <w:pStyle w:val="TableParagraph"/>
                          <w:ind w:left="200"/>
                          <w:rPr>
                            <w:sz w:val="20"/>
                          </w:rPr>
                        </w:pPr>
                        <w:r>
                          <w:rPr>
                            <w:sz w:val="20"/>
                          </w:rPr>
                          <w:t>NURS</w:t>
                        </w:r>
                      </w:p>
                      <w:p>
                        <w:pPr>
                          <w:pStyle w:val="TableParagraph"/>
                          <w:spacing w:line="210" w:lineRule="exact" w:before="10"/>
                          <w:ind w:left="200"/>
                          <w:rPr>
                            <w:sz w:val="20"/>
                          </w:rPr>
                        </w:pPr>
                        <w:r>
                          <w:rPr>
                            <w:sz w:val="20"/>
                          </w:rPr>
                          <w:t>TBD</w:t>
                        </w:r>
                      </w:p>
                    </w:tc>
                    <w:tc>
                      <w:tcPr>
                        <w:tcW w:w="3067" w:type="dxa"/>
                      </w:tcPr>
                      <w:p>
                        <w:pPr>
                          <w:pStyle w:val="TableParagraph"/>
                          <w:ind w:left="182"/>
                          <w:rPr>
                            <w:sz w:val="20"/>
                          </w:rPr>
                        </w:pPr>
                        <w:r>
                          <w:rPr>
                            <w:sz w:val="20"/>
                          </w:rPr>
                          <w:t>ELECTIVE</w:t>
                        </w:r>
                      </w:p>
                    </w:tc>
                    <w:tc>
                      <w:tcPr>
                        <w:tcW w:w="635" w:type="dxa"/>
                      </w:tcPr>
                      <w:p>
                        <w:pPr>
                          <w:pStyle w:val="TableParagraph"/>
                          <w:spacing w:before="0"/>
                          <w:rPr>
                            <w:sz w:val="20"/>
                          </w:rPr>
                        </w:pPr>
                      </w:p>
                    </w:tc>
                  </w:tr>
                </w:tbl>
                <w:p>
                  <w:pPr>
                    <w:pStyle w:val="BodyText"/>
                    <w:spacing w:before="0"/>
                    <w:ind w:left="0"/>
                  </w:pPr>
                </w:p>
              </w:txbxContent>
            </v:textbox>
            <w10:wrap type="none"/>
          </v:shape>
        </w:pict>
      </w:r>
      <w:r>
        <w:rPr>
          <w:i/>
          <w:sz w:val="20"/>
        </w:rPr>
        <w:t>Depending on the specialty; additional credits </w:t>
      </w:r>
      <w:r>
        <w:rPr>
          <w:i/>
          <w:spacing w:val="-4"/>
          <w:sz w:val="20"/>
        </w:rPr>
        <w:t>maybe </w:t>
      </w:r>
      <w:r>
        <w:rPr>
          <w:i/>
          <w:sz w:val="20"/>
        </w:rPr>
        <w:t>necessary to meet the core</w:t>
      </w:r>
      <w:r>
        <w:rPr>
          <w:i/>
          <w:spacing w:val="-8"/>
          <w:sz w:val="20"/>
        </w:rPr>
        <w:t> </w:t>
      </w:r>
      <w:r>
        <w:rPr>
          <w:i/>
          <w:sz w:val="20"/>
        </w:rPr>
        <w:t>requirements.</w:t>
      </w:r>
    </w:p>
    <w:p>
      <w:pPr>
        <w:pStyle w:val="Heading5"/>
        <w:spacing w:before="175"/>
        <w:ind w:left="199"/>
      </w:pPr>
      <w:r>
        <w:rPr/>
        <w:t>Doctor of Philosophy Curriculum</w:t>
      </w:r>
    </w:p>
    <w:p>
      <w:pPr>
        <w:pStyle w:val="BodyText"/>
        <w:ind w:left="199"/>
      </w:pPr>
      <w:r>
        <w:rPr/>
        <w:t>(60 total credits)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6"/>
        <w:gridCol w:w="3110"/>
      </w:tblGrid>
      <w:tr>
        <w:trPr>
          <w:trHeight w:val="714" w:hRule="atLeast"/>
        </w:trPr>
        <w:tc>
          <w:tcPr>
            <w:tcW w:w="1406" w:type="dxa"/>
          </w:tcPr>
          <w:p>
            <w:pPr>
              <w:pStyle w:val="TableParagraph"/>
              <w:spacing w:line="223" w:lineRule="exact" w:before="0"/>
              <w:ind w:left="200"/>
              <w:rPr>
                <w:sz w:val="20"/>
              </w:rPr>
            </w:pPr>
            <w:r>
              <w:rPr>
                <w:sz w:val="20"/>
              </w:rPr>
              <w:t>NURS 840</w:t>
            </w:r>
          </w:p>
        </w:tc>
        <w:tc>
          <w:tcPr>
            <w:tcW w:w="3110" w:type="dxa"/>
          </w:tcPr>
          <w:p>
            <w:pPr>
              <w:pStyle w:val="TableParagraph"/>
              <w:spacing w:line="249" w:lineRule="auto" w:before="0"/>
              <w:ind w:left="229" w:right="427"/>
              <w:rPr>
                <w:sz w:val="20"/>
              </w:rPr>
            </w:pPr>
            <w:r>
              <w:rPr>
                <w:sz w:val="20"/>
              </w:rPr>
              <w:t>PHILOSOPHY OF SCIENCE AND DEVELOPMENT OF</w:t>
            </w:r>
          </w:p>
          <w:p>
            <w:pPr>
              <w:pStyle w:val="TableParagraph"/>
              <w:spacing w:line="221" w:lineRule="exact" w:before="0"/>
              <w:ind w:left="229"/>
              <w:rPr>
                <w:sz w:val="20"/>
              </w:rPr>
            </w:pPr>
            <w:r>
              <w:rPr>
                <w:sz w:val="20"/>
              </w:rPr>
              <w:t>THEORY</w:t>
            </w:r>
          </w:p>
        </w:tc>
      </w:tr>
      <w:tr>
        <w:trPr>
          <w:trHeight w:val="482" w:hRule="atLeast"/>
        </w:trPr>
        <w:tc>
          <w:tcPr>
            <w:tcW w:w="1406" w:type="dxa"/>
          </w:tcPr>
          <w:p>
            <w:pPr>
              <w:pStyle w:val="TableParagraph"/>
              <w:spacing w:before="3"/>
              <w:ind w:left="200"/>
              <w:rPr>
                <w:sz w:val="20"/>
              </w:rPr>
            </w:pPr>
            <w:r>
              <w:rPr>
                <w:sz w:val="20"/>
              </w:rPr>
              <w:t>NURS 850</w:t>
            </w:r>
          </w:p>
        </w:tc>
        <w:tc>
          <w:tcPr>
            <w:tcW w:w="3110" w:type="dxa"/>
          </w:tcPr>
          <w:p>
            <w:pPr>
              <w:pStyle w:val="TableParagraph"/>
              <w:spacing w:before="3"/>
              <w:ind w:left="229"/>
              <w:rPr>
                <w:sz w:val="20"/>
              </w:rPr>
            </w:pPr>
            <w:r>
              <w:rPr>
                <w:sz w:val="20"/>
              </w:rPr>
              <w:t>EXPERIMENTAL NURSING</w:t>
            </w:r>
          </w:p>
          <w:p>
            <w:pPr>
              <w:pStyle w:val="TableParagraph"/>
              <w:spacing w:line="219" w:lineRule="exact" w:before="10"/>
              <w:ind w:left="229"/>
              <w:rPr>
                <w:sz w:val="20"/>
              </w:rPr>
            </w:pPr>
            <w:r>
              <w:rPr>
                <w:sz w:val="20"/>
              </w:rPr>
              <w:t>RESEARCH DESIGNS</w:t>
            </w:r>
          </w:p>
        </w:tc>
      </w:tr>
      <w:tr>
        <w:trPr>
          <w:trHeight w:val="722" w:hRule="atLeast"/>
        </w:trPr>
        <w:tc>
          <w:tcPr>
            <w:tcW w:w="1406" w:type="dxa"/>
          </w:tcPr>
          <w:p>
            <w:pPr>
              <w:pStyle w:val="TableParagraph"/>
              <w:ind w:left="200"/>
              <w:rPr>
                <w:sz w:val="20"/>
              </w:rPr>
            </w:pPr>
            <w:r>
              <w:rPr>
                <w:sz w:val="20"/>
              </w:rPr>
              <w:t>NURS 851</w:t>
            </w:r>
          </w:p>
        </w:tc>
        <w:tc>
          <w:tcPr>
            <w:tcW w:w="3110" w:type="dxa"/>
          </w:tcPr>
          <w:p>
            <w:pPr>
              <w:pStyle w:val="TableParagraph"/>
              <w:spacing w:line="249" w:lineRule="auto"/>
              <w:ind w:left="229"/>
              <w:rPr>
                <w:sz w:val="20"/>
              </w:rPr>
            </w:pPr>
            <w:r>
              <w:rPr>
                <w:sz w:val="20"/>
              </w:rPr>
              <w:t>ANALYSIS FOR EXPERIMENTAL NURSING</w:t>
            </w:r>
          </w:p>
          <w:p>
            <w:pPr>
              <w:pStyle w:val="TableParagraph"/>
              <w:spacing w:line="221" w:lineRule="exact" w:before="2"/>
              <w:ind w:left="229"/>
              <w:rPr>
                <w:sz w:val="20"/>
              </w:rPr>
            </w:pPr>
            <w:r>
              <w:rPr>
                <w:sz w:val="20"/>
              </w:rPr>
              <w:t>RESEARCH DESIGNS</w:t>
            </w:r>
          </w:p>
        </w:tc>
      </w:tr>
      <w:tr>
        <w:trPr>
          <w:trHeight w:val="487" w:hRule="atLeast"/>
        </w:trPr>
        <w:tc>
          <w:tcPr>
            <w:tcW w:w="1406" w:type="dxa"/>
          </w:tcPr>
          <w:p>
            <w:pPr>
              <w:pStyle w:val="TableParagraph"/>
              <w:spacing w:before="3"/>
              <w:ind w:left="200"/>
              <w:rPr>
                <w:sz w:val="20"/>
              </w:rPr>
            </w:pPr>
            <w:r>
              <w:rPr>
                <w:sz w:val="20"/>
              </w:rPr>
              <w:t>NURS 802</w:t>
            </w:r>
          </w:p>
        </w:tc>
        <w:tc>
          <w:tcPr>
            <w:tcW w:w="3110" w:type="dxa"/>
          </w:tcPr>
          <w:p>
            <w:pPr>
              <w:pStyle w:val="TableParagraph"/>
              <w:spacing w:before="3"/>
              <w:ind w:left="229"/>
              <w:rPr>
                <w:sz w:val="20"/>
              </w:rPr>
            </w:pPr>
            <w:r>
              <w:rPr>
                <w:sz w:val="20"/>
              </w:rPr>
              <w:t>RESEARCH AND</w:t>
            </w:r>
          </w:p>
          <w:p>
            <w:pPr>
              <w:pStyle w:val="TableParagraph"/>
              <w:spacing w:line="223" w:lineRule="exact" w:before="10"/>
              <w:ind w:left="229"/>
              <w:rPr>
                <w:sz w:val="20"/>
              </w:rPr>
            </w:pPr>
            <w:r>
              <w:rPr>
                <w:sz w:val="20"/>
              </w:rPr>
              <w:t>SCHOLARSHIP SEMINAR</w:t>
            </w:r>
          </w:p>
        </w:tc>
      </w:tr>
      <w:tr>
        <w:trPr>
          <w:trHeight w:val="724" w:hRule="atLeast"/>
        </w:trPr>
        <w:tc>
          <w:tcPr>
            <w:tcW w:w="1406" w:type="dxa"/>
          </w:tcPr>
          <w:p>
            <w:pPr>
              <w:pStyle w:val="TableParagraph"/>
              <w:spacing w:before="6"/>
              <w:ind w:left="200"/>
              <w:rPr>
                <w:sz w:val="20"/>
              </w:rPr>
            </w:pPr>
            <w:r>
              <w:rPr>
                <w:sz w:val="20"/>
              </w:rPr>
              <w:t>NURS 841</w:t>
            </w:r>
          </w:p>
        </w:tc>
        <w:tc>
          <w:tcPr>
            <w:tcW w:w="3110" w:type="dxa"/>
          </w:tcPr>
          <w:p>
            <w:pPr>
              <w:pStyle w:val="TableParagraph"/>
              <w:spacing w:line="240" w:lineRule="exact"/>
              <w:ind w:left="229" w:right="466"/>
              <w:rPr>
                <w:sz w:val="20"/>
              </w:rPr>
            </w:pPr>
            <w:r>
              <w:rPr>
                <w:sz w:val="20"/>
              </w:rPr>
              <w:t>THEORY AND CONCEPTUALIZATION IN NURSING SCIENCE</w:t>
            </w:r>
          </w:p>
        </w:tc>
      </w:tr>
      <w:tr>
        <w:trPr>
          <w:trHeight w:val="722" w:hRule="atLeast"/>
        </w:trPr>
        <w:tc>
          <w:tcPr>
            <w:tcW w:w="1406" w:type="dxa"/>
          </w:tcPr>
          <w:p>
            <w:pPr>
              <w:pStyle w:val="TableParagraph"/>
              <w:ind w:left="200"/>
              <w:rPr>
                <w:sz w:val="20"/>
              </w:rPr>
            </w:pPr>
            <w:r>
              <w:rPr>
                <w:sz w:val="20"/>
              </w:rPr>
              <w:t>NURS 814</w:t>
            </w:r>
          </w:p>
        </w:tc>
        <w:tc>
          <w:tcPr>
            <w:tcW w:w="3110" w:type="dxa"/>
          </w:tcPr>
          <w:p>
            <w:pPr>
              <w:pStyle w:val="TableParagraph"/>
              <w:spacing w:line="249" w:lineRule="auto"/>
              <w:ind w:left="229" w:right="388"/>
              <w:rPr>
                <w:sz w:val="20"/>
              </w:rPr>
            </w:pPr>
            <w:r>
              <w:rPr>
                <w:sz w:val="20"/>
              </w:rPr>
              <w:t>DESIGN AND ANALYSIS FOR NON-EXPERIMENTAL</w:t>
            </w:r>
          </w:p>
          <w:p>
            <w:pPr>
              <w:pStyle w:val="TableParagraph"/>
              <w:spacing w:line="221" w:lineRule="exact" w:before="2"/>
              <w:ind w:left="229"/>
              <w:rPr>
                <w:sz w:val="20"/>
              </w:rPr>
            </w:pPr>
            <w:r>
              <w:rPr>
                <w:sz w:val="20"/>
              </w:rPr>
              <w:t>NURSING RESEARCH</w:t>
            </w:r>
          </w:p>
        </w:tc>
      </w:tr>
      <w:tr>
        <w:trPr>
          <w:trHeight w:val="482" w:hRule="atLeast"/>
        </w:trPr>
        <w:tc>
          <w:tcPr>
            <w:tcW w:w="1406" w:type="dxa"/>
          </w:tcPr>
          <w:p>
            <w:pPr>
              <w:pStyle w:val="TableParagraph"/>
              <w:spacing w:before="3"/>
              <w:ind w:left="200"/>
              <w:rPr>
                <w:sz w:val="20"/>
              </w:rPr>
            </w:pPr>
            <w:r>
              <w:rPr>
                <w:sz w:val="20"/>
              </w:rPr>
              <w:t>NURS 815</w:t>
            </w:r>
          </w:p>
        </w:tc>
        <w:tc>
          <w:tcPr>
            <w:tcW w:w="3110" w:type="dxa"/>
          </w:tcPr>
          <w:p>
            <w:pPr>
              <w:pStyle w:val="TableParagraph"/>
              <w:spacing w:before="3"/>
              <w:ind w:left="229"/>
              <w:rPr>
                <w:sz w:val="20"/>
              </w:rPr>
            </w:pPr>
            <w:r>
              <w:rPr>
                <w:sz w:val="20"/>
              </w:rPr>
              <w:t>QUALITATIVE METHODS IN</w:t>
            </w:r>
          </w:p>
          <w:p>
            <w:pPr>
              <w:pStyle w:val="TableParagraph"/>
              <w:spacing w:line="219" w:lineRule="exact" w:before="10"/>
              <w:ind w:left="229"/>
              <w:rPr>
                <w:sz w:val="20"/>
              </w:rPr>
            </w:pPr>
            <w:r>
              <w:rPr>
                <w:sz w:val="20"/>
              </w:rPr>
              <w:t>NURSING RESEARCH</w:t>
            </w:r>
          </w:p>
        </w:tc>
      </w:tr>
      <w:tr>
        <w:trPr>
          <w:trHeight w:val="480" w:hRule="atLeast"/>
        </w:trPr>
        <w:tc>
          <w:tcPr>
            <w:tcW w:w="1406" w:type="dxa"/>
          </w:tcPr>
          <w:p>
            <w:pPr>
              <w:pStyle w:val="TableParagraph"/>
              <w:ind w:left="200"/>
              <w:rPr>
                <w:sz w:val="20"/>
              </w:rPr>
            </w:pPr>
            <w:r>
              <w:rPr>
                <w:sz w:val="20"/>
              </w:rPr>
              <w:t>NURS 818</w:t>
            </w:r>
          </w:p>
        </w:tc>
        <w:tc>
          <w:tcPr>
            <w:tcW w:w="3110" w:type="dxa"/>
          </w:tcPr>
          <w:p>
            <w:pPr>
              <w:pStyle w:val="TableParagraph"/>
              <w:ind w:left="229"/>
              <w:rPr>
                <w:sz w:val="20"/>
              </w:rPr>
            </w:pPr>
            <w:r>
              <w:rPr>
                <w:sz w:val="20"/>
              </w:rPr>
              <w:t>SPECIAL TOPICS: NURSING</w:t>
            </w:r>
          </w:p>
          <w:p>
            <w:pPr>
              <w:pStyle w:val="TableParagraph"/>
              <w:spacing w:line="219" w:lineRule="exact" w:before="10"/>
              <w:ind w:left="229"/>
              <w:rPr>
                <w:sz w:val="20"/>
              </w:rPr>
            </w:pPr>
            <w:r>
              <w:rPr>
                <w:sz w:val="20"/>
              </w:rPr>
              <w:t>RESEARCH</w:t>
            </w:r>
          </w:p>
        </w:tc>
      </w:tr>
      <w:tr>
        <w:trPr>
          <w:trHeight w:val="242" w:hRule="atLeast"/>
        </w:trPr>
        <w:tc>
          <w:tcPr>
            <w:tcW w:w="1406" w:type="dxa"/>
          </w:tcPr>
          <w:p>
            <w:pPr>
              <w:pStyle w:val="TableParagraph"/>
              <w:spacing w:line="221" w:lineRule="exact"/>
              <w:ind w:left="200"/>
              <w:rPr>
                <w:sz w:val="20"/>
              </w:rPr>
            </w:pPr>
            <w:r>
              <w:rPr>
                <w:sz w:val="20"/>
              </w:rPr>
              <w:t>NURS 819</w:t>
            </w:r>
          </w:p>
        </w:tc>
        <w:tc>
          <w:tcPr>
            <w:tcW w:w="3110" w:type="dxa"/>
          </w:tcPr>
          <w:p>
            <w:pPr>
              <w:pStyle w:val="TableParagraph"/>
              <w:spacing w:line="221" w:lineRule="exact"/>
              <w:ind w:left="229"/>
              <w:rPr>
                <w:sz w:val="20"/>
              </w:rPr>
            </w:pPr>
            <w:r>
              <w:rPr>
                <w:sz w:val="20"/>
              </w:rPr>
              <w:t>RESEARCH PRACTICUM</w:t>
            </w:r>
          </w:p>
        </w:tc>
      </w:tr>
      <w:tr>
        <w:trPr>
          <w:trHeight w:val="482" w:hRule="atLeast"/>
        </w:trPr>
        <w:tc>
          <w:tcPr>
            <w:tcW w:w="1406" w:type="dxa"/>
          </w:tcPr>
          <w:p>
            <w:pPr>
              <w:pStyle w:val="TableParagraph"/>
              <w:spacing w:before="3"/>
              <w:ind w:left="200"/>
              <w:rPr>
                <w:sz w:val="20"/>
              </w:rPr>
            </w:pPr>
            <w:r>
              <w:rPr>
                <w:sz w:val="20"/>
              </w:rPr>
              <w:t>NURS 811</w:t>
            </w:r>
          </w:p>
        </w:tc>
        <w:tc>
          <w:tcPr>
            <w:tcW w:w="3110" w:type="dxa"/>
          </w:tcPr>
          <w:p>
            <w:pPr>
              <w:pStyle w:val="TableParagraph"/>
              <w:spacing w:before="3"/>
              <w:ind w:left="229"/>
              <w:rPr>
                <w:sz w:val="20"/>
              </w:rPr>
            </w:pPr>
            <w:r>
              <w:rPr>
                <w:sz w:val="20"/>
              </w:rPr>
              <w:t>MEASUREMENT OF</w:t>
            </w:r>
          </w:p>
          <w:p>
            <w:pPr>
              <w:pStyle w:val="TableParagraph"/>
              <w:spacing w:line="219" w:lineRule="exact" w:before="10"/>
              <w:ind w:left="229"/>
              <w:rPr>
                <w:sz w:val="20"/>
              </w:rPr>
            </w:pPr>
            <w:r>
              <w:rPr>
                <w:sz w:val="20"/>
              </w:rPr>
              <w:t>NURSING PHENOMENA</w:t>
            </w:r>
          </w:p>
        </w:tc>
      </w:tr>
      <w:tr>
        <w:trPr>
          <w:trHeight w:val="964" w:hRule="atLeast"/>
        </w:trPr>
        <w:tc>
          <w:tcPr>
            <w:tcW w:w="1406" w:type="dxa"/>
          </w:tcPr>
          <w:p>
            <w:pPr>
              <w:pStyle w:val="TableParagraph"/>
              <w:ind w:left="200"/>
              <w:rPr>
                <w:sz w:val="20"/>
              </w:rPr>
            </w:pPr>
            <w:r>
              <w:rPr>
                <w:sz w:val="20"/>
              </w:rPr>
              <w:t>NURS 816</w:t>
            </w:r>
          </w:p>
        </w:tc>
        <w:tc>
          <w:tcPr>
            <w:tcW w:w="3110" w:type="dxa"/>
          </w:tcPr>
          <w:p>
            <w:pPr>
              <w:pStyle w:val="TableParagraph"/>
              <w:spacing w:line="249" w:lineRule="auto"/>
              <w:ind w:left="229" w:right="183"/>
              <w:rPr>
                <w:sz w:val="20"/>
              </w:rPr>
            </w:pPr>
            <w:r>
              <w:rPr>
                <w:sz w:val="20"/>
              </w:rPr>
              <w:t>MULTIVARIABLE MODELING APPROACHES IN HEALTH SCIENCES</w:t>
            </w:r>
          </w:p>
          <w:p>
            <w:pPr>
              <w:pStyle w:val="TableParagraph"/>
              <w:spacing w:line="223" w:lineRule="exact" w:before="2"/>
              <w:ind w:left="229"/>
              <w:rPr>
                <w:sz w:val="20"/>
              </w:rPr>
            </w:pPr>
            <w:r>
              <w:rPr>
                <w:sz w:val="20"/>
              </w:rPr>
              <w:t>RESEARCH</w:t>
            </w:r>
          </w:p>
        </w:tc>
      </w:tr>
      <w:tr>
        <w:trPr>
          <w:trHeight w:val="236" w:hRule="atLeast"/>
        </w:trPr>
        <w:tc>
          <w:tcPr>
            <w:tcW w:w="1406" w:type="dxa"/>
          </w:tcPr>
          <w:p>
            <w:pPr>
              <w:pStyle w:val="TableParagraph"/>
              <w:spacing w:line="210" w:lineRule="exact" w:before="6"/>
              <w:ind w:left="200"/>
              <w:rPr>
                <w:sz w:val="20"/>
              </w:rPr>
            </w:pPr>
            <w:r>
              <w:rPr>
                <w:sz w:val="20"/>
              </w:rPr>
              <w:t>NURS TBD</w:t>
            </w:r>
          </w:p>
        </w:tc>
        <w:tc>
          <w:tcPr>
            <w:tcW w:w="3110" w:type="dxa"/>
          </w:tcPr>
          <w:p>
            <w:pPr>
              <w:pStyle w:val="TableParagraph"/>
              <w:spacing w:line="210" w:lineRule="exact" w:before="6"/>
              <w:ind w:left="229"/>
              <w:rPr>
                <w:sz w:val="20"/>
              </w:rPr>
            </w:pPr>
            <w:r>
              <w:rPr>
                <w:sz w:val="20"/>
              </w:rPr>
              <w:t>ELECTIVE</w:t>
            </w:r>
          </w:p>
        </w:tc>
      </w:tr>
    </w:tbl>
    <w:p>
      <w:pPr>
        <w:pStyle w:val="ListParagraph"/>
        <w:numPr>
          <w:ilvl w:val="0"/>
          <w:numId w:val="14"/>
        </w:numPr>
        <w:tabs>
          <w:tab w:pos="354" w:val="left" w:leader="none"/>
        </w:tabs>
        <w:spacing w:line="240" w:lineRule="auto" w:before="90" w:after="0"/>
        <w:ind w:left="353" w:right="0" w:hanging="153"/>
        <w:jc w:val="left"/>
        <w:rPr>
          <w:i/>
          <w:sz w:val="20"/>
        </w:rPr>
      </w:pPr>
      <w:r>
        <w:rPr>
          <w:i/>
          <w:sz w:val="20"/>
        </w:rPr>
        <w:t>Includes </w:t>
      </w:r>
      <w:r>
        <w:rPr>
          <w:i/>
          <w:spacing w:val="-3"/>
          <w:sz w:val="20"/>
        </w:rPr>
        <w:t>12 </w:t>
      </w:r>
      <w:r>
        <w:rPr>
          <w:i/>
          <w:sz w:val="20"/>
        </w:rPr>
        <w:t>dissertation</w:t>
      </w:r>
      <w:r>
        <w:rPr>
          <w:i/>
          <w:spacing w:val="2"/>
          <w:sz w:val="20"/>
        </w:rPr>
        <w:t> </w:t>
      </w:r>
      <w:r>
        <w:rPr>
          <w:i/>
          <w:sz w:val="20"/>
        </w:rPr>
        <w:t>credits</w:t>
      </w:r>
    </w:p>
    <w:p>
      <w:pPr>
        <w:pStyle w:val="BodyText"/>
        <w:spacing w:before="192"/>
        <w:ind w:left="199"/>
      </w:pPr>
      <w:r>
        <w:rPr/>
        <w:t>TBD: Course numbers to be determined.</w:t>
      </w:r>
    </w:p>
    <w:p>
      <w:pPr>
        <w:spacing w:after="0"/>
        <w:sectPr>
          <w:type w:val="continuous"/>
          <w:pgSz w:w="12240" w:h="15840"/>
          <w:pgMar w:top="1500" w:bottom="280" w:left="880" w:right="300"/>
          <w:cols w:num="2" w:equalWidth="0">
            <w:col w:w="4323" w:space="1163"/>
            <w:col w:w="5574"/>
          </w:cols>
        </w:sectPr>
      </w:pPr>
    </w:p>
    <w:p>
      <w:pPr>
        <w:pStyle w:val="Heading3"/>
      </w:pPr>
      <w:bookmarkStart w:name="Oral and Experimental Pathology" w:id="69"/>
      <w:bookmarkEnd w:id="69"/>
      <w:r>
        <w:rPr/>
      </w:r>
      <w:bookmarkStart w:name="_bookmark34" w:id="70"/>
      <w:bookmarkEnd w:id="70"/>
      <w:r>
        <w:rPr/>
      </w:r>
      <w:r>
        <w:rPr/>
        <w:t>Oral and Experimental Pathology</w:t>
      </w:r>
    </w:p>
    <w:p>
      <w:pPr>
        <w:pStyle w:val="BodyText"/>
        <w:spacing w:before="190"/>
      </w:pPr>
      <w:hyperlink r:id="rId71">
        <w:r>
          <w:rPr>
            <w:color w:val="0000FF"/>
            <w:u w:val="single" w:color="0000FF"/>
          </w:rPr>
          <w:t>www.dental.umaryland.edu/ods/education/</w:t>
        </w:r>
      </w:hyperlink>
    </w:p>
    <w:p>
      <w:pPr>
        <w:pStyle w:val="Heading6"/>
        <w:spacing w:before="192"/>
      </w:pPr>
      <w:r>
        <w:rPr/>
        <w:t>Degree Offered</w:t>
      </w:r>
    </w:p>
    <w:p>
      <w:pPr>
        <w:pStyle w:val="BodyText"/>
        <w:spacing w:before="188"/>
      </w:pPr>
      <w:r>
        <w:rPr/>
        <w:t>PhD</w:t>
      </w:r>
    </w:p>
    <w:p>
      <w:pPr>
        <w:pStyle w:val="Heading6"/>
        <w:spacing w:before="192"/>
      </w:pPr>
      <w:r>
        <w:rPr/>
        <w:t>Program Description</w:t>
      </w:r>
    </w:p>
    <w:p>
      <w:pPr>
        <w:pStyle w:val="BodyText"/>
        <w:spacing w:line="249" w:lineRule="auto" w:before="188"/>
        <w:ind w:left="199" w:right="38"/>
      </w:pPr>
      <w:r>
        <w:rPr/>
        <w:t>The PhD program in Oral and Experimental Pathology (Department </w:t>
      </w:r>
      <w:r>
        <w:rPr>
          <w:spacing w:val="-3"/>
        </w:rPr>
        <w:t>of </w:t>
      </w:r>
      <w:r>
        <w:rPr/>
        <w:t>Oncology and Diagnostic Sciences in the </w:t>
      </w:r>
      <w:r>
        <w:rPr>
          <w:spacing w:val="-2"/>
        </w:rPr>
        <w:t>School </w:t>
      </w:r>
      <w:r>
        <w:rPr/>
        <w:t>of Dentistry) provides broad training in </w:t>
      </w:r>
      <w:r>
        <w:rPr>
          <w:spacing w:val="-3"/>
        </w:rPr>
        <w:t>oral </w:t>
      </w:r>
      <w:r>
        <w:rPr/>
        <w:t>and experimental pathology and requires some degree of specialization. Students admitted to the program have obtained at least a dental degree. During the first two years, the students participate in didactic courses in the basic and clinical sciences. They also are introduced to the department’s clinical practice and research endeavors. </w:t>
      </w:r>
      <w:r>
        <w:rPr>
          <w:spacing w:val="-4"/>
        </w:rPr>
        <w:t>For </w:t>
      </w:r>
      <w:r>
        <w:rPr/>
        <w:t>two semesters, the students function as prosectors and residents in surgical and anatomic pathology at the University of Maryland Medical Center. Students entering with marginal preparation may need additional coursework. The remaining two years include mastery of surgical oral pathology and research leading to a PhD dissertation. By the end </w:t>
      </w:r>
      <w:r>
        <w:rPr>
          <w:spacing w:val="-3"/>
        </w:rPr>
        <w:t>of </w:t>
      </w:r>
      <w:r>
        <w:rPr/>
        <w:t>the third year, students should have completed all requirements </w:t>
      </w:r>
      <w:r>
        <w:rPr>
          <w:spacing w:val="-4"/>
        </w:rPr>
        <w:t>for </w:t>
      </w:r>
      <w:r>
        <w:rPr/>
        <w:t>admission to candidacy for the PhD and </w:t>
      </w:r>
      <w:r>
        <w:rPr>
          <w:spacing w:val="-2"/>
        </w:rPr>
        <w:t>obtain </w:t>
      </w:r>
      <w:r>
        <w:rPr/>
        <w:t>their PhD about one to two years</w:t>
      </w:r>
      <w:r>
        <w:rPr>
          <w:spacing w:val="2"/>
        </w:rPr>
        <w:t> </w:t>
      </w:r>
      <w:r>
        <w:rPr/>
        <w:t>later.</w:t>
      </w:r>
    </w:p>
    <w:p>
      <w:pPr>
        <w:pStyle w:val="Heading6"/>
        <w:spacing w:before="196"/>
      </w:pPr>
      <w:r>
        <w:rPr/>
        <w:t>Program Admissions</w:t>
      </w:r>
    </w:p>
    <w:p>
      <w:pPr>
        <w:pStyle w:val="BodyText"/>
        <w:spacing w:line="249" w:lineRule="auto" w:before="188"/>
        <w:ind w:right="53"/>
      </w:pPr>
      <w:r>
        <w:rPr/>
        <w:t>Students admitted to the PhD program generally have a strong undergraduate background in the biological sciences and chemistry. Applicants lacking prerequisites will be required to correct these deficiencies by enrolling in undergraduate-level courses.</w:t>
      </w:r>
    </w:p>
    <w:p>
      <w:pPr>
        <w:pStyle w:val="BodyText"/>
        <w:spacing w:line="249" w:lineRule="auto" w:before="186"/>
        <w:ind w:left="199" w:right="54"/>
      </w:pPr>
      <w:r>
        <w:rPr/>
        <w:t>Minimum standards </w:t>
      </w:r>
      <w:r>
        <w:rPr>
          <w:spacing w:val="-4"/>
        </w:rPr>
        <w:t>for </w:t>
      </w:r>
      <w:r>
        <w:rPr/>
        <w:t>admission to graduate programs at the University of Maryland, Baltimore are specified in the Graduate </w:t>
      </w:r>
      <w:r>
        <w:rPr>
          <w:spacing w:val="-2"/>
        </w:rPr>
        <w:t>School </w:t>
      </w:r>
      <w:r>
        <w:rPr/>
        <w:t>catalog. The department requires </w:t>
      </w:r>
      <w:r>
        <w:rPr>
          <w:spacing w:val="-3"/>
        </w:rPr>
        <w:t>an </w:t>
      </w:r>
      <w:r>
        <w:rPr/>
        <w:t>undergraduate grade-point average </w:t>
      </w:r>
      <w:r>
        <w:rPr>
          <w:spacing w:val="-3"/>
        </w:rPr>
        <w:t>of </w:t>
      </w:r>
      <w:r>
        <w:rPr/>
        <w:t>at least 3.0 </w:t>
      </w:r>
      <w:r>
        <w:rPr>
          <w:spacing w:val="-3"/>
        </w:rPr>
        <w:t>on </w:t>
      </w:r>
      <w:r>
        <w:rPr/>
        <w:t>a scale of 4.0, and grades </w:t>
      </w:r>
      <w:r>
        <w:rPr>
          <w:spacing w:val="-3"/>
        </w:rPr>
        <w:t>of </w:t>
      </w:r>
      <w:r>
        <w:rPr/>
        <w:t>A </w:t>
      </w:r>
      <w:r>
        <w:rPr>
          <w:spacing w:val="-3"/>
        </w:rPr>
        <w:t>or </w:t>
      </w:r>
      <w:r>
        <w:rPr/>
        <w:t>B in science courses are expected. Applicants are expected to take the Graduate Record Examinations (GRE). Students who hold degrees from foreign colleges </w:t>
      </w:r>
      <w:r>
        <w:rPr>
          <w:spacing w:val="-3"/>
        </w:rPr>
        <w:t>or </w:t>
      </w:r>
      <w:r>
        <w:rPr/>
        <w:t>universities — </w:t>
      </w:r>
      <w:r>
        <w:rPr>
          <w:spacing w:val="-5"/>
        </w:rPr>
        <w:t>or </w:t>
      </w:r>
      <w:r>
        <w:rPr/>
        <w:t>whose native language </w:t>
      </w:r>
      <w:r>
        <w:rPr>
          <w:spacing w:val="-5"/>
        </w:rPr>
        <w:t>or </w:t>
      </w:r>
      <w:r>
        <w:rPr/>
        <w:t>language </w:t>
      </w:r>
      <w:r>
        <w:rPr>
          <w:spacing w:val="-3"/>
        </w:rPr>
        <w:t>of </w:t>
      </w:r>
      <w:r>
        <w:rPr/>
        <w:t>the home is not English — must submit acceptable scores </w:t>
      </w:r>
      <w:r>
        <w:rPr>
          <w:spacing w:val="-3"/>
        </w:rPr>
        <w:t>on </w:t>
      </w:r>
      <w:r>
        <w:rPr/>
        <w:t>the Test </w:t>
      </w:r>
      <w:r>
        <w:rPr>
          <w:spacing w:val="-3"/>
        </w:rPr>
        <w:t>of </w:t>
      </w:r>
      <w:r>
        <w:rPr/>
        <w:t>English as a Foreign Language </w:t>
      </w:r>
      <w:r>
        <w:rPr>
          <w:spacing w:val="-5"/>
        </w:rPr>
        <w:t>or </w:t>
      </w:r>
      <w:r>
        <w:rPr/>
        <w:t>the International English Language Testing System exam. A supplementary course in English may </w:t>
      </w:r>
      <w:r>
        <w:rPr>
          <w:spacing w:val="-3"/>
        </w:rPr>
        <w:t>be </w:t>
      </w:r>
      <w:r>
        <w:rPr/>
        <w:t>recommended </w:t>
      </w:r>
      <w:r>
        <w:rPr>
          <w:spacing w:val="-4"/>
        </w:rPr>
        <w:t>for </w:t>
      </w:r>
      <w:r>
        <w:rPr/>
        <w:t>some students. Foreign students eligible </w:t>
      </w:r>
      <w:r>
        <w:rPr>
          <w:spacing w:val="-4"/>
        </w:rPr>
        <w:t>for </w:t>
      </w:r>
      <w:r>
        <w:rPr/>
        <w:t>admission must comply with all requirements of the Department </w:t>
      </w:r>
      <w:r>
        <w:rPr>
          <w:spacing w:val="-3"/>
        </w:rPr>
        <w:t>of </w:t>
      </w:r>
      <w:r>
        <w:rPr/>
        <w:t>Homeland Security. Interviews are not required; however, the Graduate Program</w:t>
      </w:r>
      <w:r>
        <w:rPr>
          <w:spacing w:val="-5"/>
        </w:rPr>
        <w:t> </w:t>
      </w:r>
      <w:r>
        <w:rPr>
          <w:spacing w:val="-3"/>
        </w:rPr>
        <w:t>Committee</w:t>
      </w:r>
    </w:p>
    <w:p>
      <w:pPr>
        <w:pStyle w:val="BodyText"/>
        <w:spacing w:line="249" w:lineRule="auto" w:before="96"/>
        <w:ind w:right="594"/>
      </w:pPr>
      <w:r>
        <w:rPr/>
        <w:br w:type="column"/>
      </w:r>
      <w:r>
        <w:rPr/>
        <w:t>may invite some applicants for an interview to discuss their career goals and research interests.</w:t>
      </w:r>
    </w:p>
    <w:p>
      <w:pPr>
        <w:pStyle w:val="Heading6"/>
        <w:spacing w:before="179"/>
      </w:pPr>
      <w:r>
        <w:rPr/>
        <w:t>Degree Requirements and Advisory System</w:t>
      </w:r>
    </w:p>
    <w:p>
      <w:pPr>
        <w:pStyle w:val="BodyText"/>
        <w:spacing w:line="249" w:lineRule="auto" w:before="192"/>
        <w:ind w:right="777"/>
      </w:pPr>
      <w:r>
        <w:rPr/>
        <w:t>Each new student is assigned to a faculty advisory committee until they have selected a dissertation advisor. The advisory committee helps the student prepare a tentative doctoral program, advises the student and recommends for faculty approval a dissertation advisor, and provides continuing evaluation of the student’s progress. This committee is replaced by the dissertation advisor when one is selected. With few exceptions, all students enrolled in the PhD program must take the following:</w:t>
      </w:r>
    </w:p>
    <w:p>
      <w:pPr>
        <w:pStyle w:val="ListParagraph"/>
        <w:numPr>
          <w:ilvl w:val="1"/>
          <w:numId w:val="14"/>
        </w:numPr>
        <w:tabs>
          <w:tab w:pos="633" w:val="left" w:leader="none"/>
        </w:tabs>
        <w:spacing w:line="249" w:lineRule="auto" w:before="185" w:after="0"/>
        <w:ind w:left="632" w:right="808" w:hanging="216"/>
        <w:jc w:val="left"/>
        <w:rPr>
          <w:sz w:val="20"/>
        </w:rPr>
      </w:pPr>
      <w:r>
        <w:rPr>
          <w:sz w:val="20"/>
        </w:rPr>
        <w:t>GPLS 601 — Mechanisms in Biomedical</w:t>
      </w:r>
      <w:r>
        <w:rPr>
          <w:spacing w:val="-16"/>
          <w:sz w:val="20"/>
        </w:rPr>
        <w:t> </w:t>
      </w:r>
      <w:r>
        <w:rPr>
          <w:sz w:val="20"/>
        </w:rPr>
        <w:t>Sciences: From Genes to Disease (8</w:t>
      </w:r>
      <w:r>
        <w:rPr>
          <w:spacing w:val="-2"/>
          <w:sz w:val="20"/>
        </w:rPr>
        <w:t> </w:t>
      </w:r>
      <w:r>
        <w:rPr>
          <w:sz w:val="20"/>
        </w:rPr>
        <w:t>credits)</w:t>
      </w:r>
    </w:p>
    <w:p>
      <w:pPr>
        <w:pStyle w:val="ListParagraph"/>
        <w:numPr>
          <w:ilvl w:val="1"/>
          <w:numId w:val="14"/>
        </w:numPr>
        <w:tabs>
          <w:tab w:pos="633" w:val="left" w:leader="none"/>
        </w:tabs>
        <w:spacing w:line="240" w:lineRule="auto" w:before="184" w:after="0"/>
        <w:ind w:left="632" w:right="0" w:hanging="216"/>
        <w:jc w:val="left"/>
        <w:rPr>
          <w:sz w:val="20"/>
        </w:rPr>
      </w:pPr>
      <w:r>
        <w:rPr>
          <w:sz w:val="20"/>
        </w:rPr>
        <w:t>DPAT 618 — Seminar (1</w:t>
      </w:r>
      <w:r>
        <w:rPr>
          <w:spacing w:val="1"/>
          <w:sz w:val="20"/>
        </w:rPr>
        <w:t> </w:t>
      </w:r>
      <w:r>
        <w:rPr>
          <w:sz w:val="20"/>
        </w:rPr>
        <w:t>credit)</w:t>
      </w:r>
    </w:p>
    <w:p>
      <w:pPr>
        <w:pStyle w:val="BodyText"/>
        <w:spacing w:line="249" w:lineRule="auto" w:before="188"/>
        <w:ind w:left="199" w:right="630"/>
      </w:pPr>
      <w:r>
        <w:rPr/>
        <w:t>Also, a total </w:t>
      </w:r>
      <w:r>
        <w:rPr>
          <w:spacing w:val="-3"/>
        </w:rPr>
        <w:t>of </w:t>
      </w:r>
      <w:r>
        <w:rPr/>
        <w:t>12 hours </w:t>
      </w:r>
      <w:r>
        <w:rPr>
          <w:spacing w:val="-3"/>
        </w:rPr>
        <w:t>of </w:t>
      </w:r>
      <w:r>
        <w:rPr/>
        <w:t>dissertation research is required by the Graduate School. The student also will do rotations of about eight to 10 </w:t>
      </w:r>
      <w:r>
        <w:rPr>
          <w:spacing w:val="-3"/>
        </w:rPr>
        <w:t>weeks </w:t>
      </w:r>
      <w:r>
        <w:rPr/>
        <w:t>in faculty research laboratories. First-year students </w:t>
      </w:r>
      <w:r>
        <w:rPr>
          <w:spacing w:val="-2"/>
        </w:rPr>
        <w:t>select </w:t>
      </w:r>
      <w:r>
        <w:rPr/>
        <w:t>the laboratories in which they will work at after consulting the departmental file </w:t>
      </w:r>
      <w:r>
        <w:rPr>
          <w:spacing w:val="-5"/>
        </w:rPr>
        <w:t>on </w:t>
      </w:r>
      <w:r>
        <w:rPr/>
        <w:t>opportunities and their faculty advisory</w:t>
      </w:r>
      <w:r>
        <w:rPr>
          <w:spacing w:val="-13"/>
        </w:rPr>
        <w:t> </w:t>
      </w:r>
      <w:r>
        <w:rPr/>
        <w:t>committee.</w:t>
      </w:r>
    </w:p>
    <w:p>
      <w:pPr>
        <w:pStyle w:val="BodyText"/>
        <w:spacing w:line="249" w:lineRule="auto" w:before="4"/>
        <w:ind w:left="199" w:right="1317"/>
      </w:pPr>
      <w:r>
        <w:rPr/>
        <w:t>Additional laboratory rotations may be done at the student’s request.</w:t>
      </w:r>
    </w:p>
    <w:p>
      <w:pPr>
        <w:pStyle w:val="BodyText"/>
        <w:spacing w:line="249" w:lineRule="auto" w:before="184"/>
        <w:ind w:left="199" w:right="626"/>
      </w:pPr>
      <w:r>
        <w:rPr/>
        <w:t>Students will </w:t>
      </w:r>
      <w:r>
        <w:rPr>
          <w:spacing w:val="-3"/>
        </w:rPr>
        <w:t>be </w:t>
      </w:r>
      <w:r>
        <w:rPr/>
        <w:t>expected to have basic knowledge of cell biology, biostatistics, and computer use in addition to the above subject areas. Students must take at least 36 credit hours </w:t>
      </w:r>
      <w:r>
        <w:rPr>
          <w:spacing w:val="-3"/>
        </w:rPr>
        <w:t>of </w:t>
      </w:r>
      <w:r>
        <w:rPr/>
        <w:t>coursework beyond the 12 required credits </w:t>
      </w:r>
      <w:r>
        <w:rPr>
          <w:spacing w:val="-5"/>
        </w:rPr>
        <w:t>of </w:t>
      </w:r>
      <w:r>
        <w:rPr/>
        <w:t>dissertation research. Courses covering areas </w:t>
      </w:r>
      <w:r>
        <w:rPr>
          <w:spacing w:val="-3"/>
        </w:rPr>
        <w:t>of </w:t>
      </w:r>
      <w:r>
        <w:rPr/>
        <w:t>special interest will </w:t>
      </w:r>
      <w:r>
        <w:rPr>
          <w:spacing w:val="-3"/>
        </w:rPr>
        <w:t>be </w:t>
      </w:r>
      <w:r>
        <w:rPr/>
        <w:t>selected by the student in consultation with, and </w:t>
      </w:r>
      <w:r>
        <w:rPr>
          <w:spacing w:val="-3"/>
        </w:rPr>
        <w:t>with </w:t>
      </w:r>
      <w:r>
        <w:rPr/>
        <w:t>the concurrence </w:t>
      </w:r>
      <w:r>
        <w:rPr>
          <w:spacing w:val="-4"/>
        </w:rPr>
        <w:t>of, </w:t>
      </w:r>
      <w:r>
        <w:rPr/>
        <w:t>the faculty advisory committee </w:t>
      </w:r>
      <w:r>
        <w:rPr>
          <w:spacing w:val="-3"/>
        </w:rPr>
        <w:t>or </w:t>
      </w:r>
      <w:r>
        <w:rPr/>
        <w:t>the dissertation</w:t>
      </w:r>
      <w:r>
        <w:rPr>
          <w:spacing w:val="3"/>
        </w:rPr>
        <w:t> </w:t>
      </w:r>
      <w:r>
        <w:rPr/>
        <w:t>advisor.</w:t>
      </w:r>
    </w:p>
    <w:p>
      <w:pPr>
        <w:pStyle w:val="BodyText"/>
        <w:spacing w:line="249" w:lineRule="auto" w:before="183"/>
        <w:ind w:left="199" w:right="595"/>
      </w:pPr>
      <w:r>
        <w:rPr/>
        <w:t>Students are expected to earn grades of B or better in all courses. Those who fail to maintain a B average are subject to the rules of the Graduate School, which are published in this catalog. Competence for progression is judged on the basis of the preliminary examination. This assessment is designed to test the student’s mastery of a broad field of knowledge including the integration of their coursework with their research area. Upon completion of the dissertation research, a student shall present their results in the form of a dissertation. A PhD student is expected to publish (or receive acceptance for publication of) a significant part of their PhD dissertation findings in peer- reviewed journals of the corresponding field of research before graduation. A dissertation defense is required.</w:t>
      </w:r>
    </w:p>
    <w:p>
      <w:pPr>
        <w:pStyle w:val="BodyText"/>
        <w:spacing w:before="10"/>
        <w:ind w:left="199"/>
      </w:pPr>
      <w:r>
        <w:rPr/>
        <w:t>Students may attempt to defend a dissertation no more than</w:t>
      </w:r>
    </w:p>
    <w:p>
      <w:pPr>
        <w:spacing w:after="0"/>
        <w:sectPr>
          <w:pgSz w:w="12240" w:h="15840"/>
          <w:pgMar w:header="746" w:footer="0" w:top="1320" w:bottom="280" w:left="880" w:right="300"/>
          <w:cols w:num="2" w:equalWidth="0">
            <w:col w:w="5009" w:space="477"/>
            <w:col w:w="5574"/>
          </w:cols>
        </w:sectPr>
      </w:pPr>
    </w:p>
    <w:p>
      <w:pPr>
        <w:pStyle w:val="BodyText"/>
        <w:spacing w:line="249" w:lineRule="auto" w:before="100"/>
        <w:ind w:right="6180"/>
      </w:pPr>
      <w:r>
        <w:rPr/>
        <w:t>twice. Financial aid in the form of Graduate School fellowships and graduate assistantships is available to qualified students. Applications for Graduate School fellowships may be obtained directly from the Graduate School. They require three letters of recommendation and the filing of a financial aid form. While the latter is necessary to complete the application procedure, preference for the fellowship is based primarily on past academic performance. The fellowships generally provide a small stipend and remission of tuition and are renewable on a yearly basis.</w:t>
      </w:r>
    </w:p>
    <w:p>
      <w:pPr>
        <w:pStyle w:val="Heading5"/>
        <w:spacing w:before="177" w:after="15"/>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0"/>
        <w:gridCol w:w="2706"/>
        <w:gridCol w:w="980"/>
      </w:tblGrid>
      <w:tr>
        <w:trPr>
          <w:trHeight w:val="951" w:hRule="atLeast"/>
        </w:trPr>
        <w:tc>
          <w:tcPr>
            <w:tcW w:w="1270" w:type="dxa"/>
          </w:tcPr>
          <w:p>
            <w:pPr>
              <w:pStyle w:val="TableParagraph"/>
              <w:spacing w:line="223" w:lineRule="exact" w:before="0"/>
              <w:ind w:left="145" w:right="174"/>
              <w:jc w:val="center"/>
              <w:rPr>
                <w:sz w:val="20"/>
              </w:rPr>
            </w:pPr>
            <w:r>
              <w:rPr>
                <w:sz w:val="20"/>
              </w:rPr>
              <w:t>GPLS 601</w:t>
            </w:r>
          </w:p>
        </w:tc>
        <w:tc>
          <w:tcPr>
            <w:tcW w:w="2706" w:type="dxa"/>
          </w:tcPr>
          <w:p>
            <w:pPr>
              <w:pStyle w:val="TableParagraph"/>
              <w:spacing w:line="249" w:lineRule="auto" w:before="0"/>
              <w:ind w:left="192" w:right="188"/>
              <w:rPr>
                <w:sz w:val="20"/>
              </w:rPr>
            </w:pPr>
            <w:r>
              <w:rPr>
                <w:sz w:val="20"/>
              </w:rPr>
              <w:t>MECHANISMS IN BIOMEDICAL SCIENCES: FROM GENES TO</w:t>
            </w:r>
          </w:p>
          <w:p>
            <w:pPr>
              <w:pStyle w:val="TableParagraph"/>
              <w:spacing w:line="219" w:lineRule="exact" w:before="0"/>
              <w:ind w:left="192"/>
              <w:rPr>
                <w:sz w:val="20"/>
              </w:rPr>
            </w:pPr>
            <w:r>
              <w:rPr>
                <w:sz w:val="20"/>
              </w:rPr>
              <w:t>DISEASE</w:t>
            </w:r>
          </w:p>
        </w:tc>
        <w:tc>
          <w:tcPr>
            <w:tcW w:w="980" w:type="dxa"/>
          </w:tcPr>
          <w:p>
            <w:pPr>
              <w:pStyle w:val="TableParagraph"/>
              <w:spacing w:line="223" w:lineRule="exact" w:before="0"/>
              <w:ind w:right="203"/>
              <w:jc w:val="right"/>
              <w:rPr>
                <w:sz w:val="20"/>
              </w:rPr>
            </w:pPr>
            <w:r>
              <w:rPr>
                <w:w w:val="100"/>
                <w:sz w:val="20"/>
              </w:rPr>
              <w:t>8</w:t>
            </w:r>
          </w:p>
        </w:tc>
      </w:tr>
      <w:tr>
        <w:trPr>
          <w:trHeight w:val="240" w:hRule="atLeast"/>
        </w:trPr>
        <w:tc>
          <w:tcPr>
            <w:tcW w:w="1270" w:type="dxa"/>
          </w:tcPr>
          <w:p>
            <w:pPr>
              <w:pStyle w:val="TableParagraph"/>
              <w:spacing w:line="219" w:lineRule="exact"/>
              <w:ind w:left="180" w:right="172"/>
              <w:jc w:val="center"/>
              <w:rPr>
                <w:sz w:val="20"/>
              </w:rPr>
            </w:pPr>
            <w:r>
              <w:rPr>
                <w:sz w:val="20"/>
              </w:rPr>
              <w:t>DPAT 618</w:t>
            </w:r>
          </w:p>
        </w:tc>
        <w:tc>
          <w:tcPr>
            <w:tcW w:w="2706" w:type="dxa"/>
          </w:tcPr>
          <w:p>
            <w:pPr>
              <w:pStyle w:val="TableParagraph"/>
              <w:spacing w:line="219" w:lineRule="exact"/>
              <w:ind w:left="192"/>
              <w:rPr>
                <w:sz w:val="20"/>
              </w:rPr>
            </w:pPr>
            <w:r>
              <w:rPr>
                <w:sz w:val="20"/>
              </w:rPr>
              <w:t>SEMINAR</w:t>
            </w:r>
          </w:p>
        </w:tc>
        <w:tc>
          <w:tcPr>
            <w:tcW w:w="980" w:type="dxa"/>
          </w:tcPr>
          <w:p>
            <w:pPr>
              <w:pStyle w:val="TableParagraph"/>
              <w:spacing w:line="219" w:lineRule="exact"/>
              <w:ind w:right="203"/>
              <w:jc w:val="right"/>
              <w:rPr>
                <w:sz w:val="20"/>
              </w:rPr>
            </w:pPr>
            <w:r>
              <w:rPr>
                <w:w w:val="100"/>
                <w:sz w:val="20"/>
              </w:rPr>
              <w:t>1</w:t>
            </w:r>
          </w:p>
        </w:tc>
      </w:tr>
      <w:tr>
        <w:trPr>
          <w:trHeight w:val="480" w:hRule="atLeast"/>
        </w:trPr>
        <w:tc>
          <w:tcPr>
            <w:tcW w:w="1270" w:type="dxa"/>
          </w:tcPr>
          <w:p>
            <w:pPr>
              <w:pStyle w:val="TableParagraph"/>
              <w:ind w:left="180" w:right="172"/>
              <w:jc w:val="center"/>
              <w:rPr>
                <w:sz w:val="20"/>
              </w:rPr>
            </w:pPr>
            <w:r>
              <w:rPr>
                <w:sz w:val="20"/>
              </w:rPr>
              <w:t>DPAT 898</w:t>
            </w:r>
          </w:p>
        </w:tc>
        <w:tc>
          <w:tcPr>
            <w:tcW w:w="2706" w:type="dxa"/>
          </w:tcPr>
          <w:p>
            <w:pPr>
              <w:pStyle w:val="TableParagraph"/>
              <w:ind w:left="192"/>
              <w:rPr>
                <w:sz w:val="20"/>
              </w:rPr>
            </w:pPr>
            <w:r>
              <w:rPr>
                <w:sz w:val="20"/>
              </w:rPr>
              <w:t>PRE-CANDIDACY</w:t>
            </w:r>
          </w:p>
          <w:p>
            <w:pPr>
              <w:pStyle w:val="TableParagraph"/>
              <w:spacing w:line="219" w:lineRule="exact" w:before="10"/>
              <w:ind w:left="192"/>
              <w:rPr>
                <w:sz w:val="20"/>
              </w:rPr>
            </w:pPr>
            <w:r>
              <w:rPr>
                <w:sz w:val="20"/>
              </w:rPr>
              <w:t>RESEARCH</w:t>
            </w:r>
          </w:p>
        </w:tc>
        <w:tc>
          <w:tcPr>
            <w:tcW w:w="980" w:type="dxa"/>
          </w:tcPr>
          <w:p>
            <w:pPr>
              <w:pStyle w:val="TableParagraph"/>
              <w:ind w:right="198"/>
              <w:jc w:val="right"/>
              <w:rPr>
                <w:sz w:val="20"/>
              </w:rPr>
            </w:pPr>
            <w:r>
              <w:rPr>
                <w:sz w:val="20"/>
              </w:rPr>
              <w:t>1 TO 8</w:t>
            </w:r>
          </w:p>
        </w:tc>
      </w:tr>
      <w:tr>
        <w:trPr>
          <w:trHeight w:val="711" w:hRule="atLeast"/>
        </w:trPr>
        <w:tc>
          <w:tcPr>
            <w:tcW w:w="1270" w:type="dxa"/>
          </w:tcPr>
          <w:p>
            <w:pPr>
              <w:pStyle w:val="TableParagraph"/>
              <w:ind w:left="180" w:right="172"/>
              <w:jc w:val="center"/>
              <w:rPr>
                <w:sz w:val="20"/>
              </w:rPr>
            </w:pPr>
            <w:r>
              <w:rPr>
                <w:sz w:val="20"/>
              </w:rPr>
              <w:t>DPAT 899</w:t>
            </w:r>
          </w:p>
        </w:tc>
        <w:tc>
          <w:tcPr>
            <w:tcW w:w="2706" w:type="dxa"/>
          </w:tcPr>
          <w:p>
            <w:pPr>
              <w:pStyle w:val="TableParagraph"/>
              <w:spacing w:line="249" w:lineRule="auto"/>
              <w:ind w:left="192" w:right="1060"/>
              <w:rPr>
                <w:sz w:val="20"/>
              </w:rPr>
            </w:pPr>
            <w:r>
              <w:rPr>
                <w:sz w:val="20"/>
              </w:rPr>
              <w:t>DOCTORAL DISSERTATION</w:t>
            </w:r>
          </w:p>
          <w:p>
            <w:pPr>
              <w:pStyle w:val="TableParagraph"/>
              <w:spacing w:line="210" w:lineRule="exact" w:before="2"/>
              <w:ind w:left="192"/>
              <w:rPr>
                <w:sz w:val="20"/>
              </w:rPr>
            </w:pPr>
            <w:r>
              <w:rPr>
                <w:sz w:val="20"/>
              </w:rPr>
              <w:t>RESEARCH</w:t>
            </w:r>
          </w:p>
        </w:tc>
        <w:tc>
          <w:tcPr>
            <w:tcW w:w="980" w:type="dxa"/>
          </w:tcPr>
          <w:p>
            <w:pPr>
              <w:pStyle w:val="TableParagraph"/>
              <w:ind w:left="356"/>
              <w:rPr>
                <w:sz w:val="20"/>
              </w:rPr>
            </w:pPr>
            <w:r>
              <w:rPr>
                <w:sz w:val="20"/>
              </w:rPr>
              <w:t>1</w:t>
            </w:r>
            <w:r>
              <w:rPr>
                <w:spacing w:val="5"/>
                <w:sz w:val="20"/>
              </w:rPr>
              <w:t> </w:t>
            </w:r>
            <w:r>
              <w:rPr>
                <w:sz w:val="20"/>
              </w:rPr>
              <w:t>TO</w:t>
            </w:r>
          </w:p>
          <w:p>
            <w:pPr>
              <w:pStyle w:val="TableParagraph"/>
              <w:spacing w:before="10"/>
              <w:ind w:left="572"/>
              <w:rPr>
                <w:sz w:val="20"/>
              </w:rPr>
            </w:pPr>
            <w:r>
              <w:rPr>
                <w:sz w:val="20"/>
              </w:rPr>
              <w:t>12</w:t>
            </w:r>
          </w:p>
        </w:tc>
      </w:tr>
    </w:tbl>
    <w:p>
      <w:pPr>
        <w:pStyle w:val="Heading5"/>
        <w:spacing w:before="182" w:after="16"/>
      </w:pPr>
      <w:r>
        <w:rPr/>
        <w:t>Available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7"/>
        <w:gridCol w:w="2612"/>
        <w:gridCol w:w="1107"/>
      </w:tblGrid>
      <w:tr>
        <w:trPr>
          <w:trHeight w:val="471" w:hRule="atLeast"/>
        </w:trPr>
        <w:tc>
          <w:tcPr>
            <w:tcW w:w="1237" w:type="dxa"/>
          </w:tcPr>
          <w:p>
            <w:pPr>
              <w:pStyle w:val="TableParagraph"/>
              <w:spacing w:line="223" w:lineRule="exact" w:before="0"/>
              <w:ind w:right="156"/>
              <w:jc w:val="right"/>
              <w:rPr>
                <w:sz w:val="20"/>
              </w:rPr>
            </w:pPr>
            <w:r>
              <w:rPr>
                <w:sz w:val="20"/>
              </w:rPr>
              <w:t>DPAT 612</w:t>
            </w:r>
          </w:p>
        </w:tc>
        <w:tc>
          <w:tcPr>
            <w:tcW w:w="2612" w:type="dxa"/>
          </w:tcPr>
          <w:p>
            <w:pPr>
              <w:pStyle w:val="TableParagraph"/>
              <w:spacing w:line="223" w:lineRule="exact" w:before="0"/>
              <w:ind w:left="158"/>
              <w:rPr>
                <w:sz w:val="20"/>
              </w:rPr>
            </w:pPr>
            <w:r>
              <w:rPr>
                <w:sz w:val="20"/>
              </w:rPr>
              <w:t>PROBLEMS IN ORAL</w:t>
            </w:r>
          </w:p>
          <w:p>
            <w:pPr>
              <w:pStyle w:val="TableParagraph"/>
              <w:spacing w:line="219" w:lineRule="exact" w:before="10"/>
              <w:ind w:left="158"/>
              <w:rPr>
                <w:sz w:val="20"/>
              </w:rPr>
            </w:pPr>
            <w:r>
              <w:rPr>
                <w:sz w:val="20"/>
              </w:rPr>
              <w:t>PATHOLOGY I</w:t>
            </w:r>
          </w:p>
        </w:tc>
        <w:tc>
          <w:tcPr>
            <w:tcW w:w="1107" w:type="dxa"/>
          </w:tcPr>
          <w:p>
            <w:pPr>
              <w:pStyle w:val="TableParagraph"/>
              <w:spacing w:line="223" w:lineRule="exact" w:before="0"/>
              <w:ind w:right="203"/>
              <w:jc w:val="right"/>
              <w:rPr>
                <w:sz w:val="20"/>
              </w:rPr>
            </w:pPr>
            <w:r>
              <w:rPr>
                <w:w w:val="100"/>
                <w:sz w:val="20"/>
              </w:rPr>
              <w:t>2</w:t>
            </w:r>
          </w:p>
        </w:tc>
      </w:tr>
      <w:tr>
        <w:trPr>
          <w:trHeight w:val="480" w:hRule="atLeast"/>
        </w:trPr>
        <w:tc>
          <w:tcPr>
            <w:tcW w:w="1237" w:type="dxa"/>
          </w:tcPr>
          <w:p>
            <w:pPr>
              <w:pStyle w:val="TableParagraph"/>
              <w:ind w:right="156"/>
              <w:jc w:val="right"/>
              <w:rPr>
                <w:sz w:val="20"/>
              </w:rPr>
            </w:pPr>
            <w:r>
              <w:rPr>
                <w:sz w:val="20"/>
              </w:rPr>
              <w:t>DPAT 613</w:t>
            </w:r>
          </w:p>
        </w:tc>
        <w:tc>
          <w:tcPr>
            <w:tcW w:w="2612" w:type="dxa"/>
          </w:tcPr>
          <w:p>
            <w:pPr>
              <w:pStyle w:val="TableParagraph"/>
              <w:ind w:left="158"/>
              <w:rPr>
                <w:sz w:val="20"/>
              </w:rPr>
            </w:pPr>
            <w:r>
              <w:rPr>
                <w:sz w:val="20"/>
              </w:rPr>
              <w:t>PROBLEMS IN ORAL</w:t>
            </w:r>
          </w:p>
          <w:p>
            <w:pPr>
              <w:pStyle w:val="TableParagraph"/>
              <w:spacing w:line="219" w:lineRule="exact" w:before="10"/>
              <w:ind w:left="158"/>
              <w:rPr>
                <w:sz w:val="20"/>
              </w:rPr>
            </w:pPr>
            <w:r>
              <w:rPr>
                <w:sz w:val="20"/>
              </w:rPr>
              <w:t>PATHOLOGY II</w:t>
            </w:r>
          </w:p>
        </w:tc>
        <w:tc>
          <w:tcPr>
            <w:tcW w:w="1107" w:type="dxa"/>
          </w:tcPr>
          <w:p>
            <w:pPr>
              <w:pStyle w:val="TableParagraph"/>
              <w:ind w:right="203"/>
              <w:jc w:val="right"/>
              <w:rPr>
                <w:sz w:val="20"/>
              </w:rPr>
            </w:pPr>
            <w:r>
              <w:rPr>
                <w:w w:val="100"/>
                <w:sz w:val="20"/>
              </w:rPr>
              <w:t>2</w:t>
            </w:r>
          </w:p>
        </w:tc>
      </w:tr>
      <w:tr>
        <w:trPr>
          <w:trHeight w:val="480" w:hRule="atLeast"/>
        </w:trPr>
        <w:tc>
          <w:tcPr>
            <w:tcW w:w="1237" w:type="dxa"/>
          </w:tcPr>
          <w:p>
            <w:pPr>
              <w:pStyle w:val="TableParagraph"/>
              <w:ind w:right="156"/>
              <w:jc w:val="right"/>
              <w:rPr>
                <w:sz w:val="20"/>
              </w:rPr>
            </w:pPr>
            <w:r>
              <w:rPr>
                <w:sz w:val="20"/>
              </w:rPr>
              <w:t>DPAT 614</w:t>
            </w:r>
          </w:p>
        </w:tc>
        <w:tc>
          <w:tcPr>
            <w:tcW w:w="2612" w:type="dxa"/>
          </w:tcPr>
          <w:p>
            <w:pPr>
              <w:pStyle w:val="TableParagraph"/>
              <w:ind w:left="158"/>
              <w:rPr>
                <w:sz w:val="20"/>
              </w:rPr>
            </w:pPr>
            <w:r>
              <w:rPr>
                <w:sz w:val="20"/>
              </w:rPr>
              <w:t>HISTOPATHOLOGY</w:t>
            </w:r>
          </w:p>
          <w:p>
            <w:pPr>
              <w:pStyle w:val="TableParagraph"/>
              <w:spacing w:line="219" w:lineRule="exact" w:before="10"/>
              <w:ind w:left="158"/>
              <w:rPr>
                <w:sz w:val="20"/>
              </w:rPr>
            </w:pPr>
            <w:r>
              <w:rPr>
                <w:sz w:val="20"/>
              </w:rPr>
              <w:t>TECHNIQUE I</w:t>
            </w:r>
          </w:p>
        </w:tc>
        <w:tc>
          <w:tcPr>
            <w:tcW w:w="1107" w:type="dxa"/>
          </w:tcPr>
          <w:p>
            <w:pPr>
              <w:pStyle w:val="TableParagraph"/>
              <w:ind w:right="203"/>
              <w:jc w:val="right"/>
              <w:rPr>
                <w:sz w:val="20"/>
              </w:rPr>
            </w:pPr>
            <w:r>
              <w:rPr>
                <w:w w:val="100"/>
                <w:sz w:val="20"/>
              </w:rPr>
              <w:t>4</w:t>
            </w:r>
          </w:p>
        </w:tc>
      </w:tr>
      <w:tr>
        <w:trPr>
          <w:trHeight w:val="480" w:hRule="atLeast"/>
        </w:trPr>
        <w:tc>
          <w:tcPr>
            <w:tcW w:w="1237" w:type="dxa"/>
          </w:tcPr>
          <w:p>
            <w:pPr>
              <w:pStyle w:val="TableParagraph"/>
              <w:ind w:right="156"/>
              <w:jc w:val="right"/>
              <w:rPr>
                <w:sz w:val="20"/>
              </w:rPr>
            </w:pPr>
            <w:r>
              <w:rPr>
                <w:sz w:val="20"/>
              </w:rPr>
              <w:t>DPAT 615</w:t>
            </w:r>
          </w:p>
        </w:tc>
        <w:tc>
          <w:tcPr>
            <w:tcW w:w="2612" w:type="dxa"/>
          </w:tcPr>
          <w:p>
            <w:pPr>
              <w:pStyle w:val="TableParagraph"/>
              <w:ind w:left="158"/>
              <w:rPr>
                <w:sz w:val="20"/>
              </w:rPr>
            </w:pPr>
            <w:r>
              <w:rPr>
                <w:sz w:val="20"/>
              </w:rPr>
              <w:t>HISTOPATHOLOGY</w:t>
            </w:r>
          </w:p>
          <w:p>
            <w:pPr>
              <w:pStyle w:val="TableParagraph"/>
              <w:spacing w:line="219" w:lineRule="exact" w:before="10"/>
              <w:ind w:left="158"/>
              <w:rPr>
                <w:sz w:val="20"/>
              </w:rPr>
            </w:pPr>
            <w:r>
              <w:rPr>
                <w:sz w:val="20"/>
              </w:rPr>
              <w:t>TECHNIQUE II</w:t>
            </w:r>
          </w:p>
        </w:tc>
        <w:tc>
          <w:tcPr>
            <w:tcW w:w="1107" w:type="dxa"/>
          </w:tcPr>
          <w:p>
            <w:pPr>
              <w:pStyle w:val="TableParagraph"/>
              <w:ind w:right="203"/>
              <w:jc w:val="right"/>
              <w:rPr>
                <w:sz w:val="20"/>
              </w:rPr>
            </w:pPr>
            <w:r>
              <w:rPr>
                <w:w w:val="100"/>
                <w:sz w:val="20"/>
              </w:rPr>
              <w:t>4</w:t>
            </w:r>
          </w:p>
        </w:tc>
      </w:tr>
      <w:tr>
        <w:trPr>
          <w:trHeight w:val="480" w:hRule="atLeast"/>
        </w:trPr>
        <w:tc>
          <w:tcPr>
            <w:tcW w:w="1237" w:type="dxa"/>
          </w:tcPr>
          <w:p>
            <w:pPr>
              <w:pStyle w:val="TableParagraph"/>
              <w:ind w:right="156"/>
              <w:jc w:val="right"/>
              <w:rPr>
                <w:sz w:val="20"/>
              </w:rPr>
            </w:pPr>
            <w:r>
              <w:rPr>
                <w:sz w:val="20"/>
              </w:rPr>
              <w:t>DPAT 616</w:t>
            </w:r>
          </w:p>
        </w:tc>
        <w:tc>
          <w:tcPr>
            <w:tcW w:w="2612" w:type="dxa"/>
          </w:tcPr>
          <w:p>
            <w:pPr>
              <w:pStyle w:val="TableParagraph"/>
              <w:ind w:left="158"/>
              <w:rPr>
                <w:sz w:val="20"/>
              </w:rPr>
            </w:pPr>
            <w:r>
              <w:rPr>
                <w:sz w:val="20"/>
              </w:rPr>
              <w:t>PATHOLOGY OF ORAL</w:t>
            </w:r>
          </w:p>
          <w:p>
            <w:pPr>
              <w:pStyle w:val="TableParagraph"/>
              <w:spacing w:line="219" w:lineRule="exact" w:before="10"/>
              <w:ind w:left="158"/>
              <w:rPr>
                <w:sz w:val="20"/>
              </w:rPr>
            </w:pPr>
            <w:r>
              <w:rPr>
                <w:sz w:val="20"/>
              </w:rPr>
              <w:t>LESIONS I</w:t>
            </w:r>
          </w:p>
        </w:tc>
        <w:tc>
          <w:tcPr>
            <w:tcW w:w="1107" w:type="dxa"/>
          </w:tcPr>
          <w:p>
            <w:pPr>
              <w:pStyle w:val="TableParagraph"/>
              <w:ind w:right="203"/>
              <w:jc w:val="right"/>
              <w:rPr>
                <w:sz w:val="20"/>
              </w:rPr>
            </w:pPr>
            <w:r>
              <w:rPr>
                <w:w w:val="100"/>
                <w:sz w:val="20"/>
              </w:rPr>
              <w:t>3</w:t>
            </w:r>
          </w:p>
        </w:tc>
      </w:tr>
      <w:tr>
        <w:trPr>
          <w:trHeight w:val="480" w:hRule="atLeast"/>
        </w:trPr>
        <w:tc>
          <w:tcPr>
            <w:tcW w:w="1237" w:type="dxa"/>
          </w:tcPr>
          <w:p>
            <w:pPr>
              <w:pStyle w:val="TableParagraph"/>
              <w:ind w:right="156"/>
              <w:jc w:val="right"/>
              <w:rPr>
                <w:sz w:val="20"/>
              </w:rPr>
            </w:pPr>
            <w:r>
              <w:rPr>
                <w:sz w:val="20"/>
              </w:rPr>
              <w:t>DPAT 617</w:t>
            </w:r>
          </w:p>
        </w:tc>
        <w:tc>
          <w:tcPr>
            <w:tcW w:w="2612" w:type="dxa"/>
          </w:tcPr>
          <w:p>
            <w:pPr>
              <w:pStyle w:val="TableParagraph"/>
              <w:ind w:left="158"/>
              <w:rPr>
                <w:sz w:val="20"/>
              </w:rPr>
            </w:pPr>
            <w:r>
              <w:rPr>
                <w:sz w:val="20"/>
              </w:rPr>
              <w:t>PATHOLOGY OF ORAL</w:t>
            </w:r>
          </w:p>
          <w:p>
            <w:pPr>
              <w:pStyle w:val="TableParagraph"/>
              <w:spacing w:line="219" w:lineRule="exact" w:before="10"/>
              <w:ind w:left="158"/>
              <w:rPr>
                <w:sz w:val="20"/>
              </w:rPr>
            </w:pPr>
            <w:r>
              <w:rPr>
                <w:sz w:val="20"/>
              </w:rPr>
              <w:t>LESIONS II</w:t>
            </w:r>
          </w:p>
        </w:tc>
        <w:tc>
          <w:tcPr>
            <w:tcW w:w="1107" w:type="dxa"/>
          </w:tcPr>
          <w:p>
            <w:pPr>
              <w:pStyle w:val="TableParagraph"/>
              <w:ind w:right="203"/>
              <w:jc w:val="right"/>
              <w:rPr>
                <w:sz w:val="20"/>
              </w:rPr>
            </w:pPr>
            <w:r>
              <w:rPr>
                <w:w w:val="100"/>
                <w:sz w:val="20"/>
              </w:rPr>
              <w:t>3</w:t>
            </w:r>
          </w:p>
        </w:tc>
      </w:tr>
      <w:tr>
        <w:trPr>
          <w:trHeight w:val="240" w:hRule="atLeast"/>
        </w:trPr>
        <w:tc>
          <w:tcPr>
            <w:tcW w:w="1237" w:type="dxa"/>
          </w:tcPr>
          <w:p>
            <w:pPr>
              <w:pStyle w:val="TableParagraph"/>
              <w:spacing w:line="219" w:lineRule="exact"/>
              <w:ind w:right="156"/>
              <w:jc w:val="right"/>
              <w:rPr>
                <w:sz w:val="20"/>
              </w:rPr>
            </w:pPr>
            <w:r>
              <w:rPr>
                <w:sz w:val="20"/>
              </w:rPr>
              <w:t>DPAT 618</w:t>
            </w:r>
          </w:p>
        </w:tc>
        <w:tc>
          <w:tcPr>
            <w:tcW w:w="2612" w:type="dxa"/>
          </w:tcPr>
          <w:p>
            <w:pPr>
              <w:pStyle w:val="TableParagraph"/>
              <w:spacing w:line="219" w:lineRule="exact"/>
              <w:ind w:left="158"/>
              <w:rPr>
                <w:sz w:val="20"/>
              </w:rPr>
            </w:pPr>
            <w:r>
              <w:rPr>
                <w:sz w:val="20"/>
              </w:rPr>
              <w:t>SEMINAR</w:t>
            </w:r>
          </w:p>
        </w:tc>
        <w:tc>
          <w:tcPr>
            <w:tcW w:w="1107" w:type="dxa"/>
          </w:tcPr>
          <w:p>
            <w:pPr>
              <w:pStyle w:val="TableParagraph"/>
              <w:spacing w:line="219" w:lineRule="exact"/>
              <w:ind w:right="203"/>
              <w:jc w:val="right"/>
              <w:rPr>
                <w:sz w:val="20"/>
              </w:rPr>
            </w:pPr>
            <w:r>
              <w:rPr>
                <w:w w:val="100"/>
                <w:sz w:val="20"/>
              </w:rPr>
              <w:t>1</w:t>
            </w:r>
          </w:p>
        </w:tc>
      </w:tr>
      <w:tr>
        <w:trPr>
          <w:trHeight w:val="471" w:hRule="atLeast"/>
        </w:trPr>
        <w:tc>
          <w:tcPr>
            <w:tcW w:w="1237" w:type="dxa"/>
          </w:tcPr>
          <w:p>
            <w:pPr>
              <w:pStyle w:val="TableParagraph"/>
              <w:ind w:right="156"/>
              <w:jc w:val="right"/>
              <w:rPr>
                <w:sz w:val="20"/>
              </w:rPr>
            </w:pPr>
            <w:r>
              <w:rPr>
                <w:sz w:val="20"/>
              </w:rPr>
              <w:t>DPAT 799</w:t>
            </w:r>
          </w:p>
        </w:tc>
        <w:tc>
          <w:tcPr>
            <w:tcW w:w="2612" w:type="dxa"/>
          </w:tcPr>
          <w:p>
            <w:pPr>
              <w:pStyle w:val="TableParagraph"/>
              <w:ind w:left="158"/>
              <w:rPr>
                <w:sz w:val="20"/>
              </w:rPr>
            </w:pPr>
            <w:r>
              <w:rPr>
                <w:sz w:val="20"/>
              </w:rPr>
              <w:t>MASTER'S THESIS</w:t>
            </w:r>
          </w:p>
          <w:p>
            <w:pPr>
              <w:pStyle w:val="TableParagraph"/>
              <w:spacing w:line="210" w:lineRule="exact" w:before="10"/>
              <w:ind w:left="158"/>
              <w:rPr>
                <w:sz w:val="20"/>
              </w:rPr>
            </w:pPr>
            <w:r>
              <w:rPr>
                <w:sz w:val="20"/>
              </w:rPr>
              <w:t>RESEARCH</w:t>
            </w:r>
          </w:p>
        </w:tc>
        <w:tc>
          <w:tcPr>
            <w:tcW w:w="1107" w:type="dxa"/>
          </w:tcPr>
          <w:p>
            <w:pPr>
              <w:pStyle w:val="TableParagraph"/>
              <w:ind w:right="198"/>
              <w:jc w:val="right"/>
              <w:rPr>
                <w:sz w:val="20"/>
              </w:rPr>
            </w:pPr>
            <w:r>
              <w:rPr>
                <w:sz w:val="20"/>
              </w:rPr>
              <w:t>1 TO 8</w:t>
            </w:r>
          </w:p>
        </w:tc>
      </w:tr>
    </w:tbl>
    <w:p>
      <w:pPr>
        <w:spacing w:after="0"/>
        <w:jc w:val="right"/>
        <w:rPr>
          <w:sz w:val="20"/>
        </w:rPr>
        <w:sectPr>
          <w:pgSz w:w="12240" w:h="15840"/>
          <w:pgMar w:header="746" w:footer="0" w:top="1320" w:bottom="280" w:left="880" w:right="300"/>
        </w:sectPr>
      </w:pPr>
    </w:p>
    <w:p>
      <w:pPr>
        <w:pStyle w:val="Heading3"/>
      </w:pPr>
      <w:bookmarkStart w:name="Palliative Care" w:id="71"/>
      <w:bookmarkEnd w:id="71"/>
      <w:r>
        <w:rPr/>
      </w:r>
      <w:bookmarkStart w:name="_bookmark35" w:id="72"/>
      <w:bookmarkEnd w:id="72"/>
      <w:r>
        <w:rPr/>
      </w:r>
      <w:r>
        <w:rPr/>
        <w:t>Palliative Care</w:t>
      </w:r>
    </w:p>
    <w:p>
      <w:pPr>
        <w:pStyle w:val="BodyText"/>
        <w:spacing w:before="190"/>
      </w:pPr>
      <w:hyperlink r:id="rId72">
        <w:r>
          <w:rPr>
            <w:color w:val="0000FF"/>
            <w:u w:val="single" w:color="0000FF"/>
          </w:rPr>
          <w:t>http://graduate.umaryland.edu/palliative/</w:t>
        </w:r>
      </w:hyperlink>
    </w:p>
    <w:p>
      <w:pPr>
        <w:pStyle w:val="Heading6"/>
        <w:spacing w:before="192"/>
      </w:pPr>
      <w:r>
        <w:rPr/>
        <w:t>Degrees Offered</w:t>
      </w:r>
    </w:p>
    <w:p>
      <w:pPr>
        <w:pStyle w:val="BodyText"/>
        <w:spacing w:before="188"/>
      </w:pPr>
      <w:r>
        <w:rPr/>
        <w:t>Master of Science, Postbachelor’s Certificates</w:t>
      </w:r>
    </w:p>
    <w:p>
      <w:pPr>
        <w:pStyle w:val="Heading6"/>
        <w:spacing w:before="192"/>
      </w:pPr>
      <w:r>
        <w:rPr/>
        <w:t>Program Description</w:t>
      </w:r>
    </w:p>
    <w:p>
      <w:pPr>
        <w:pStyle w:val="BodyText"/>
        <w:spacing w:line="249" w:lineRule="auto" w:before="188"/>
        <w:ind w:left="199" w:right="38"/>
      </w:pPr>
      <w:r>
        <w:rPr/>
        <w:t>The Master </w:t>
      </w:r>
      <w:r>
        <w:rPr>
          <w:spacing w:val="-3"/>
        </w:rPr>
        <w:t>of </w:t>
      </w:r>
      <w:r>
        <w:rPr/>
        <w:t>Science program in Palliative Care provides interprofessional education and training </w:t>
      </w:r>
      <w:r>
        <w:rPr>
          <w:spacing w:val="-4"/>
        </w:rPr>
        <w:t>for </w:t>
      </w:r>
      <w:r>
        <w:rPr/>
        <w:t>professionals who wish to gain experience in caring </w:t>
      </w:r>
      <w:r>
        <w:rPr>
          <w:spacing w:val="-4"/>
        </w:rPr>
        <w:t>for </w:t>
      </w:r>
      <w:r>
        <w:rPr/>
        <w:t>patients </w:t>
      </w:r>
      <w:r>
        <w:rPr>
          <w:spacing w:val="-3"/>
        </w:rPr>
        <w:t>with </w:t>
      </w:r>
      <w:r>
        <w:rPr/>
        <w:t>advanced and terminal illnesses and their families, emphasizing and integrating the unique contributions made by all disciplines that provide palliative care. The program also provides learners </w:t>
      </w:r>
      <w:r>
        <w:rPr>
          <w:spacing w:val="-3"/>
        </w:rPr>
        <w:t>with </w:t>
      </w:r>
      <w:r>
        <w:rPr/>
        <w:t>experiences designed to </w:t>
      </w:r>
      <w:r>
        <w:rPr>
          <w:spacing w:val="-3"/>
        </w:rPr>
        <w:t>foster </w:t>
      </w:r>
      <w:r>
        <w:rPr/>
        <w:t>a </w:t>
      </w:r>
      <w:r>
        <w:rPr>
          <w:spacing w:val="-2"/>
        </w:rPr>
        <w:t>deeper </w:t>
      </w:r>
      <w:r>
        <w:rPr/>
        <w:t>knowledge and understanding </w:t>
      </w:r>
      <w:r>
        <w:rPr>
          <w:spacing w:val="-3"/>
        </w:rPr>
        <w:t>of </w:t>
      </w:r>
      <w:r>
        <w:rPr/>
        <w:t>the numerous clinical, social, psychosocial, spiritual, ethical, and grieving issues in advanced illness. Participants learn to critically evaluate evidence and apply these findings to </w:t>
      </w:r>
      <w:r>
        <w:rPr>
          <w:spacing w:val="-3"/>
        </w:rPr>
        <w:t>best </w:t>
      </w:r>
      <w:r>
        <w:rPr/>
        <w:t>practices in patient care. Participants include practitioners who are working in hospice and palliative care </w:t>
      </w:r>
      <w:r>
        <w:rPr>
          <w:spacing w:val="-3"/>
        </w:rPr>
        <w:t>or </w:t>
      </w:r>
      <w:r>
        <w:rPr/>
        <w:t>aspire to do </w:t>
      </w:r>
      <w:r>
        <w:rPr>
          <w:spacing w:val="-3"/>
        </w:rPr>
        <w:t>so; </w:t>
      </w:r>
      <w:r>
        <w:rPr/>
        <w:t>physicians, advance practice nurses, nurses, pharmacists, </w:t>
      </w:r>
      <w:r>
        <w:rPr>
          <w:spacing w:val="-3"/>
        </w:rPr>
        <w:t>physician </w:t>
      </w:r>
      <w:r>
        <w:rPr/>
        <w:t>assistants, social workers, administrators, chaplains and grief/bereavement specialists, and others. The program covers the basic principles </w:t>
      </w:r>
      <w:r>
        <w:rPr>
          <w:spacing w:val="-3"/>
        </w:rPr>
        <w:t>of </w:t>
      </w:r>
      <w:r>
        <w:rPr/>
        <w:t>hospice and palliative care in </w:t>
      </w:r>
      <w:r>
        <w:rPr>
          <w:spacing w:val="-3"/>
        </w:rPr>
        <w:t>four </w:t>
      </w:r>
      <w:r>
        <w:rPr/>
        <w:t>foundation core courses. The completion </w:t>
      </w:r>
      <w:r>
        <w:rPr>
          <w:spacing w:val="-3"/>
        </w:rPr>
        <w:t>of </w:t>
      </w:r>
      <w:r>
        <w:rPr/>
        <w:t>these four core courses leads to a graduate certificate in Principles and Practice </w:t>
      </w:r>
      <w:r>
        <w:rPr>
          <w:spacing w:val="-3"/>
        </w:rPr>
        <w:t>of </w:t>
      </w:r>
      <w:r>
        <w:rPr/>
        <w:t>Hospice and Palliative Care. Learners also may select another track </w:t>
      </w:r>
      <w:r>
        <w:rPr>
          <w:spacing w:val="-3"/>
        </w:rPr>
        <w:t>or </w:t>
      </w:r>
      <w:r>
        <w:rPr/>
        <w:t>area </w:t>
      </w:r>
      <w:r>
        <w:rPr>
          <w:spacing w:val="-3"/>
        </w:rPr>
        <w:t>of </w:t>
      </w:r>
      <w:r>
        <w:rPr/>
        <w:t>focus (Clinical, Administrative, Psychosocial/Spiritual, </w:t>
      </w:r>
      <w:r>
        <w:rPr>
          <w:spacing w:val="-3"/>
        </w:rPr>
        <w:t>or </w:t>
      </w:r>
      <w:r>
        <w:rPr/>
        <w:t>Thanatology) </w:t>
      </w:r>
      <w:r>
        <w:rPr>
          <w:spacing w:val="-3"/>
        </w:rPr>
        <w:t>or select </w:t>
      </w:r>
      <w:r>
        <w:rPr>
          <w:spacing w:val="-2"/>
        </w:rPr>
        <w:t>electives </w:t>
      </w:r>
      <w:r>
        <w:rPr/>
        <w:t>from among all </w:t>
      </w:r>
      <w:r>
        <w:rPr>
          <w:spacing w:val="-3"/>
        </w:rPr>
        <w:t>focus </w:t>
      </w:r>
      <w:r>
        <w:rPr/>
        <w:t>areas. Four courses successfully completed in a noncore track will constitute award </w:t>
      </w:r>
      <w:r>
        <w:rPr>
          <w:spacing w:val="-3"/>
        </w:rPr>
        <w:t>of </w:t>
      </w:r>
      <w:r>
        <w:rPr/>
        <w:t>a second graduate certificate. The MS in Palliative Care is taught entirely online. To </w:t>
      </w:r>
      <w:r>
        <w:rPr>
          <w:spacing w:val="-3"/>
        </w:rPr>
        <w:t>be </w:t>
      </w:r>
      <w:r>
        <w:rPr/>
        <w:t>successful, the learner must complete all required and elective coursework totaling 30 credits. The program utilizes asynchronous lectures (e.g., prerecorded), readings, reflections, practice assignments, and active-learning instruction such as interprofessional group</w:t>
      </w:r>
      <w:r>
        <w:rPr>
          <w:spacing w:val="1"/>
        </w:rPr>
        <w:t> </w:t>
      </w:r>
      <w:r>
        <w:rPr/>
        <w:t>work.</w:t>
      </w:r>
    </w:p>
    <w:p>
      <w:pPr>
        <w:pStyle w:val="BodyText"/>
        <w:spacing w:before="10"/>
        <w:ind w:left="0"/>
        <w:rPr>
          <w:sz w:val="17"/>
        </w:rPr>
      </w:pPr>
    </w:p>
    <w:p>
      <w:pPr>
        <w:pStyle w:val="Heading6"/>
        <w:spacing w:before="0"/>
        <w:ind w:left="199"/>
      </w:pPr>
      <w:r>
        <w:rPr/>
        <w:t>Program Admission</w:t>
      </w:r>
    </w:p>
    <w:p>
      <w:pPr>
        <w:pStyle w:val="BodyText"/>
        <w:spacing w:line="249" w:lineRule="auto" w:before="187"/>
        <w:ind w:right="77"/>
      </w:pPr>
      <w:r>
        <w:rPr/>
        <w:t>Candidates for admission must meet the minimum qualifications and standards established by the Graduate School. Graduate Record Examinations scores are not required for admission. Candidates will minimally have a baccalaureate degree, and most will have an entry-level health care disciplinary degree (MD, PharmD, RN, APRN, PA-C, LCSW, etc.). International applicants must meet the minimum English language proficiency requirements set by the Graduate School.</w:t>
      </w:r>
    </w:p>
    <w:p>
      <w:pPr>
        <w:pStyle w:val="Heading6"/>
        <w:spacing w:before="96"/>
      </w:pPr>
      <w:r>
        <w:rPr>
          <w:b w:val="0"/>
        </w:rPr>
        <w:br w:type="column"/>
      </w:r>
      <w:r>
        <w:rPr/>
        <w:t>Degree Requirements</w:t>
      </w:r>
    </w:p>
    <w:p>
      <w:pPr>
        <w:pStyle w:val="BodyText"/>
        <w:spacing w:line="249" w:lineRule="auto" w:before="187"/>
        <w:ind w:right="793"/>
      </w:pPr>
      <w:r>
        <w:rPr/>
        <w:t>The master’s degree program requires a minimum of 30 credits. Certificate candidates must complete a minimum of 12 credits. Students must maintain a minimum, cumulative grade- point average of 3.0 on a 4.0 scale to remain in good standing in the program. Complete guidelines and requirements for progression and completion are outlined in the Degree Requirements section of this catalog.</w:t>
      </w:r>
    </w:p>
    <w:p>
      <w:pPr>
        <w:pStyle w:val="BodyText"/>
        <w:spacing w:line="249" w:lineRule="auto" w:before="188"/>
        <w:ind w:right="631"/>
      </w:pPr>
      <w:r>
        <w:rPr/>
        <w:t>Postbaccalaureate Graduate Certificate Students who successfully complete the first four core courses (PALC 601, 602, 603, 604) will be awarded a graduate certificate titled Principles and Practice of Hospice and Palliative Care. Students who successfully complete four courses (12 credits in a given track) will be awarded a graduate certificate as follows:</w:t>
      </w:r>
    </w:p>
    <w:p>
      <w:pPr>
        <w:pStyle w:val="ListParagraph"/>
        <w:numPr>
          <w:ilvl w:val="1"/>
          <w:numId w:val="14"/>
        </w:numPr>
        <w:tabs>
          <w:tab w:pos="633" w:val="left" w:leader="none"/>
        </w:tabs>
        <w:spacing w:line="249" w:lineRule="auto" w:before="183" w:after="0"/>
        <w:ind w:left="632" w:right="1125" w:hanging="216"/>
        <w:jc w:val="left"/>
        <w:rPr>
          <w:sz w:val="20"/>
        </w:rPr>
      </w:pPr>
      <w:r>
        <w:rPr>
          <w:sz w:val="20"/>
        </w:rPr>
        <w:t>Clinical Aspects </w:t>
      </w:r>
      <w:r>
        <w:rPr>
          <w:spacing w:val="-3"/>
          <w:sz w:val="20"/>
        </w:rPr>
        <w:t>of </w:t>
      </w:r>
      <w:r>
        <w:rPr>
          <w:sz w:val="20"/>
        </w:rPr>
        <w:t>Hospice and Palliative Care (PALC 605, 606, 607,</w:t>
      </w:r>
      <w:r>
        <w:rPr>
          <w:spacing w:val="6"/>
          <w:sz w:val="20"/>
        </w:rPr>
        <w:t> </w:t>
      </w:r>
      <w:r>
        <w:rPr>
          <w:sz w:val="20"/>
        </w:rPr>
        <w:t>608)</w:t>
      </w:r>
    </w:p>
    <w:p>
      <w:pPr>
        <w:pStyle w:val="ListParagraph"/>
        <w:numPr>
          <w:ilvl w:val="1"/>
          <w:numId w:val="14"/>
        </w:numPr>
        <w:tabs>
          <w:tab w:pos="633" w:val="left" w:leader="none"/>
        </w:tabs>
        <w:spacing w:line="249" w:lineRule="auto" w:before="184" w:after="0"/>
        <w:ind w:left="632" w:right="1200" w:hanging="216"/>
        <w:jc w:val="left"/>
        <w:rPr>
          <w:sz w:val="20"/>
        </w:rPr>
      </w:pPr>
      <w:r>
        <w:rPr>
          <w:sz w:val="20"/>
        </w:rPr>
        <w:t>Psychosocial/Spiritual Aspects </w:t>
      </w:r>
      <w:r>
        <w:rPr>
          <w:spacing w:val="-3"/>
          <w:sz w:val="20"/>
        </w:rPr>
        <w:t>of </w:t>
      </w:r>
      <w:r>
        <w:rPr>
          <w:sz w:val="20"/>
        </w:rPr>
        <w:t>Hospice and Palliative Care (PALC 609, 610, 611,</w:t>
      </w:r>
      <w:r>
        <w:rPr>
          <w:spacing w:val="-3"/>
          <w:sz w:val="20"/>
        </w:rPr>
        <w:t> </w:t>
      </w:r>
      <w:r>
        <w:rPr>
          <w:sz w:val="20"/>
        </w:rPr>
        <w:t>612)</w:t>
      </w:r>
    </w:p>
    <w:p>
      <w:pPr>
        <w:pStyle w:val="ListParagraph"/>
        <w:numPr>
          <w:ilvl w:val="1"/>
          <w:numId w:val="14"/>
        </w:numPr>
        <w:tabs>
          <w:tab w:pos="633" w:val="left" w:leader="none"/>
        </w:tabs>
        <w:spacing w:line="249" w:lineRule="auto" w:before="179" w:after="0"/>
        <w:ind w:left="632" w:right="982" w:hanging="216"/>
        <w:jc w:val="left"/>
        <w:rPr>
          <w:sz w:val="20"/>
        </w:rPr>
      </w:pPr>
      <w:r>
        <w:rPr>
          <w:sz w:val="20"/>
        </w:rPr>
        <w:t>Leadership and Administration in </w:t>
      </w:r>
      <w:r>
        <w:rPr>
          <w:spacing w:val="-3"/>
          <w:sz w:val="20"/>
        </w:rPr>
        <w:t>Hospice </w:t>
      </w:r>
      <w:r>
        <w:rPr>
          <w:sz w:val="20"/>
        </w:rPr>
        <w:t>and Palliative Care (PALC 613, 614, 615, and THAN 604)</w:t>
      </w:r>
    </w:p>
    <w:p>
      <w:pPr>
        <w:pStyle w:val="ListParagraph"/>
        <w:numPr>
          <w:ilvl w:val="1"/>
          <w:numId w:val="14"/>
        </w:numPr>
        <w:tabs>
          <w:tab w:pos="633" w:val="left" w:leader="none"/>
        </w:tabs>
        <w:spacing w:line="249" w:lineRule="auto" w:before="185" w:after="0"/>
        <w:ind w:left="632" w:right="871" w:hanging="216"/>
        <w:jc w:val="left"/>
        <w:rPr>
          <w:sz w:val="20"/>
        </w:rPr>
      </w:pPr>
      <w:r>
        <w:rPr>
          <w:sz w:val="20"/>
        </w:rPr>
        <w:t>Aging and Applied Thanatology (THAN 604, 605, 606, 609)</w:t>
      </w:r>
    </w:p>
    <w:p>
      <w:pPr>
        <w:pStyle w:val="BodyText"/>
        <w:spacing w:line="249" w:lineRule="auto" w:before="179"/>
        <w:ind w:right="1082"/>
      </w:pPr>
      <w:r>
        <w:rPr/>
        <w:t>The Aging and Applied Thanatology Certificate is an existing program offered by the Graduate School.</w:t>
      </w:r>
    </w:p>
    <w:p>
      <w:pPr>
        <w:pStyle w:val="Heading6"/>
        <w:spacing w:before="184"/>
      </w:pPr>
      <w:r>
        <w:rPr/>
        <w:t>Program Outcomes</w:t>
      </w:r>
    </w:p>
    <w:p>
      <w:pPr>
        <w:pStyle w:val="ListParagraph"/>
        <w:numPr>
          <w:ilvl w:val="1"/>
          <w:numId w:val="14"/>
        </w:numPr>
        <w:tabs>
          <w:tab w:pos="633" w:val="left" w:leader="none"/>
        </w:tabs>
        <w:spacing w:line="249" w:lineRule="auto" w:before="187" w:after="0"/>
        <w:ind w:left="632" w:right="719" w:hanging="216"/>
        <w:jc w:val="both"/>
        <w:rPr>
          <w:sz w:val="20"/>
        </w:rPr>
      </w:pPr>
      <w:r>
        <w:rPr>
          <w:sz w:val="20"/>
        </w:rPr>
        <w:t>Apply the knowledge of one’s </w:t>
      </w:r>
      <w:r>
        <w:rPr>
          <w:spacing w:val="-3"/>
          <w:sz w:val="20"/>
        </w:rPr>
        <w:t>own </w:t>
      </w:r>
      <w:r>
        <w:rPr>
          <w:sz w:val="20"/>
        </w:rPr>
        <w:t>role and those of other professions to appropriately assess and</w:t>
      </w:r>
      <w:r>
        <w:rPr>
          <w:spacing w:val="-24"/>
          <w:sz w:val="20"/>
        </w:rPr>
        <w:t> </w:t>
      </w:r>
      <w:r>
        <w:rPr>
          <w:sz w:val="20"/>
        </w:rPr>
        <w:t>address the health care needs </w:t>
      </w:r>
      <w:r>
        <w:rPr>
          <w:spacing w:val="-3"/>
          <w:sz w:val="20"/>
        </w:rPr>
        <w:t>of </w:t>
      </w:r>
      <w:r>
        <w:rPr>
          <w:sz w:val="20"/>
        </w:rPr>
        <w:t>patients </w:t>
      </w:r>
      <w:r>
        <w:rPr>
          <w:spacing w:val="-3"/>
          <w:sz w:val="20"/>
        </w:rPr>
        <w:t>with </w:t>
      </w:r>
      <w:r>
        <w:rPr>
          <w:sz w:val="20"/>
        </w:rPr>
        <w:t>serious </w:t>
      </w:r>
      <w:r>
        <w:rPr>
          <w:spacing w:val="-3"/>
          <w:sz w:val="20"/>
        </w:rPr>
        <w:t>or </w:t>
      </w:r>
      <w:r>
        <w:rPr>
          <w:sz w:val="20"/>
        </w:rPr>
        <w:t>life- threatening illnesses and </w:t>
      </w:r>
      <w:r>
        <w:rPr>
          <w:spacing w:val="-3"/>
          <w:sz w:val="20"/>
        </w:rPr>
        <w:t>their</w:t>
      </w:r>
      <w:r>
        <w:rPr>
          <w:spacing w:val="2"/>
          <w:sz w:val="20"/>
        </w:rPr>
        <w:t> </w:t>
      </w:r>
      <w:r>
        <w:rPr>
          <w:sz w:val="20"/>
        </w:rPr>
        <w:t>families.*</w:t>
      </w:r>
    </w:p>
    <w:p>
      <w:pPr>
        <w:pStyle w:val="ListParagraph"/>
        <w:numPr>
          <w:ilvl w:val="1"/>
          <w:numId w:val="14"/>
        </w:numPr>
        <w:tabs>
          <w:tab w:pos="633" w:val="left" w:leader="none"/>
        </w:tabs>
        <w:spacing w:line="249" w:lineRule="auto" w:before="185" w:after="0"/>
        <w:ind w:left="632" w:right="630" w:hanging="216"/>
        <w:jc w:val="left"/>
        <w:rPr>
          <w:sz w:val="20"/>
        </w:rPr>
      </w:pPr>
      <w:r>
        <w:rPr>
          <w:sz w:val="20"/>
        </w:rPr>
        <w:t>Assess and </w:t>
      </w:r>
      <w:r>
        <w:rPr>
          <w:spacing w:val="-3"/>
          <w:sz w:val="20"/>
        </w:rPr>
        <w:t>develop </w:t>
      </w:r>
      <w:r>
        <w:rPr>
          <w:sz w:val="20"/>
        </w:rPr>
        <w:t>practices that reflect the patient’s </w:t>
      </w:r>
      <w:r>
        <w:rPr>
          <w:spacing w:val="-3"/>
          <w:sz w:val="20"/>
        </w:rPr>
        <w:t>or </w:t>
      </w:r>
      <w:r>
        <w:rPr>
          <w:sz w:val="20"/>
        </w:rPr>
        <w:t>surrogate’s goals, preferences, and choices for care within currently accepted standards </w:t>
      </w:r>
      <w:r>
        <w:rPr>
          <w:spacing w:val="-3"/>
          <w:sz w:val="20"/>
        </w:rPr>
        <w:t>of </w:t>
      </w:r>
      <w:r>
        <w:rPr>
          <w:sz w:val="20"/>
        </w:rPr>
        <w:t>medical care, professional standards </w:t>
      </w:r>
      <w:r>
        <w:rPr>
          <w:spacing w:val="-3"/>
          <w:sz w:val="20"/>
        </w:rPr>
        <w:t>of </w:t>
      </w:r>
      <w:r>
        <w:rPr>
          <w:sz w:val="20"/>
        </w:rPr>
        <w:t>practice, and applicable state and federal</w:t>
      </w:r>
      <w:r>
        <w:rPr>
          <w:spacing w:val="-9"/>
          <w:sz w:val="20"/>
        </w:rPr>
        <w:t> </w:t>
      </w:r>
      <w:r>
        <w:rPr>
          <w:spacing w:val="-3"/>
          <w:sz w:val="20"/>
        </w:rPr>
        <w:t>law.</w:t>
      </w:r>
    </w:p>
    <w:p>
      <w:pPr>
        <w:pStyle w:val="ListParagraph"/>
        <w:numPr>
          <w:ilvl w:val="1"/>
          <w:numId w:val="14"/>
        </w:numPr>
        <w:tabs>
          <w:tab w:pos="633" w:val="left" w:leader="none"/>
        </w:tabs>
        <w:spacing w:line="249" w:lineRule="auto" w:before="182" w:after="0"/>
        <w:ind w:left="632" w:right="675" w:hanging="216"/>
        <w:jc w:val="left"/>
        <w:rPr>
          <w:sz w:val="20"/>
        </w:rPr>
      </w:pPr>
      <w:r>
        <w:rPr>
          <w:sz w:val="20"/>
        </w:rPr>
        <w:t>Apply relationship-building values and the principles of team dynamics to perform effectively in different team roles to plan and deliver patient/population- centered care that is safe, </w:t>
      </w:r>
      <w:r>
        <w:rPr>
          <w:spacing w:val="-3"/>
          <w:sz w:val="20"/>
        </w:rPr>
        <w:t>timely, </w:t>
      </w:r>
      <w:r>
        <w:rPr>
          <w:sz w:val="20"/>
        </w:rPr>
        <w:t>efficient, effective, and</w:t>
      </w:r>
      <w:r>
        <w:rPr>
          <w:spacing w:val="1"/>
          <w:sz w:val="20"/>
        </w:rPr>
        <w:t> </w:t>
      </w:r>
      <w:r>
        <w:rPr>
          <w:sz w:val="20"/>
        </w:rPr>
        <w:t>equitable.*</w:t>
      </w:r>
    </w:p>
    <w:p>
      <w:pPr>
        <w:pStyle w:val="ListParagraph"/>
        <w:numPr>
          <w:ilvl w:val="1"/>
          <w:numId w:val="14"/>
        </w:numPr>
        <w:tabs>
          <w:tab w:pos="633" w:val="left" w:leader="none"/>
        </w:tabs>
        <w:spacing w:line="249" w:lineRule="auto" w:before="186" w:after="0"/>
        <w:ind w:left="632" w:right="1158" w:hanging="216"/>
        <w:jc w:val="left"/>
        <w:rPr>
          <w:sz w:val="20"/>
        </w:rPr>
      </w:pPr>
      <w:r>
        <w:rPr>
          <w:sz w:val="20"/>
        </w:rPr>
        <w:t>Collaborate </w:t>
      </w:r>
      <w:r>
        <w:rPr>
          <w:spacing w:val="-3"/>
          <w:sz w:val="20"/>
        </w:rPr>
        <w:t>with </w:t>
      </w:r>
      <w:r>
        <w:rPr>
          <w:sz w:val="20"/>
        </w:rPr>
        <w:t>the interdisciplinary team in a climate </w:t>
      </w:r>
      <w:r>
        <w:rPr>
          <w:spacing w:val="-3"/>
          <w:sz w:val="20"/>
        </w:rPr>
        <w:t>of </w:t>
      </w:r>
      <w:r>
        <w:rPr>
          <w:sz w:val="20"/>
        </w:rPr>
        <w:t>mutual respect and shared values</w:t>
      </w:r>
      <w:r>
        <w:rPr>
          <w:spacing w:val="-1"/>
          <w:sz w:val="20"/>
        </w:rPr>
        <w:t> </w:t>
      </w:r>
      <w:r>
        <w:rPr>
          <w:sz w:val="20"/>
        </w:rPr>
        <w:t>to</w:t>
      </w:r>
    </w:p>
    <w:p>
      <w:pPr>
        <w:spacing w:after="0" w:line="249" w:lineRule="auto"/>
        <w:jc w:val="left"/>
        <w:rPr>
          <w:sz w:val="20"/>
        </w:rPr>
        <w:sectPr>
          <w:pgSz w:w="12240" w:h="15840"/>
          <w:pgMar w:header="746" w:footer="0" w:top="1320" w:bottom="280" w:left="880" w:right="300"/>
          <w:cols w:num="2" w:equalWidth="0">
            <w:col w:w="5001" w:space="486"/>
            <w:col w:w="5573"/>
          </w:cols>
        </w:sectPr>
      </w:pPr>
    </w:p>
    <w:p>
      <w:pPr>
        <w:pStyle w:val="BodyText"/>
        <w:spacing w:line="249" w:lineRule="auto" w:before="100"/>
        <w:ind w:left="631" w:right="151"/>
      </w:pPr>
      <w:r>
        <w:rPr/>
        <w:t>identify and manage the symptoms of patients at the end of life and the needs of patients and families.*</w:t>
      </w:r>
    </w:p>
    <w:p>
      <w:pPr>
        <w:pStyle w:val="ListParagraph"/>
        <w:numPr>
          <w:ilvl w:val="1"/>
          <w:numId w:val="14"/>
        </w:numPr>
        <w:tabs>
          <w:tab w:pos="632" w:val="left" w:leader="none"/>
        </w:tabs>
        <w:spacing w:line="249" w:lineRule="auto" w:before="179" w:after="0"/>
        <w:ind w:left="632" w:right="93" w:hanging="216"/>
        <w:jc w:val="left"/>
        <w:rPr>
          <w:sz w:val="20"/>
        </w:rPr>
      </w:pPr>
      <w:r>
        <w:rPr>
          <w:sz w:val="20"/>
        </w:rPr>
        <w:t>Contribute as part </w:t>
      </w:r>
      <w:r>
        <w:rPr>
          <w:spacing w:val="-3"/>
          <w:sz w:val="20"/>
        </w:rPr>
        <w:t>of </w:t>
      </w:r>
      <w:r>
        <w:rPr>
          <w:sz w:val="20"/>
        </w:rPr>
        <w:t>the interdisciplinary team in the assessment and management </w:t>
      </w:r>
      <w:r>
        <w:rPr>
          <w:spacing w:val="-3"/>
          <w:sz w:val="20"/>
        </w:rPr>
        <w:t>of </w:t>
      </w:r>
      <w:r>
        <w:rPr>
          <w:sz w:val="20"/>
        </w:rPr>
        <w:t>pain and/or other physical symptoms that demonstrate evidence-based best</w:t>
      </w:r>
      <w:r>
        <w:rPr>
          <w:spacing w:val="3"/>
          <w:sz w:val="20"/>
        </w:rPr>
        <w:t> </w:t>
      </w:r>
      <w:r>
        <w:rPr>
          <w:sz w:val="20"/>
        </w:rPr>
        <w:t>practices.</w:t>
      </w:r>
    </w:p>
    <w:p>
      <w:pPr>
        <w:pStyle w:val="ListParagraph"/>
        <w:numPr>
          <w:ilvl w:val="1"/>
          <w:numId w:val="14"/>
        </w:numPr>
        <w:tabs>
          <w:tab w:pos="632" w:val="left" w:leader="none"/>
        </w:tabs>
        <w:spacing w:line="249" w:lineRule="auto" w:before="185" w:after="0"/>
        <w:ind w:left="632" w:right="93" w:hanging="216"/>
        <w:jc w:val="left"/>
        <w:rPr>
          <w:sz w:val="20"/>
        </w:rPr>
      </w:pPr>
      <w:r>
        <w:rPr>
          <w:sz w:val="20"/>
        </w:rPr>
        <w:t>Contribute as </w:t>
      </w:r>
      <w:r>
        <w:rPr>
          <w:spacing w:val="-3"/>
          <w:sz w:val="20"/>
        </w:rPr>
        <w:t>part of </w:t>
      </w:r>
      <w:r>
        <w:rPr>
          <w:sz w:val="20"/>
        </w:rPr>
        <w:t>the interdisciplinary team in the assessment and management </w:t>
      </w:r>
      <w:r>
        <w:rPr>
          <w:spacing w:val="-3"/>
          <w:sz w:val="20"/>
        </w:rPr>
        <w:t>of </w:t>
      </w:r>
      <w:r>
        <w:rPr>
          <w:sz w:val="20"/>
        </w:rPr>
        <w:t>psychological and psychiatric aspects </w:t>
      </w:r>
      <w:r>
        <w:rPr>
          <w:spacing w:val="-3"/>
          <w:sz w:val="20"/>
        </w:rPr>
        <w:t>of </w:t>
      </w:r>
      <w:r>
        <w:rPr>
          <w:sz w:val="20"/>
        </w:rPr>
        <w:t>care that demonstrates evidence- based best</w:t>
      </w:r>
      <w:r>
        <w:rPr>
          <w:spacing w:val="6"/>
          <w:sz w:val="20"/>
        </w:rPr>
        <w:t> </w:t>
      </w:r>
      <w:r>
        <w:rPr>
          <w:sz w:val="20"/>
        </w:rPr>
        <w:t>practices.</w:t>
      </w:r>
    </w:p>
    <w:p>
      <w:pPr>
        <w:pStyle w:val="ListParagraph"/>
        <w:numPr>
          <w:ilvl w:val="1"/>
          <w:numId w:val="14"/>
        </w:numPr>
        <w:tabs>
          <w:tab w:pos="632" w:val="left" w:leader="none"/>
        </w:tabs>
        <w:spacing w:line="249" w:lineRule="auto" w:before="181" w:after="0"/>
        <w:ind w:left="631" w:right="38" w:hanging="216"/>
        <w:jc w:val="left"/>
        <w:rPr>
          <w:sz w:val="20"/>
        </w:rPr>
      </w:pPr>
      <w:r>
        <w:rPr>
          <w:sz w:val="20"/>
        </w:rPr>
        <w:t>Complete a comprehensive, person-centered interdisciplinary assessment that identifies the social strengths, needs, and goals </w:t>
      </w:r>
      <w:r>
        <w:rPr>
          <w:spacing w:val="-3"/>
          <w:sz w:val="20"/>
        </w:rPr>
        <w:t>of </w:t>
      </w:r>
      <w:r>
        <w:rPr>
          <w:sz w:val="20"/>
        </w:rPr>
        <w:t>each patient and family and develop a care plan designed to meet these</w:t>
      </w:r>
      <w:r>
        <w:rPr>
          <w:spacing w:val="-22"/>
          <w:sz w:val="20"/>
        </w:rPr>
        <w:t> </w:t>
      </w:r>
      <w:r>
        <w:rPr>
          <w:sz w:val="20"/>
        </w:rPr>
        <w:t>needs, promote achievement </w:t>
      </w:r>
      <w:r>
        <w:rPr>
          <w:spacing w:val="-3"/>
          <w:sz w:val="20"/>
        </w:rPr>
        <w:t>of </w:t>
      </w:r>
      <w:r>
        <w:rPr>
          <w:sz w:val="20"/>
        </w:rPr>
        <w:t>goals, and maximize strengths and</w:t>
      </w:r>
      <w:r>
        <w:rPr>
          <w:spacing w:val="-7"/>
          <w:sz w:val="20"/>
        </w:rPr>
        <w:t> </w:t>
      </w:r>
      <w:r>
        <w:rPr>
          <w:sz w:val="20"/>
        </w:rPr>
        <w:t>well-being.</w:t>
      </w:r>
    </w:p>
    <w:p>
      <w:pPr>
        <w:pStyle w:val="ListParagraph"/>
        <w:numPr>
          <w:ilvl w:val="1"/>
          <w:numId w:val="14"/>
        </w:numPr>
        <w:tabs>
          <w:tab w:pos="632" w:val="left" w:leader="none"/>
        </w:tabs>
        <w:spacing w:line="249" w:lineRule="auto" w:before="186" w:after="0"/>
        <w:ind w:left="631" w:right="64" w:hanging="216"/>
        <w:jc w:val="left"/>
        <w:rPr>
          <w:sz w:val="20"/>
        </w:rPr>
      </w:pPr>
      <w:r>
        <w:rPr>
          <w:sz w:val="20"/>
        </w:rPr>
        <w:t>Conduct an interdisciplinary assessment </w:t>
      </w:r>
      <w:r>
        <w:rPr>
          <w:spacing w:val="-3"/>
          <w:sz w:val="20"/>
        </w:rPr>
        <w:t>of </w:t>
      </w:r>
      <w:r>
        <w:rPr>
          <w:sz w:val="20"/>
        </w:rPr>
        <w:t>spiritual, religious, and existential aspects </w:t>
      </w:r>
      <w:r>
        <w:rPr>
          <w:spacing w:val="-3"/>
          <w:sz w:val="20"/>
        </w:rPr>
        <w:t>of </w:t>
      </w:r>
      <w:r>
        <w:rPr>
          <w:sz w:val="20"/>
        </w:rPr>
        <w:t>care and facilitate a plan that reflects rituals </w:t>
      </w:r>
      <w:r>
        <w:rPr>
          <w:spacing w:val="-3"/>
          <w:sz w:val="20"/>
        </w:rPr>
        <w:t>or </w:t>
      </w:r>
      <w:r>
        <w:rPr>
          <w:sz w:val="20"/>
        </w:rPr>
        <w:t>practices as desired by patient and </w:t>
      </w:r>
      <w:r>
        <w:rPr>
          <w:spacing w:val="-3"/>
          <w:sz w:val="20"/>
        </w:rPr>
        <w:t>family, </w:t>
      </w:r>
      <w:r>
        <w:rPr>
          <w:sz w:val="20"/>
        </w:rPr>
        <w:t>including at and after the time </w:t>
      </w:r>
      <w:r>
        <w:rPr>
          <w:spacing w:val="-3"/>
          <w:sz w:val="20"/>
        </w:rPr>
        <w:t>of </w:t>
      </w:r>
      <w:r>
        <w:rPr>
          <w:sz w:val="20"/>
        </w:rPr>
        <w:t>death.</w:t>
      </w:r>
    </w:p>
    <w:p>
      <w:pPr>
        <w:pStyle w:val="ListParagraph"/>
        <w:numPr>
          <w:ilvl w:val="1"/>
          <w:numId w:val="14"/>
        </w:numPr>
        <w:tabs>
          <w:tab w:pos="632" w:val="left" w:leader="none"/>
        </w:tabs>
        <w:spacing w:line="249" w:lineRule="auto" w:before="182" w:after="0"/>
        <w:ind w:left="631" w:right="240" w:hanging="216"/>
        <w:jc w:val="left"/>
        <w:rPr>
          <w:sz w:val="20"/>
        </w:rPr>
      </w:pPr>
      <w:r>
        <w:rPr>
          <w:sz w:val="20"/>
        </w:rPr>
        <w:t>Develop practices that reflect consideration </w:t>
      </w:r>
      <w:r>
        <w:rPr>
          <w:spacing w:val="-3"/>
          <w:sz w:val="20"/>
        </w:rPr>
        <w:t>of </w:t>
      </w:r>
      <w:r>
        <w:rPr>
          <w:sz w:val="20"/>
        </w:rPr>
        <w:t>patient, </w:t>
      </w:r>
      <w:r>
        <w:rPr>
          <w:spacing w:val="-3"/>
          <w:sz w:val="20"/>
        </w:rPr>
        <w:t>family, </w:t>
      </w:r>
      <w:r>
        <w:rPr>
          <w:sz w:val="20"/>
        </w:rPr>
        <w:t>and community cultural </w:t>
      </w:r>
      <w:r>
        <w:rPr>
          <w:spacing w:val="-3"/>
          <w:sz w:val="20"/>
        </w:rPr>
        <w:t>beliefs </w:t>
      </w:r>
      <w:r>
        <w:rPr>
          <w:sz w:val="20"/>
        </w:rPr>
        <w:t>and linguistic</w:t>
      </w:r>
      <w:r>
        <w:rPr>
          <w:spacing w:val="-10"/>
          <w:sz w:val="20"/>
        </w:rPr>
        <w:t> </w:t>
      </w:r>
      <w:r>
        <w:rPr>
          <w:sz w:val="20"/>
        </w:rPr>
        <w:t>needs.</w:t>
      </w:r>
    </w:p>
    <w:p>
      <w:pPr>
        <w:pStyle w:val="ListParagraph"/>
        <w:numPr>
          <w:ilvl w:val="1"/>
          <w:numId w:val="14"/>
        </w:numPr>
        <w:tabs>
          <w:tab w:pos="632" w:val="left" w:leader="none"/>
        </w:tabs>
        <w:spacing w:line="249" w:lineRule="auto" w:before="184" w:after="0"/>
        <w:ind w:left="631" w:right="82" w:hanging="216"/>
        <w:jc w:val="left"/>
        <w:rPr>
          <w:sz w:val="20"/>
        </w:rPr>
      </w:pPr>
      <w:r>
        <w:rPr>
          <w:sz w:val="20"/>
        </w:rPr>
        <w:t>Identify, acknowledge, and resolve ethical issues </w:t>
      </w:r>
      <w:r>
        <w:rPr>
          <w:spacing w:val="-3"/>
          <w:sz w:val="20"/>
        </w:rPr>
        <w:t>that </w:t>
      </w:r>
      <w:r>
        <w:rPr>
          <w:sz w:val="20"/>
        </w:rPr>
        <w:t>arise in the care </w:t>
      </w:r>
      <w:r>
        <w:rPr>
          <w:spacing w:val="-3"/>
          <w:sz w:val="20"/>
        </w:rPr>
        <w:t>of </w:t>
      </w:r>
      <w:r>
        <w:rPr>
          <w:sz w:val="20"/>
        </w:rPr>
        <w:t>patients </w:t>
      </w:r>
      <w:r>
        <w:rPr>
          <w:spacing w:val="-3"/>
          <w:sz w:val="20"/>
        </w:rPr>
        <w:t>with </w:t>
      </w:r>
      <w:r>
        <w:rPr>
          <w:sz w:val="20"/>
        </w:rPr>
        <w:t>advanced</w:t>
      </w:r>
      <w:r>
        <w:rPr>
          <w:spacing w:val="1"/>
          <w:sz w:val="20"/>
        </w:rPr>
        <w:t> </w:t>
      </w:r>
      <w:r>
        <w:rPr>
          <w:sz w:val="20"/>
        </w:rPr>
        <w:t>illnesses.</w:t>
      </w:r>
    </w:p>
    <w:p>
      <w:pPr>
        <w:pStyle w:val="ListParagraph"/>
        <w:numPr>
          <w:ilvl w:val="1"/>
          <w:numId w:val="14"/>
        </w:numPr>
        <w:tabs>
          <w:tab w:pos="632" w:val="left" w:leader="none"/>
        </w:tabs>
        <w:spacing w:line="249" w:lineRule="auto" w:before="179" w:after="0"/>
        <w:ind w:left="631" w:right="44" w:hanging="216"/>
        <w:jc w:val="left"/>
        <w:rPr>
          <w:sz w:val="20"/>
        </w:rPr>
      </w:pPr>
      <w:r>
        <w:rPr>
          <w:sz w:val="20"/>
        </w:rPr>
        <w:t>Communicate </w:t>
      </w:r>
      <w:r>
        <w:rPr>
          <w:spacing w:val="-3"/>
          <w:sz w:val="20"/>
        </w:rPr>
        <w:t>with </w:t>
      </w:r>
      <w:r>
        <w:rPr>
          <w:sz w:val="20"/>
        </w:rPr>
        <w:t>patients, families, communities, and </w:t>
      </w:r>
      <w:r>
        <w:rPr>
          <w:spacing w:val="-3"/>
          <w:sz w:val="20"/>
        </w:rPr>
        <w:t>other </w:t>
      </w:r>
      <w:r>
        <w:rPr>
          <w:sz w:val="20"/>
        </w:rPr>
        <w:t>health professionals in a responsive and responsible </w:t>
      </w:r>
      <w:r>
        <w:rPr>
          <w:spacing w:val="-2"/>
          <w:sz w:val="20"/>
        </w:rPr>
        <w:t>manner </w:t>
      </w:r>
      <w:r>
        <w:rPr>
          <w:sz w:val="20"/>
        </w:rPr>
        <w:t>that supports the interdisciplinary team approach to the management </w:t>
      </w:r>
      <w:r>
        <w:rPr>
          <w:spacing w:val="-3"/>
          <w:sz w:val="20"/>
        </w:rPr>
        <w:t>of </w:t>
      </w:r>
      <w:r>
        <w:rPr>
          <w:sz w:val="20"/>
        </w:rPr>
        <w:t>patients </w:t>
      </w:r>
      <w:r>
        <w:rPr>
          <w:spacing w:val="-3"/>
          <w:sz w:val="20"/>
        </w:rPr>
        <w:t>with </w:t>
      </w:r>
      <w:r>
        <w:rPr>
          <w:sz w:val="20"/>
        </w:rPr>
        <w:t>advanced illnesses and their</w:t>
      </w:r>
      <w:r>
        <w:rPr>
          <w:spacing w:val="4"/>
          <w:sz w:val="20"/>
        </w:rPr>
        <w:t> </w:t>
      </w:r>
      <w:r>
        <w:rPr>
          <w:sz w:val="20"/>
        </w:rPr>
        <w:t>families.*</w:t>
      </w:r>
    </w:p>
    <w:p>
      <w:pPr>
        <w:pStyle w:val="ListParagraph"/>
        <w:numPr>
          <w:ilvl w:val="1"/>
          <w:numId w:val="14"/>
        </w:numPr>
        <w:tabs>
          <w:tab w:pos="632" w:val="left" w:leader="none"/>
        </w:tabs>
        <w:spacing w:line="249" w:lineRule="auto" w:before="186" w:after="0"/>
        <w:ind w:left="631" w:right="94" w:hanging="216"/>
        <w:jc w:val="left"/>
        <w:rPr>
          <w:sz w:val="20"/>
        </w:rPr>
      </w:pPr>
      <w:r>
        <w:rPr>
          <w:sz w:val="20"/>
        </w:rPr>
        <w:t>Demonstrate a commitment to excellence through continuing professional development and lifelong learning, and the education and training </w:t>
      </w:r>
      <w:r>
        <w:rPr>
          <w:spacing w:val="-3"/>
          <w:sz w:val="20"/>
        </w:rPr>
        <w:t>of </w:t>
      </w:r>
      <w:r>
        <w:rPr>
          <w:sz w:val="20"/>
        </w:rPr>
        <w:t>patients, families, caregivers, interdisciplinary team members, other health care professionals, and other relevant stakeholders.</w:t>
      </w:r>
    </w:p>
    <w:p>
      <w:pPr>
        <w:pStyle w:val="ListParagraph"/>
        <w:numPr>
          <w:ilvl w:val="1"/>
          <w:numId w:val="14"/>
        </w:numPr>
        <w:tabs>
          <w:tab w:pos="632" w:val="left" w:leader="none"/>
        </w:tabs>
        <w:spacing w:line="249" w:lineRule="auto" w:before="182" w:after="0"/>
        <w:ind w:left="631" w:right="336" w:hanging="216"/>
        <w:jc w:val="left"/>
        <w:rPr>
          <w:sz w:val="20"/>
        </w:rPr>
      </w:pPr>
      <w:r>
        <w:rPr>
          <w:sz w:val="20"/>
        </w:rPr>
        <w:t>Describe the strategic planning </w:t>
      </w:r>
      <w:r>
        <w:rPr>
          <w:spacing w:val="-3"/>
          <w:sz w:val="20"/>
        </w:rPr>
        <w:t>process </w:t>
      </w:r>
      <w:r>
        <w:rPr>
          <w:sz w:val="20"/>
        </w:rPr>
        <w:t>of hospice and palliative care program development and management and data-driven processes that </w:t>
      </w:r>
      <w:r>
        <w:rPr>
          <w:spacing w:val="-3"/>
          <w:sz w:val="20"/>
        </w:rPr>
        <w:t>drive </w:t>
      </w:r>
      <w:r>
        <w:rPr>
          <w:sz w:val="20"/>
        </w:rPr>
        <w:t>programmatic continuing quality</w:t>
      </w:r>
      <w:r>
        <w:rPr>
          <w:spacing w:val="-13"/>
          <w:sz w:val="20"/>
        </w:rPr>
        <w:t> </w:t>
      </w:r>
      <w:r>
        <w:rPr>
          <w:sz w:val="20"/>
        </w:rPr>
        <w:t>improvement.</w:t>
      </w:r>
    </w:p>
    <w:p>
      <w:pPr>
        <w:pStyle w:val="ListParagraph"/>
        <w:numPr>
          <w:ilvl w:val="1"/>
          <w:numId w:val="14"/>
        </w:numPr>
        <w:tabs>
          <w:tab w:pos="632" w:val="left" w:leader="none"/>
        </w:tabs>
        <w:spacing w:line="249" w:lineRule="auto" w:before="186" w:after="0"/>
        <w:ind w:left="631" w:right="83" w:hanging="216"/>
        <w:jc w:val="left"/>
        <w:rPr>
          <w:sz w:val="20"/>
        </w:rPr>
      </w:pPr>
      <w:r>
        <w:rPr>
          <w:sz w:val="20"/>
        </w:rPr>
        <w:t>Implement self-care strategies to support coping </w:t>
      </w:r>
      <w:r>
        <w:rPr>
          <w:spacing w:val="-3"/>
          <w:sz w:val="20"/>
        </w:rPr>
        <w:t>with </w:t>
      </w:r>
      <w:r>
        <w:rPr>
          <w:sz w:val="20"/>
        </w:rPr>
        <w:t>suffering, loss, moral distress, and compassion fatigue.</w:t>
      </w:r>
    </w:p>
    <w:p>
      <w:pPr>
        <w:pStyle w:val="BodyText"/>
        <w:spacing w:line="249" w:lineRule="auto" w:before="96"/>
        <w:ind w:left="415" w:right="1006"/>
      </w:pPr>
      <w:r>
        <w:rPr/>
        <w:br w:type="column"/>
      </w:r>
      <w:r>
        <w:rPr/>
        <w:t>*Interprofessional Collaborative Practice Competency Statement</w:t>
      </w:r>
    </w:p>
    <w:p>
      <w:pPr>
        <w:pStyle w:val="Heading5"/>
        <w:spacing w:before="174"/>
        <w:ind w:left="416" w:right="811"/>
      </w:pPr>
      <w:r>
        <w:rPr/>
        <w:t>Required core, and required for graduate certificate in Principles and Practice of Hospice and Palliative Care</w:t>
      </w:r>
    </w:p>
    <w:tbl>
      <w:tblPr>
        <w:tblW w:w="0" w:type="auto"/>
        <w:jc w:val="left"/>
        <w:tblInd w:w="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3035"/>
        <w:gridCol w:w="667"/>
      </w:tblGrid>
      <w:tr>
        <w:trPr>
          <w:trHeight w:val="711" w:hRule="atLeast"/>
        </w:trPr>
        <w:tc>
          <w:tcPr>
            <w:tcW w:w="1249" w:type="dxa"/>
          </w:tcPr>
          <w:p>
            <w:pPr>
              <w:pStyle w:val="TableParagraph"/>
              <w:spacing w:line="223" w:lineRule="exact" w:before="0"/>
              <w:ind w:left="200"/>
              <w:rPr>
                <w:sz w:val="20"/>
              </w:rPr>
            </w:pPr>
            <w:r>
              <w:rPr>
                <w:sz w:val="20"/>
              </w:rPr>
              <w:t>PALC 601</w:t>
            </w:r>
          </w:p>
        </w:tc>
        <w:tc>
          <w:tcPr>
            <w:tcW w:w="3035" w:type="dxa"/>
          </w:tcPr>
          <w:p>
            <w:pPr>
              <w:pStyle w:val="TableParagraph"/>
              <w:spacing w:line="249" w:lineRule="auto" w:before="0"/>
              <w:ind w:left="184" w:right="675"/>
              <w:rPr>
                <w:sz w:val="20"/>
              </w:rPr>
            </w:pPr>
            <w:r>
              <w:rPr>
                <w:sz w:val="20"/>
              </w:rPr>
              <w:t>PRINCLIPLES AND PRACTICE OF HOSPICE</w:t>
            </w:r>
          </w:p>
          <w:p>
            <w:pPr>
              <w:pStyle w:val="TableParagraph"/>
              <w:spacing w:line="219" w:lineRule="exact" w:before="0"/>
              <w:ind w:left="184"/>
              <w:rPr>
                <w:sz w:val="20"/>
              </w:rPr>
            </w:pPr>
            <w:r>
              <w:rPr>
                <w:sz w:val="20"/>
              </w:rPr>
              <w:t>AND PALLIATIVE CARE</w:t>
            </w:r>
          </w:p>
        </w:tc>
        <w:tc>
          <w:tcPr>
            <w:tcW w:w="667" w:type="dxa"/>
          </w:tcPr>
          <w:p>
            <w:pPr>
              <w:pStyle w:val="TableParagraph"/>
              <w:spacing w:line="223" w:lineRule="exact" w:before="0"/>
              <w:ind w:right="198"/>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603</w:t>
            </w:r>
          </w:p>
        </w:tc>
        <w:tc>
          <w:tcPr>
            <w:tcW w:w="3035" w:type="dxa"/>
          </w:tcPr>
          <w:p>
            <w:pPr>
              <w:pStyle w:val="TableParagraph"/>
              <w:spacing w:line="249" w:lineRule="auto"/>
              <w:ind w:left="184" w:right="514"/>
              <w:rPr>
                <w:sz w:val="20"/>
              </w:rPr>
            </w:pPr>
            <w:r>
              <w:rPr>
                <w:sz w:val="20"/>
              </w:rPr>
              <w:t>COMMUNICATION AND HEALTHCARE DECISION</w:t>
            </w:r>
          </w:p>
          <w:p>
            <w:pPr>
              <w:pStyle w:val="TableParagraph"/>
              <w:spacing w:line="219" w:lineRule="exact" w:before="2"/>
              <w:ind w:left="184"/>
              <w:rPr>
                <w:sz w:val="20"/>
              </w:rPr>
            </w:pPr>
            <w:r>
              <w:rPr>
                <w:sz w:val="20"/>
              </w:rPr>
              <w:t>MAKING</w:t>
            </w:r>
          </w:p>
        </w:tc>
        <w:tc>
          <w:tcPr>
            <w:tcW w:w="667" w:type="dxa"/>
          </w:tcPr>
          <w:p>
            <w:pPr>
              <w:pStyle w:val="TableParagraph"/>
              <w:ind w:right="198"/>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604</w:t>
            </w:r>
          </w:p>
        </w:tc>
        <w:tc>
          <w:tcPr>
            <w:tcW w:w="3035" w:type="dxa"/>
          </w:tcPr>
          <w:p>
            <w:pPr>
              <w:pStyle w:val="TableParagraph"/>
              <w:spacing w:line="249" w:lineRule="auto"/>
              <w:ind w:left="184" w:right="675"/>
              <w:rPr>
                <w:sz w:val="20"/>
              </w:rPr>
            </w:pPr>
            <w:r>
              <w:rPr>
                <w:sz w:val="20"/>
              </w:rPr>
              <w:t>PSYCHOSOCIAL, CULTURAL AND</w:t>
            </w:r>
          </w:p>
          <w:p>
            <w:pPr>
              <w:pStyle w:val="TableParagraph"/>
              <w:spacing w:line="219" w:lineRule="exact" w:before="2"/>
              <w:ind w:left="184"/>
              <w:rPr>
                <w:sz w:val="20"/>
              </w:rPr>
            </w:pPr>
            <w:r>
              <w:rPr>
                <w:sz w:val="20"/>
              </w:rPr>
              <w:t>SPIRITUAL CARE</w:t>
            </w:r>
          </w:p>
        </w:tc>
        <w:tc>
          <w:tcPr>
            <w:tcW w:w="667" w:type="dxa"/>
          </w:tcPr>
          <w:p>
            <w:pPr>
              <w:pStyle w:val="TableParagraph"/>
              <w:ind w:right="198"/>
              <w:jc w:val="right"/>
              <w:rPr>
                <w:sz w:val="20"/>
              </w:rPr>
            </w:pPr>
            <w:r>
              <w:rPr>
                <w:w w:val="100"/>
                <w:sz w:val="20"/>
              </w:rPr>
              <w:t>3</w:t>
            </w:r>
          </w:p>
        </w:tc>
      </w:tr>
      <w:tr>
        <w:trPr>
          <w:trHeight w:val="471" w:hRule="atLeast"/>
        </w:trPr>
        <w:tc>
          <w:tcPr>
            <w:tcW w:w="1249" w:type="dxa"/>
          </w:tcPr>
          <w:p>
            <w:pPr>
              <w:pStyle w:val="TableParagraph"/>
              <w:ind w:left="200"/>
              <w:rPr>
                <w:sz w:val="20"/>
              </w:rPr>
            </w:pPr>
            <w:r>
              <w:rPr>
                <w:sz w:val="20"/>
              </w:rPr>
              <w:t>PALC 605</w:t>
            </w:r>
          </w:p>
        </w:tc>
        <w:tc>
          <w:tcPr>
            <w:tcW w:w="3035" w:type="dxa"/>
          </w:tcPr>
          <w:p>
            <w:pPr>
              <w:pStyle w:val="TableParagraph"/>
              <w:ind w:left="184"/>
              <w:rPr>
                <w:sz w:val="20"/>
              </w:rPr>
            </w:pPr>
            <w:r>
              <w:rPr>
                <w:sz w:val="20"/>
              </w:rPr>
              <w:t>SYMPTOM MANAGEMENT</w:t>
            </w:r>
          </w:p>
          <w:p>
            <w:pPr>
              <w:pStyle w:val="TableParagraph"/>
              <w:spacing w:line="210" w:lineRule="exact" w:before="10"/>
              <w:ind w:left="184"/>
              <w:rPr>
                <w:sz w:val="20"/>
              </w:rPr>
            </w:pPr>
            <w:r>
              <w:rPr>
                <w:sz w:val="20"/>
              </w:rPr>
              <w:t>IN ADVANCED ILLNESS</w:t>
            </w:r>
          </w:p>
        </w:tc>
        <w:tc>
          <w:tcPr>
            <w:tcW w:w="667" w:type="dxa"/>
          </w:tcPr>
          <w:p>
            <w:pPr>
              <w:pStyle w:val="TableParagraph"/>
              <w:ind w:right="198"/>
              <w:jc w:val="right"/>
              <w:rPr>
                <w:sz w:val="20"/>
              </w:rPr>
            </w:pPr>
            <w:r>
              <w:rPr>
                <w:w w:val="100"/>
                <w:sz w:val="20"/>
              </w:rPr>
              <w:t>3</w:t>
            </w:r>
          </w:p>
        </w:tc>
      </w:tr>
    </w:tbl>
    <w:p>
      <w:pPr>
        <w:pStyle w:val="Heading5"/>
        <w:spacing w:before="196"/>
        <w:ind w:left="416" w:right="736"/>
      </w:pPr>
      <w:r>
        <w:rPr/>
        <w:t>Electives in Clinical Track, and for graduate certificate in Clinical Aspects of Hospice and Palliative Care</w:t>
      </w:r>
    </w:p>
    <w:tbl>
      <w:tblPr>
        <w:tblW w:w="0" w:type="auto"/>
        <w:jc w:val="left"/>
        <w:tblInd w:w="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3"/>
        <w:gridCol w:w="3009"/>
        <w:gridCol w:w="669"/>
      </w:tblGrid>
      <w:tr>
        <w:trPr>
          <w:trHeight w:val="711" w:hRule="atLeast"/>
        </w:trPr>
        <w:tc>
          <w:tcPr>
            <w:tcW w:w="1273" w:type="dxa"/>
          </w:tcPr>
          <w:p>
            <w:pPr>
              <w:pStyle w:val="TableParagraph"/>
              <w:spacing w:line="223" w:lineRule="exact" w:before="0"/>
              <w:ind w:left="200"/>
              <w:rPr>
                <w:sz w:val="20"/>
              </w:rPr>
            </w:pPr>
            <w:r>
              <w:rPr>
                <w:sz w:val="20"/>
              </w:rPr>
              <w:t>PALC 615</w:t>
            </w:r>
          </w:p>
        </w:tc>
        <w:tc>
          <w:tcPr>
            <w:tcW w:w="3009" w:type="dxa"/>
          </w:tcPr>
          <w:p>
            <w:pPr>
              <w:pStyle w:val="TableParagraph"/>
              <w:spacing w:line="249" w:lineRule="auto" w:before="0"/>
              <w:ind w:left="208" w:right="853"/>
              <w:rPr>
                <w:sz w:val="20"/>
              </w:rPr>
            </w:pPr>
            <w:r>
              <w:rPr>
                <w:sz w:val="20"/>
              </w:rPr>
              <w:t>ADVANCED PAIN MANAGEMENT AND</w:t>
            </w:r>
          </w:p>
          <w:p>
            <w:pPr>
              <w:pStyle w:val="TableParagraph"/>
              <w:spacing w:line="219" w:lineRule="exact" w:before="0"/>
              <w:ind w:left="208"/>
              <w:rPr>
                <w:sz w:val="20"/>
              </w:rPr>
            </w:pPr>
            <w:r>
              <w:rPr>
                <w:sz w:val="20"/>
              </w:rPr>
              <w:t>OPIOID DOSING</w:t>
            </w:r>
          </w:p>
        </w:tc>
        <w:tc>
          <w:tcPr>
            <w:tcW w:w="669" w:type="dxa"/>
          </w:tcPr>
          <w:p>
            <w:pPr>
              <w:pStyle w:val="TableParagraph"/>
              <w:spacing w:line="223" w:lineRule="exact" w:before="0"/>
              <w:ind w:right="198"/>
              <w:jc w:val="right"/>
              <w:rPr>
                <w:sz w:val="20"/>
              </w:rPr>
            </w:pPr>
            <w:r>
              <w:rPr>
                <w:w w:val="100"/>
                <w:sz w:val="20"/>
              </w:rPr>
              <w:t>3</w:t>
            </w:r>
          </w:p>
        </w:tc>
      </w:tr>
      <w:tr>
        <w:trPr>
          <w:trHeight w:val="720" w:hRule="atLeast"/>
        </w:trPr>
        <w:tc>
          <w:tcPr>
            <w:tcW w:w="1273" w:type="dxa"/>
          </w:tcPr>
          <w:p>
            <w:pPr>
              <w:pStyle w:val="TableParagraph"/>
              <w:ind w:left="200"/>
              <w:rPr>
                <w:sz w:val="20"/>
              </w:rPr>
            </w:pPr>
            <w:r>
              <w:rPr>
                <w:sz w:val="20"/>
              </w:rPr>
              <w:t>PALC 611</w:t>
            </w:r>
          </w:p>
        </w:tc>
        <w:tc>
          <w:tcPr>
            <w:tcW w:w="3009" w:type="dxa"/>
          </w:tcPr>
          <w:p>
            <w:pPr>
              <w:pStyle w:val="TableParagraph"/>
              <w:spacing w:line="249" w:lineRule="auto"/>
              <w:ind w:left="208" w:right="642"/>
              <w:rPr>
                <w:sz w:val="20"/>
              </w:rPr>
            </w:pPr>
            <w:r>
              <w:rPr>
                <w:sz w:val="20"/>
              </w:rPr>
              <w:t>ADVANCED NON-PAIN SYMPTOM</w:t>
            </w:r>
          </w:p>
          <w:p>
            <w:pPr>
              <w:pStyle w:val="TableParagraph"/>
              <w:spacing w:line="219" w:lineRule="exact" w:before="2"/>
              <w:ind w:left="208"/>
              <w:rPr>
                <w:sz w:val="20"/>
              </w:rPr>
            </w:pPr>
            <w:r>
              <w:rPr>
                <w:sz w:val="20"/>
              </w:rPr>
              <w:t>MANAGEMENT</w:t>
            </w:r>
          </w:p>
        </w:tc>
        <w:tc>
          <w:tcPr>
            <w:tcW w:w="669" w:type="dxa"/>
          </w:tcPr>
          <w:p>
            <w:pPr>
              <w:pStyle w:val="TableParagraph"/>
              <w:ind w:right="198"/>
              <w:jc w:val="right"/>
              <w:rPr>
                <w:sz w:val="20"/>
              </w:rPr>
            </w:pPr>
            <w:r>
              <w:rPr>
                <w:w w:val="100"/>
                <w:sz w:val="20"/>
              </w:rPr>
              <w:t>3</w:t>
            </w:r>
          </w:p>
        </w:tc>
      </w:tr>
      <w:tr>
        <w:trPr>
          <w:trHeight w:val="480" w:hRule="atLeast"/>
        </w:trPr>
        <w:tc>
          <w:tcPr>
            <w:tcW w:w="1273" w:type="dxa"/>
          </w:tcPr>
          <w:p>
            <w:pPr>
              <w:pStyle w:val="TableParagraph"/>
              <w:ind w:left="200"/>
              <w:rPr>
                <w:sz w:val="20"/>
              </w:rPr>
            </w:pPr>
            <w:r>
              <w:rPr>
                <w:sz w:val="20"/>
              </w:rPr>
              <w:t>PALC 612</w:t>
            </w:r>
          </w:p>
        </w:tc>
        <w:tc>
          <w:tcPr>
            <w:tcW w:w="3009" w:type="dxa"/>
          </w:tcPr>
          <w:p>
            <w:pPr>
              <w:pStyle w:val="TableParagraph"/>
              <w:ind w:left="208"/>
              <w:rPr>
                <w:sz w:val="20"/>
              </w:rPr>
            </w:pPr>
            <w:r>
              <w:rPr>
                <w:sz w:val="20"/>
              </w:rPr>
              <w:t>ADVANCED DISEASE</w:t>
            </w:r>
          </w:p>
          <w:p>
            <w:pPr>
              <w:pStyle w:val="TableParagraph"/>
              <w:spacing w:line="219" w:lineRule="exact" w:before="10"/>
              <w:ind w:left="208"/>
              <w:rPr>
                <w:sz w:val="20"/>
              </w:rPr>
            </w:pPr>
            <w:r>
              <w:rPr>
                <w:sz w:val="20"/>
              </w:rPr>
              <w:t>STATE MANAGEMENT</w:t>
            </w:r>
          </w:p>
        </w:tc>
        <w:tc>
          <w:tcPr>
            <w:tcW w:w="669" w:type="dxa"/>
          </w:tcPr>
          <w:p>
            <w:pPr>
              <w:pStyle w:val="TableParagraph"/>
              <w:ind w:right="198"/>
              <w:jc w:val="right"/>
              <w:rPr>
                <w:sz w:val="20"/>
              </w:rPr>
            </w:pPr>
            <w:r>
              <w:rPr>
                <w:w w:val="100"/>
                <w:sz w:val="20"/>
              </w:rPr>
              <w:t>3</w:t>
            </w:r>
          </w:p>
        </w:tc>
      </w:tr>
      <w:tr>
        <w:trPr>
          <w:trHeight w:val="711" w:hRule="atLeast"/>
        </w:trPr>
        <w:tc>
          <w:tcPr>
            <w:tcW w:w="1273" w:type="dxa"/>
          </w:tcPr>
          <w:p>
            <w:pPr>
              <w:pStyle w:val="TableParagraph"/>
              <w:ind w:left="200"/>
              <w:rPr>
                <w:sz w:val="20"/>
              </w:rPr>
            </w:pPr>
            <w:r>
              <w:rPr>
                <w:sz w:val="20"/>
              </w:rPr>
              <w:t>PALC 607</w:t>
            </w:r>
          </w:p>
        </w:tc>
        <w:tc>
          <w:tcPr>
            <w:tcW w:w="3009" w:type="dxa"/>
          </w:tcPr>
          <w:p>
            <w:pPr>
              <w:pStyle w:val="TableParagraph"/>
              <w:spacing w:line="249" w:lineRule="auto"/>
              <w:ind w:left="208" w:right="353"/>
              <w:rPr>
                <w:sz w:val="20"/>
              </w:rPr>
            </w:pPr>
            <w:r>
              <w:rPr>
                <w:sz w:val="20"/>
              </w:rPr>
              <w:t>CLINICAL MANAGEMENT OF SPECIAL PATIENT</w:t>
            </w:r>
          </w:p>
          <w:p>
            <w:pPr>
              <w:pStyle w:val="TableParagraph"/>
              <w:spacing w:line="210" w:lineRule="exact" w:before="2"/>
              <w:ind w:left="208"/>
              <w:rPr>
                <w:sz w:val="20"/>
              </w:rPr>
            </w:pPr>
            <w:r>
              <w:rPr>
                <w:sz w:val="20"/>
              </w:rPr>
              <w:t>POPULATIONS</w:t>
            </w:r>
          </w:p>
        </w:tc>
        <w:tc>
          <w:tcPr>
            <w:tcW w:w="669" w:type="dxa"/>
          </w:tcPr>
          <w:p>
            <w:pPr>
              <w:pStyle w:val="TableParagraph"/>
              <w:ind w:right="198"/>
              <w:jc w:val="right"/>
              <w:rPr>
                <w:sz w:val="20"/>
              </w:rPr>
            </w:pPr>
            <w:r>
              <w:rPr>
                <w:w w:val="100"/>
                <w:sz w:val="20"/>
              </w:rPr>
              <w:t>3</w:t>
            </w:r>
          </w:p>
        </w:tc>
      </w:tr>
    </w:tbl>
    <w:p>
      <w:pPr>
        <w:pStyle w:val="Heading5"/>
        <w:spacing w:before="191"/>
        <w:ind w:left="416" w:right="548"/>
      </w:pPr>
      <w:r>
        <w:rPr/>
        <w:t>Electives in Administration, and for graduate certificate in Leadership and Administration in Hospice and Palliative Care</w:t>
      </w:r>
    </w:p>
    <w:tbl>
      <w:tblPr>
        <w:tblW w:w="0" w:type="auto"/>
        <w:jc w:val="left"/>
        <w:tblInd w:w="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3042"/>
        <w:gridCol w:w="661"/>
      </w:tblGrid>
      <w:tr>
        <w:trPr>
          <w:trHeight w:val="471" w:hRule="atLeast"/>
        </w:trPr>
        <w:tc>
          <w:tcPr>
            <w:tcW w:w="1249" w:type="dxa"/>
          </w:tcPr>
          <w:p>
            <w:pPr>
              <w:pStyle w:val="TableParagraph"/>
              <w:spacing w:line="223" w:lineRule="exact" w:before="0"/>
              <w:ind w:left="200"/>
              <w:rPr>
                <w:sz w:val="20"/>
              </w:rPr>
            </w:pPr>
            <w:r>
              <w:rPr>
                <w:sz w:val="20"/>
              </w:rPr>
              <w:t>PALC 608</w:t>
            </w:r>
          </w:p>
        </w:tc>
        <w:tc>
          <w:tcPr>
            <w:tcW w:w="3042" w:type="dxa"/>
          </w:tcPr>
          <w:p>
            <w:pPr>
              <w:pStyle w:val="TableParagraph"/>
              <w:spacing w:line="223" w:lineRule="exact" w:before="0"/>
              <w:ind w:left="184"/>
              <w:rPr>
                <w:sz w:val="20"/>
              </w:rPr>
            </w:pPr>
            <w:r>
              <w:rPr>
                <w:sz w:val="20"/>
              </w:rPr>
              <w:t>HOSPICE LEADERSHIP</w:t>
            </w:r>
          </w:p>
          <w:p>
            <w:pPr>
              <w:pStyle w:val="TableParagraph"/>
              <w:spacing w:line="219" w:lineRule="exact" w:before="10"/>
              <w:ind w:left="184"/>
              <w:rPr>
                <w:sz w:val="20"/>
              </w:rPr>
            </w:pPr>
            <w:r>
              <w:rPr>
                <w:sz w:val="20"/>
              </w:rPr>
              <w:t>AND ADMINISTRATION</w:t>
            </w:r>
          </w:p>
        </w:tc>
        <w:tc>
          <w:tcPr>
            <w:tcW w:w="661" w:type="dxa"/>
          </w:tcPr>
          <w:p>
            <w:pPr>
              <w:pStyle w:val="TableParagraph"/>
              <w:spacing w:line="223" w:lineRule="exact" w:before="0"/>
              <w:ind w:right="199"/>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609</w:t>
            </w:r>
          </w:p>
        </w:tc>
        <w:tc>
          <w:tcPr>
            <w:tcW w:w="3042" w:type="dxa"/>
          </w:tcPr>
          <w:p>
            <w:pPr>
              <w:pStyle w:val="TableParagraph"/>
              <w:spacing w:line="249" w:lineRule="auto"/>
              <w:ind w:left="184"/>
              <w:rPr>
                <w:sz w:val="20"/>
              </w:rPr>
            </w:pPr>
            <w:r>
              <w:rPr>
                <w:sz w:val="20"/>
              </w:rPr>
              <w:t>PALLIATIVE </w:t>
            </w:r>
            <w:r>
              <w:rPr>
                <w:spacing w:val="-6"/>
                <w:sz w:val="20"/>
              </w:rPr>
              <w:t>CARE </w:t>
            </w:r>
            <w:r>
              <w:rPr>
                <w:sz w:val="20"/>
              </w:rPr>
              <w:t>LEADERSHIP</w:t>
            </w:r>
            <w:r>
              <w:rPr>
                <w:spacing w:val="-2"/>
                <w:sz w:val="20"/>
              </w:rPr>
              <w:t> AND</w:t>
            </w:r>
          </w:p>
          <w:p>
            <w:pPr>
              <w:pStyle w:val="TableParagraph"/>
              <w:spacing w:line="219" w:lineRule="exact" w:before="2"/>
              <w:ind w:left="184"/>
              <w:rPr>
                <w:sz w:val="20"/>
              </w:rPr>
            </w:pPr>
            <w:r>
              <w:rPr>
                <w:sz w:val="20"/>
              </w:rPr>
              <w:t>ADMINISTRATION</w:t>
            </w:r>
          </w:p>
        </w:tc>
        <w:tc>
          <w:tcPr>
            <w:tcW w:w="661" w:type="dxa"/>
          </w:tcPr>
          <w:p>
            <w:pPr>
              <w:pStyle w:val="TableParagraph"/>
              <w:ind w:right="199"/>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610</w:t>
            </w:r>
          </w:p>
        </w:tc>
        <w:tc>
          <w:tcPr>
            <w:tcW w:w="3042" w:type="dxa"/>
          </w:tcPr>
          <w:p>
            <w:pPr>
              <w:pStyle w:val="TableParagraph"/>
              <w:spacing w:line="249" w:lineRule="auto"/>
              <w:ind w:left="184" w:right="343"/>
              <w:rPr>
                <w:sz w:val="20"/>
              </w:rPr>
            </w:pPr>
            <w:r>
              <w:rPr>
                <w:sz w:val="20"/>
              </w:rPr>
              <w:t>PRACTICE DEVELOPMENT AND STRATEGIC</w:t>
            </w:r>
          </w:p>
          <w:p>
            <w:pPr>
              <w:pStyle w:val="TableParagraph"/>
              <w:spacing w:line="219" w:lineRule="exact" w:before="2"/>
              <w:ind w:left="184"/>
              <w:rPr>
                <w:sz w:val="20"/>
              </w:rPr>
            </w:pPr>
            <w:r>
              <w:rPr>
                <w:sz w:val="20"/>
              </w:rPr>
              <w:t>PLANNING</w:t>
            </w:r>
          </w:p>
        </w:tc>
        <w:tc>
          <w:tcPr>
            <w:tcW w:w="661" w:type="dxa"/>
          </w:tcPr>
          <w:p>
            <w:pPr>
              <w:pStyle w:val="TableParagraph"/>
              <w:ind w:right="199"/>
              <w:jc w:val="right"/>
              <w:rPr>
                <w:sz w:val="20"/>
              </w:rPr>
            </w:pPr>
            <w:r>
              <w:rPr>
                <w:w w:val="100"/>
                <w:sz w:val="20"/>
              </w:rPr>
              <w:t>3</w:t>
            </w:r>
          </w:p>
        </w:tc>
      </w:tr>
      <w:tr>
        <w:trPr>
          <w:trHeight w:val="951" w:hRule="atLeast"/>
        </w:trPr>
        <w:tc>
          <w:tcPr>
            <w:tcW w:w="1249" w:type="dxa"/>
          </w:tcPr>
          <w:p>
            <w:pPr>
              <w:pStyle w:val="TableParagraph"/>
              <w:ind w:left="200"/>
              <w:rPr>
                <w:sz w:val="20"/>
              </w:rPr>
            </w:pPr>
            <w:r>
              <w:rPr>
                <w:sz w:val="20"/>
              </w:rPr>
              <w:t>PALC 602</w:t>
            </w:r>
          </w:p>
        </w:tc>
        <w:tc>
          <w:tcPr>
            <w:tcW w:w="3042" w:type="dxa"/>
          </w:tcPr>
          <w:p>
            <w:pPr>
              <w:pStyle w:val="TableParagraph"/>
              <w:spacing w:line="249" w:lineRule="auto"/>
              <w:ind w:left="184" w:right="1088"/>
              <w:rPr>
                <w:sz w:val="20"/>
              </w:rPr>
            </w:pPr>
            <w:r>
              <w:rPr>
                <w:sz w:val="20"/>
              </w:rPr>
              <w:t>PRINCIPLES AND PRACTICES OF PALLIATIVE CARE</w:t>
            </w:r>
          </w:p>
          <w:p>
            <w:pPr>
              <w:pStyle w:val="TableParagraph"/>
              <w:spacing w:line="210" w:lineRule="exact" w:before="2"/>
              <w:ind w:left="184"/>
              <w:rPr>
                <w:sz w:val="20"/>
              </w:rPr>
            </w:pPr>
            <w:r>
              <w:rPr>
                <w:sz w:val="20"/>
              </w:rPr>
              <w:t>EDUCATION</w:t>
            </w:r>
          </w:p>
        </w:tc>
        <w:tc>
          <w:tcPr>
            <w:tcW w:w="661" w:type="dxa"/>
          </w:tcPr>
          <w:p>
            <w:pPr>
              <w:pStyle w:val="TableParagraph"/>
              <w:ind w:right="199"/>
              <w:jc w:val="right"/>
              <w:rPr>
                <w:sz w:val="20"/>
              </w:rPr>
            </w:pPr>
            <w:r>
              <w:rPr>
                <w:w w:val="100"/>
                <w:sz w:val="20"/>
              </w:rPr>
              <w:t>3</w:t>
            </w:r>
          </w:p>
        </w:tc>
      </w:tr>
    </w:tbl>
    <w:p>
      <w:pPr>
        <w:pStyle w:val="Heading5"/>
        <w:spacing w:before="195"/>
        <w:ind w:left="416" w:right="548"/>
      </w:pPr>
      <w:r>
        <w:rPr/>
        <w:pict>
          <v:shape style="position:absolute;margin-left:323.600006pt;margin-top:46.570313pt;width:247.55pt;height:47.2pt;mso-position-horizontal-relative:page;mso-position-vertical-relative:paragraph;z-index:1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8"/>
                    <w:gridCol w:w="3055"/>
                    <w:gridCol w:w="635"/>
                  </w:tblGrid>
                  <w:tr>
                    <w:trPr>
                      <w:trHeight w:val="711" w:hRule="atLeast"/>
                    </w:trPr>
                    <w:tc>
                      <w:tcPr>
                        <w:tcW w:w="1258" w:type="dxa"/>
                      </w:tcPr>
                      <w:p>
                        <w:pPr>
                          <w:pStyle w:val="TableParagraph"/>
                          <w:spacing w:line="223" w:lineRule="exact" w:before="0"/>
                          <w:ind w:left="200"/>
                          <w:rPr>
                            <w:sz w:val="20"/>
                          </w:rPr>
                        </w:pPr>
                        <w:r>
                          <w:rPr>
                            <w:sz w:val="20"/>
                          </w:rPr>
                          <w:t>PALC 613</w:t>
                        </w:r>
                      </w:p>
                    </w:tc>
                    <w:tc>
                      <w:tcPr>
                        <w:tcW w:w="3055" w:type="dxa"/>
                      </w:tcPr>
                      <w:p>
                        <w:pPr>
                          <w:pStyle w:val="TableParagraph"/>
                          <w:spacing w:line="249" w:lineRule="auto" w:before="0"/>
                          <w:ind w:left="194" w:right="668"/>
                          <w:rPr>
                            <w:sz w:val="20"/>
                          </w:rPr>
                        </w:pPr>
                        <w:r>
                          <w:rPr>
                            <w:sz w:val="20"/>
                          </w:rPr>
                          <w:t>ADVANCED DECISION- MAKING AND</w:t>
                        </w:r>
                      </w:p>
                      <w:p>
                        <w:pPr>
                          <w:pStyle w:val="TableParagraph"/>
                          <w:spacing w:line="219" w:lineRule="exact" w:before="0"/>
                          <w:ind w:left="194"/>
                          <w:rPr>
                            <w:sz w:val="20"/>
                          </w:rPr>
                        </w:pPr>
                        <w:r>
                          <w:rPr>
                            <w:sz w:val="20"/>
                          </w:rPr>
                          <w:t>COMMUNICATION SKILLS</w:t>
                        </w:r>
                      </w:p>
                    </w:tc>
                    <w:tc>
                      <w:tcPr>
                        <w:tcW w:w="635" w:type="dxa"/>
                      </w:tcPr>
                      <w:p>
                        <w:pPr>
                          <w:pStyle w:val="TableParagraph"/>
                          <w:spacing w:line="223" w:lineRule="exact" w:before="0"/>
                          <w:ind w:right="195"/>
                          <w:jc w:val="right"/>
                          <w:rPr>
                            <w:sz w:val="20"/>
                          </w:rPr>
                        </w:pPr>
                        <w:r>
                          <w:rPr>
                            <w:w w:val="100"/>
                            <w:sz w:val="20"/>
                          </w:rPr>
                          <w:t>3</w:t>
                        </w:r>
                      </w:p>
                    </w:tc>
                  </w:tr>
                  <w:tr>
                    <w:trPr>
                      <w:trHeight w:val="231" w:hRule="atLeast"/>
                    </w:trPr>
                    <w:tc>
                      <w:tcPr>
                        <w:tcW w:w="1258" w:type="dxa"/>
                      </w:tcPr>
                      <w:p>
                        <w:pPr>
                          <w:pStyle w:val="TableParagraph"/>
                          <w:spacing w:line="210" w:lineRule="exact"/>
                          <w:ind w:left="200"/>
                          <w:rPr>
                            <w:sz w:val="20"/>
                          </w:rPr>
                        </w:pPr>
                        <w:r>
                          <w:rPr>
                            <w:sz w:val="20"/>
                          </w:rPr>
                          <w:t>PALC 614</w:t>
                        </w:r>
                      </w:p>
                    </w:tc>
                    <w:tc>
                      <w:tcPr>
                        <w:tcW w:w="3055" w:type="dxa"/>
                      </w:tcPr>
                      <w:p>
                        <w:pPr>
                          <w:pStyle w:val="TableParagraph"/>
                          <w:spacing w:line="210" w:lineRule="exact"/>
                          <w:ind w:left="194"/>
                          <w:rPr>
                            <w:sz w:val="20"/>
                          </w:rPr>
                        </w:pPr>
                        <w:r>
                          <w:rPr>
                            <w:sz w:val="20"/>
                          </w:rPr>
                          <w:t>ADVANCED SPIRITUALITY</w:t>
                        </w:r>
                      </w:p>
                    </w:tc>
                    <w:tc>
                      <w:tcPr>
                        <w:tcW w:w="635" w:type="dxa"/>
                      </w:tcPr>
                      <w:p>
                        <w:pPr>
                          <w:pStyle w:val="TableParagraph"/>
                          <w:spacing w:line="210" w:lineRule="exact"/>
                          <w:ind w:right="195"/>
                          <w:jc w:val="right"/>
                          <w:rPr>
                            <w:sz w:val="20"/>
                          </w:rPr>
                        </w:pPr>
                        <w:r>
                          <w:rPr>
                            <w:w w:val="100"/>
                            <w:sz w:val="20"/>
                          </w:rPr>
                          <w:t>3</w:t>
                        </w:r>
                      </w:p>
                    </w:tc>
                  </w:tr>
                </w:tbl>
                <w:p>
                  <w:pPr>
                    <w:pStyle w:val="BodyText"/>
                    <w:spacing w:before="0"/>
                    <w:ind w:left="0"/>
                  </w:pPr>
                </w:p>
              </w:txbxContent>
            </v:textbox>
            <w10:wrap type="none"/>
          </v:shape>
        </w:pict>
      </w:r>
      <w:r>
        <w:rPr/>
        <w:t>Electives in Psychosocial/Spiritual Track, and for graduate certificate in Psychosocial/Spiritual Aspects of Hospice and Palliative Care</w:t>
      </w:r>
    </w:p>
    <w:p>
      <w:pPr>
        <w:spacing w:after="0"/>
        <w:sectPr>
          <w:pgSz w:w="12240" w:h="15840"/>
          <w:pgMar w:header="746" w:footer="0" w:top="1320" w:bottom="280" w:left="880" w:right="300"/>
          <w:cols w:num="2" w:equalWidth="0">
            <w:col w:w="4979" w:space="291"/>
            <w:col w:w="5790"/>
          </w:cols>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0"/>
        <w:gridCol w:w="2794"/>
        <w:gridCol w:w="876"/>
      </w:tblGrid>
      <w:tr>
        <w:trPr>
          <w:trHeight w:val="471" w:hRule="atLeast"/>
        </w:trPr>
        <w:tc>
          <w:tcPr>
            <w:tcW w:w="1280" w:type="dxa"/>
          </w:tcPr>
          <w:p>
            <w:pPr>
              <w:pStyle w:val="TableParagraph"/>
              <w:spacing w:before="0"/>
              <w:rPr>
                <w:sz w:val="20"/>
              </w:rPr>
            </w:pPr>
          </w:p>
        </w:tc>
        <w:tc>
          <w:tcPr>
            <w:tcW w:w="2794" w:type="dxa"/>
          </w:tcPr>
          <w:p>
            <w:pPr>
              <w:pStyle w:val="TableParagraph"/>
              <w:spacing w:line="223" w:lineRule="exact" w:before="0"/>
              <w:ind w:left="172"/>
              <w:rPr>
                <w:sz w:val="20"/>
              </w:rPr>
            </w:pPr>
            <w:r>
              <w:rPr>
                <w:sz w:val="20"/>
              </w:rPr>
              <w:t>AND PSYCHOSOCIAL</w:t>
            </w:r>
          </w:p>
          <w:p>
            <w:pPr>
              <w:pStyle w:val="TableParagraph"/>
              <w:spacing w:line="219" w:lineRule="exact" w:before="10"/>
              <w:ind w:left="172"/>
              <w:rPr>
                <w:sz w:val="20"/>
              </w:rPr>
            </w:pPr>
            <w:r>
              <w:rPr>
                <w:sz w:val="20"/>
              </w:rPr>
              <w:t>SKILLS</w:t>
            </w:r>
          </w:p>
        </w:tc>
        <w:tc>
          <w:tcPr>
            <w:tcW w:w="876" w:type="dxa"/>
          </w:tcPr>
          <w:p>
            <w:pPr>
              <w:pStyle w:val="TableParagraph"/>
              <w:spacing w:before="0"/>
              <w:rPr>
                <w:sz w:val="20"/>
              </w:rPr>
            </w:pPr>
          </w:p>
        </w:tc>
      </w:tr>
      <w:tr>
        <w:trPr>
          <w:trHeight w:val="720" w:hRule="atLeast"/>
        </w:trPr>
        <w:tc>
          <w:tcPr>
            <w:tcW w:w="1280" w:type="dxa"/>
          </w:tcPr>
          <w:p>
            <w:pPr>
              <w:pStyle w:val="TableParagraph"/>
              <w:ind w:right="213"/>
              <w:jc w:val="right"/>
              <w:rPr>
                <w:sz w:val="20"/>
              </w:rPr>
            </w:pPr>
            <w:r>
              <w:rPr>
                <w:sz w:val="20"/>
              </w:rPr>
              <w:t>PALC 615</w:t>
            </w:r>
          </w:p>
        </w:tc>
        <w:tc>
          <w:tcPr>
            <w:tcW w:w="2794" w:type="dxa"/>
          </w:tcPr>
          <w:p>
            <w:pPr>
              <w:pStyle w:val="TableParagraph"/>
              <w:spacing w:line="249" w:lineRule="auto"/>
              <w:ind w:left="172" w:right="674"/>
              <w:rPr>
                <w:sz w:val="20"/>
              </w:rPr>
            </w:pPr>
            <w:r>
              <w:rPr>
                <w:sz w:val="20"/>
              </w:rPr>
              <w:t>ADVANCED PAIN MANAGEMENT AND</w:t>
            </w:r>
          </w:p>
          <w:p>
            <w:pPr>
              <w:pStyle w:val="TableParagraph"/>
              <w:spacing w:line="219" w:lineRule="exact" w:before="2"/>
              <w:ind w:left="172"/>
              <w:rPr>
                <w:sz w:val="20"/>
              </w:rPr>
            </w:pPr>
            <w:r>
              <w:rPr>
                <w:sz w:val="20"/>
              </w:rPr>
              <w:t>OPIOID DOSING</w:t>
            </w:r>
          </w:p>
        </w:tc>
        <w:tc>
          <w:tcPr>
            <w:tcW w:w="876" w:type="dxa"/>
          </w:tcPr>
          <w:p>
            <w:pPr>
              <w:pStyle w:val="TableParagraph"/>
              <w:ind w:right="197"/>
              <w:jc w:val="right"/>
              <w:rPr>
                <w:sz w:val="20"/>
              </w:rPr>
            </w:pPr>
            <w:r>
              <w:rPr>
                <w:w w:val="100"/>
                <w:sz w:val="20"/>
              </w:rPr>
              <w:t>3</w:t>
            </w:r>
          </w:p>
        </w:tc>
      </w:tr>
      <w:tr>
        <w:trPr>
          <w:trHeight w:val="960" w:hRule="atLeast"/>
        </w:trPr>
        <w:tc>
          <w:tcPr>
            <w:tcW w:w="1280" w:type="dxa"/>
          </w:tcPr>
          <w:p>
            <w:pPr>
              <w:pStyle w:val="TableParagraph"/>
              <w:ind w:right="213"/>
              <w:jc w:val="right"/>
              <w:rPr>
                <w:sz w:val="20"/>
              </w:rPr>
            </w:pPr>
            <w:r>
              <w:rPr>
                <w:sz w:val="20"/>
              </w:rPr>
              <w:t>PALC 602</w:t>
            </w:r>
          </w:p>
        </w:tc>
        <w:tc>
          <w:tcPr>
            <w:tcW w:w="2794" w:type="dxa"/>
          </w:tcPr>
          <w:p>
            <w:pPr>
              <w:pStyle w:val="TableParagraph"/>
              <w:spacing w:line="249" w:lineRule="auto"/>
              <w:ind w:left="172" w:right="852"/>
              <w:rPr>
                <w:sz w:val="20"/>
              </w:rPr>
            </w:pPr>
            <w:r>
              <w:rPr>
                <w:sz w:val="20"/>
              </w:rPr>
              <w:t>PRINCIPLES AND PRACTICES OF PALLIATIVE CARE</w:t>
            </w:r>
          </w:p>
          <w:p>
            <w:pPr>
              <w:pStyle w:val="TableParagraph"/>
              <w:spacing w:line="219" w:lineRule="exact" w:before="2"/>
              <w:ind w:left="172"/>
              <w:rPr>
                <w:sz w:val="20"/>
              </w:rPr>
            </w:pPr>
            <w:r>
              <w:rPr>
                <w:sz w:val="20"/>
              </w:rPr>
              <w:t>EDUCATION</w:t>
            </w:r>
          </w:p>
        </w:tc>
        <w:tc>
          <w:tcPr>
            <w:tcW w:w="876" w:type="dxa"/>
          </w:tcPr>
          <w:p>
            <w:pPr>
              <w:pStyle w:val="TableParagraph"/>
              <w:ind w:right="197"/>
              <w:jc w:val="right"/>
              <w:rPr>
                <w:sz w:val="20"/>
              </w:rPr>
            </w:pPr>
            <w:r>
              <w:rPr>
                <w:w w:val="100"/>
                <w:sz w:val="20"/>
              </w:rPr>
              <w:t>3</w:t>
            </w:r>
          </w:p>
        </w:tc>
      </w:tr>
      <w:tr>
        <w:trPr>
          <w:trHeight w:val="711" w:hRule="atLeast"/>
        </w:trPr>
        <w:tc>
          <w:tcPr>
            <w:tcW w:w="1280" w:type="dxa"/>
          </w:tcPr>
          <w:p>
            <w:pPr>
              <w:pStyle w:val="TableParagraph"/>
              <w:ind w:right="170"/>
              <w:jc w:val="right"/>
              <w:rPr>
                <w:sz w:val="20"/>
              </w:rPr>
            </w:pPr>
            <w:r>
              <w:rPr>
                <w:sz w:val="20"/>
              </w:rPr>
              <w:t>THAN 604</w:t>
            </w:r>
          </w:p>
        </w:tc>
        <w:tc>
          <w:tcPr>
            <w:tcW w:w="2794" w:type="dxa"/>
          </w:tcPr>
          <w:p>
            <w:pPr>
              <w:pStyle w:val="TableParagraph"/>
              <w:spacing w:line="249" w:lineRule="auto"/>
              <w:ind w:left="172" w:right="557"/>
              <w:rPr>
                <w:sz w:val="20"/>
              </w:rPr>
            </w:pPr>
            <w:r>
              <w:rPr>
                <w:sz w:val="20"/>
              </w:rPr>
              <w:t>DEATH AND DYING: ETHICAL AND LEGAL</w:t>
            </w:r>
          </w:p>
          <w:p>
            <w:pPr>
              <w:pStyle w:val="TableParagraph"/>
              <w:spacing w:line="210" w:lineRule="exact" w:before="2"/>
              <w:ind w:left="172"/>
              <w:rPr>
                <w:sz w:val="20"/>
              </w:rPr>
            </w:pPr>
            <w:r>
              <w:rPr>
                <w:sz w:val="20"/>
              </w:rPr>
              <w:t>CONSIDERATIONS</w:t>
            </w:r>
          </w:p>
        </w:tc>
        <w:tc>
          <w:tcPr>
            <w:tcW w:w="876" w:type="dxa"/>
          </w:tcPr>
          <w:p>
            <w:pPr>
              <w:pStyle w:val="TableParagraph"/>
              <w:ind w:right="197"/>
              <w:jc w:val="right"/>
              <w:rPr>
                <w:sz w:val="20"/>
              </w:rPr>
            </w:pPr>
            <w:r>
              <w:rPr>
                <w:w w:val="100"/>
                <w:sz w:val="20"/>
              </w:rPr>
              <w:t>3</w:t>
            </w:r>
          </w:p>
        </w:tc>
      </w:tr>
    </w:tbl>
    <w:p>
      <w:pPr>
        <w:pStyle w:val="BodyText"/>
        <w:spacing w:before="5"/>
        <w:ind w:left="0"/>
        <w:rPr>
          <w:sz w:val="7"/>
        </w:rPr>
      </w:pPr>
    </w:p>
    <w:p>
      <w:pPr>
        <w:pStyle w:val="Heading5"/>
        <w:spacing w:before="92" w:after="14"/>
        <w:ind w:right="6163"/>
      </w:pPr>
      <w:r>
        <w:rPr/>
        <w:t>Electives in Thanatology Track, and for graduate certificate in Aging and Applied Thanatology</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2"/>
        <w:gridCol w:w="2956"/>
        <w:gridCol w:w="711"/>
      </w:tblGrid>
      <w:tr>
        <w:trPr>
          <w:trHeight w:val="711" w:hRule="atLeast"/>
        </w:trPr>
        <w:tc>
          <w:tcPr>
            <w:tcW w:w="1282" w:type="dxa"/>
          </w:tcPr>
          <w:p>
            <w:pPr>
              <w:pStyle w:val="TableParagraph"/>
              <w:spacing w:line="223" w:lineRule="exact" w:before="0"/>
              <w:ind w:right="172"/>
              <w:jc w:val="right"/>
              <w:rPr>
                <w:sz w:val="20"/>
              </w:rPr>
            </w:pPr>
            <w:r>
              <w:rPr>
                <w:sz w:val="20"/>
              </w:rPr>
              <w:t>THAN 604</w:t>
            </w:r>
          </w:p>
        </w:tc>
        <w:tc>
          <w:tcPr>
            <w:tcW w:w="2956" w:type="dxa"/>
          </w:tcPr>
          <w:p>
            <w:pPr>
              <w:pStyle w:val="TableParagraph"/>
              <w:spacing w:line="223" w:lineRule="exact" w:before="0"/>
              <w:ind w:left="175"/>
              <w:rPr>
                <w:sz w:val="20"/>
              </w:rPr>
            </w:pPr>
            <w:r>
              <w:rPr>
                <w:sz w:val="20"/>
              </w:rPr>
              <w:t>DEATH AND DYING:</w:t>
            </w:r>
          </w:p>
          <w:p>
            <w:pPr>
              <w:pStyle w:val="TableParagraph"/>
              <w:spacing w:line="240" w:lineRule="atLeast" w:before="0"/>
              <w:ind w:left="175" w:right="716"/>
              <w:rPr>
                <w:sz w:val="20"/>
              </w:rPr>
            </w:pPr>
            <w:r>
              <w:rPr>
                <w:sz w:val="20"/>
              </w:rPr>
              <w:t>ETHICAL AND LEGAL CONSIDERATIONS</w:t>
            </w:r>
          </w:p>
        </w:tc>
        <w:tc>
          <w:tcPr>
            <w:tcW w:w="711" w:type="dxa"/>
          </w:tcPr>
          <w:p>
            <w:pPr>
              <w:pStyle w:val="TableParagraph"/>
              <w:spacing w:line="223" w:lineRule="exact" w:before="0"/>
              <w:ind w:right="196"/>
              <w:jc w:val="right"/>
              <w:rPr>
                <w:sz w:val="20"/>
              </w:rPr>
            </w:pPr>
            <w:r>
              <w:rPr>
                <w:w w:val="100"/>
                <w:sz w:val="20"/>
              </w:rPr>
              <w:t>3</w:t>
            </w:r>
          </w:p>
        </w:tc>
      </w:tr>
      <w:tr>
        <w:trPr>
          <w:trHeight w:val="240" w:hRule="atLeast"/>
        </w:trPr>
        <w:tc>
          <w:tcPr>
            <w:tcW w:w="1282" w:type="dxa"/>
          </w:tcPr>
          <w:p>
            <w:pPr>
              <w:pStyle w:val="TableParagraph"/>
              <w:spacing w:line="219" w:lineRule="exact"/>
              <w:ind w:right="172"/>
              <w:jc w:val="right"/>
              <w:rPr>
                <w:sz w:val="20"/>
              </w:rPr>
            </w:pPr>
            <w:r>
              <w:rPr>
                <w:sz w:val="20"/>
              </w:rPr>
              <w:t>THAN 605</w:t>
            </w:r>
          </w:p>
        </w:tc>
        <w:tc>
          <w:tcPr>
            <w:tcW w:w="2956" w:type="dxa"/>
          </w:tcPr>
          <w:p>
            <w:pPr>
              <w:pStyle w:val="TableParagraph"/>
              <w:spacing w:line="219" w:lineRule="exact"/>
              <w:ind w:left="175"/>
              <w:rPr>
                <w:sz w:val="20"/>
              </w:rPr>
            </w:pPr>
            <w:r>
              <w:rPr>
                <w:sz w:val="20"/>
              </w:rPr>
              <w:t>PALLIATIVE CARE</w:t>
            </w:r>
          </w:p>
        </w:tc>
        <w:tc>
          <w:tcPr>
            <w:tcW w:w="711" w:type="dxa"/>
          </w:tcPr>
          <w:p>
            <w:pPr>
              <w:pStyle w:val="TableParagraph"/>
              <w:spacing w:line="219" w:lineRule="exact"/>
              <w:ind w:right="196"/>
              <w:jc w:val="right"/>
              <w:rPr>
                <w:sz w:val="20"/>
              </w:rPr>
            </w:pPr>
            <w:r>
              <w:rPr>
                <w:w w:val="100"/>
                <w:sz w:val="20"/>
              </w:rPr>
              <w:t>3</w:t>
            </w:r>
          </w:p>
        </w:tc>
      </w:tr>
      <w:tr>
        <w:trPr>
          <w:trHeight w:val="480" w:hRule="atLeast"/>
        </w:trPr>
        <w:tc>
          <w:tcPr>
            <w:tcW w:w="1282" w:type="dxa"/>
          </w:tcPr>
          <w:p>
            <w:pPr>
              <w:pStyle w:val="TableParagraph"/>
              <w:ind w:right="172"/>
              <w:jc w:val="right"/>
              <w:rPr>
                <w:sz w:val="20"/>
              </w:rPr>
            </w:pPr>
            <w:r>
              <w:rPr>
                <w:sz w:val="20"/>
              </w:rPr>
              <w:t>THAN 606</w:t>
            </w:r>
          </w:p>
        </w:tc>
        <w:tc>
          <w:tcPr>
            <w:tcW w:w="2956" w:type="dxa"/>
          </w:tcPr>
          <w:p>
            <w:pPr>
              <w:pStyle w:val="TableParagraph"/>
              <w:ind w:left="175"/>
              <w:rPr>
                <w:sz w:val="20"/>
              </w:rPr>
            </w:pPr>
            <w:r>
              <w:rPr>
                <w:sz w:val="20"/>
              </w:rPr>
              <w:t>CARING FOR THE</w:t>
            </w:r>
          </w:p>
          <w:p>
            <w:pPr>
              <w:pStyle w:val="TableParagraph"/>
              <w:spacing w:line="219" w:lineRule="exact" w:before="10"/>
              <w:ind w:left="175"/>
              <w:rPr>
                <w:sz w:val="20"/>
              </w:rPr>
            </w:pPr>
            <w:r>
              <w:rPr>
                <w:sz w:val="20"/>
              </w:rPr>
              <w:t>BEREAVED</w:t>
            </w:r>
          </w:p>
        </w:tc>
        <w:tc>
          <w:tcPr>
            <w:tcW w:w="711" w:type="dxa"/>
          </w:tcPr>
          <w:p>
            <w:pPr>
              <w:pStyle w:val="TableParagraph"/>
              <w:ind w:right="196"/>
              <w:jc w:val="right"/>
              <w:rPr>
                <w:sz w:val="20"/>
              </w:rPr>
            </w:pPr>
            <w:r>
              <w:rPr>
                <w:w w:val="100"/>
                <w:sz w:val="20"/>
              </w:rPr>
              <w:t>3</w:t>
            </w:r>
          </w:p>
        </w:tc>
      </w:tr>
      <w:tr>
        <w:trPr>
          <w:trHeight w:val="231" w:hRule="atLeast"/>
        </w:trPr>
        <w:tc>
          <w:tcPr>
            <w:tcW w:w="1282" w:type="dxa"/>
          </w:tcPr>
          <w:p>
            <w:pPr>
              <w:pStyle w:val="TableParagraph"/>
              <w:spacing w:line="210" w:lineRule="exact"/>
              <w:ind w:right="172"/>
              <w:jc w:val="right"/>
              <w:rPr>
                <w:sz w:val="20"/>
              </w:rPr>
            </w:pPr>
            <w:r>
              <w:rPr>
                <w:sz w:val="20"/>
              </w:rPr>
              <w:t>THAN 609</w:t>
            </w:r>
          </w:p>
        </w:tc>
        <w:tc>
          <w:tcPr>
            <w:tcW w:w="2956" w:type="dxa"/>
          </w:tcPr>
          <w:p>
            <w:pPr>
              <w:pStyle w:val="TableParagraph"/>
              <w:spacing w:line="210" w:lineRule="exact"/>
              <w:ind w:left="175"/>
              <w:rPr>
                <w:sz w:val="20"/>
              </w:rPr>
            </w:pPr>
            <w:r>
              <w:rPr>
                <w:sz w:val="20"/>
              </w:rPr>
              <w:t>PERSPECTIVES IN AGING</w:t>
            </w:r>
          </w:p>
        </w:tc>
        <w:tc>
          <w:tcPr>
            <w:tcW w:w="711" w:type="dxa"/>
          </w:tcPr>
          <w:p>
            <w:pPr>
              <w:pStyle w:val="TableParagraph"/>
              <w:spacing w:line="210" w:lineRule="exact"/>
              <w:ind w:right="196"/>
              <w:jc w:val="right"/>
              <w:rPr>
                <w:sz w:val="20"/>
              </w:rPr>
            </w:pPr>
            <w:r>
              <w:rPr>
                <w:w w:val="100"/>
                <w:sz w:val="20"/>
              </w:rPr>
              <w:t>3</w:t>
            </w:r>
          </w:p>
        </w:tc>
      </w:tr>
    </w:tbl>
    <w:p>
      <w:pPr>
        <w:pStyle w:val="Heading5"/>
        <w:spacing w:before="182" w:after="16"/>
      </w:pPr>
      <w:r>
        <w:rPr/>
        <w:t>Required Core</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1"/>
        <w:gridCol w:w="2700"/>
        <w:gridCol w:w="938"/>
      </w:tblGrid>
      <w:tr>
        <w:trPr>
          <w:trHeight w:val="1191" w:hRule="atLeast"/>
        </w:trPr>
        <w:tc>
          <w:tcPr>
            <w:tcW w:w="1311" w:type="dxa"/>
          </w:tcPr>
          <w:p>
            <w:pPr>
              <w:pStyle w:val="TableParagraph"/>
              <w:spacing w:line="223" w:lineRule="exact" w:before="0"/>
              <w:ind w:left="137" w:right="181"/>
              <w:jc w:val="center"/>
              <w:rPr>
                <w:sz w:val="20"/>
              </w:rPr>
            </w:pPr>
            <w:r>
              <w:rPr>
                <w:sz w:val="20"/>
              </w:rPr>
              <w:t>PALC 616</w:t>
            </w:r>
          </w:p>
        </w:tc>
        <w:tc>
          <w:tcPr>
            <w:tcW w:w="2700" w:type="dxa"/>
          </w:tcPr>
          <w:p>
            <w:pPr>
              <w:pStyle w:val="TableParagraph"/>
              <w:spacing w:line="249" w:lineRule="auto" w:before="0"/>
              <w:ind w:left="194" w:right="946"/>
              <w:rPr>
                <w:sz w:val="20"/>
              </w:rPr>
            </w:pPr>
            <w:r>
              <w:rPr>
                <w:sz w:val="20"/>
              </w:rPr>
              <w:t>RESEARCH AND OUTCOMES ASSESSMENT IN HOSPICE AND</w:t>
            </w:r>
          </w:p>
          <w:p>
            <w:pPr>
              <w:pStyle w:val="TableParagraph"/>
              <w:spacing w:line="219" w:lineRule="exact" w:before="0"/>
              <w:ind w:left="194"/>
              <w:rPr>
                <w:sz w:val="20"/>
              </w:rPr>
            </w:pPr>
            <w:r>
              <w:rPr>
                <w:sz w:val="20"/>
              </w:rPr>
              <w:t>PALLIATIVE CARE</w:t>
            </w:r>
          </w:p>
        </w:tc>
        <w:tc>
          <w:tcPr>
            <w:tcW w:w="938" w:type="dxa"/>
          </w:tcPr>
          <w:p>
            <w:pPr>
              <w:pStyle w:val="TableParagraph"/>
              <w:spacing w:line="223" w:lineRule="exact" w:before="0"/>
              <w:ind w:right="196"/>
              <w:jc w:val="right"/>
              <w:rPr>
                <w:sz w:val="20"/>
              </w:rPr>
            </w:pPr>
            <w:r>
              <w:rPr>
                <w:w w:val="100"/>
                <w:sz w:val="20"/>
              </w:rPr>
              <w:t>3</w:t>
            </w:r>
          </w:p>
        </w:tc>
      </w:tr>
      <w:tr>
        <w:trPr>
          <w:trHeight w:val="711" w:hRule="atLeast"/>
        </w:trPr>
        <w:tc>
          <w:tcPr>
            <w:tcW w:w="1311" w:type="dxa"/>
          </w:tcPr>
          <w:p>
            <w:pPr>
              <w:pStyle w:val="TableParagraph"/>
              <w:ind w:left="182" w:right="177"/>
              <w:jc w:val="center"/>
              <w:rPr>
                <w:sz w:val="20"/>
              </w:rPr>
            </w:pPr>
            <w:r>
              <w:rPr>
                <w:sz w:val="20"/>
              </w:rPr>
              <w:t>PALC 617</w:t>
            </w:r>
          </w:p>
        </w:tc>
        <w:tc>
          <w:tcPr>
            <w:tcW w:w="2700" w:type="dxa"/>
          </w:tcPr>
          <w:p>
            <w:pPr>
              <w:pStyle w:val="TableParagraph"/>
              <w:spacing w:line="249" w:lineRule="auto"/>
              <w:ind w:left="194" w:right="138"/>
              <w:rPr>
                <w:sz w:val="20"/>
              </w:rPr>
            </w:pPr>
            <w:r>
              <w:rPr>
                <w:sz w:val="20"/>
              </w:rPr>
              <w:t>ADVANCED TEAM- BASED PALLIATIVE</w:t>
            </w:r>
          </w:p>
          <w:p>
            <w:pPr>
              <w:pStyle w:val="TableParagraph"/>
              <w:spacing w:line="210" w:lineRule="exact" w:before="2"/>
              <w:ind w:left="194"/>
              <w:rPr>
                <w:sz w:val="20"/>
              </w:rPr>
            </w:pPr>
            <w:r>
              <w:rPr>
                <w:sz w:val="20"/>
              </w:rPr>
              <w:t>CARE</w:t>
            </w:r>
          </w:p>
        </w:tc>
        <w:tc>
          <w:tcPr>
            <w:tcW w:w="938" w:type="dxa"/>
          </w:tcPr>
          <w:p>
            <w:pPr>
              <w:pStyle w:val="TableParagraph"/>
              <w:ind w:right="196"/>
              <w:jc w:val="right"/>
              <w:rPr>
                <w:sz w:val="20"/>
              </w:rPr>
            </w:pPr>
            <w:r>
              <w:rPr>
                <w:w w:val="100"/>
                <w:sz w:val="20"/>
              </w:rPr>
              <w:t>3</w:t>
            </w:r>
          </w:p>
        </w:tc>
      </w:tr>
    </w:tbl>
    <w:p>
      <w:pPr>
        <w:spacing w:after="0"/>
        <w:jc w:val="right"/>
        <w:rPr>
          <w:sz w:val="20"/>
        </w:rPr>
        <w:sectPr>
          <w:pgSz w:w="12240" w:h="15840"/>
          <w:pgMar w:header="746" w:footer="0" w:top="1320" w:bottom="280" w:left="880" w:right="300"/>
        </w:sectPr>
      </w:pPr>
    </w:p>
    <w:p>
      <w:pPr>
        <w:pStyle w:val="Heading3"/>
      </w:pPr>
      <w:bookmarkStart w:name="Pathologists’ Assistant Program" w:id="73"/>
      <w:bookmarkEnd w:id="73"/>
      <w:r>
        <w:rPr/>
      </w:r>
      <w:bookmarkStart w:name="_bookmark36" w:id="74"/>
      <w:bookmarkEnd w:id="74"/>
      <w:r>
        <w:rPr/>
      </w:r>
      <w:r>
        <w:rPr/>
        <w:t>Pathologists’ Assistant Program</w:t>
      </w:r>
    </w:p>
    <w:p>
      <w:pPr>
        <w:pStyle w:val="BodyText"/>
        <w:spacing w:line="249" w:lineRule="auto" w:before="190"/>
        <w:ind w:right="45"/>
      </w:pPr>
      <w:hyperlink r:id="rId73">
        <w:r>
          <w:rPr>
            <w:color w:val="0000FF"/>
            <w:u w:val="single" w:color="0000FF"/>
          </w:rPr>
          <w:t>http://www.medschool.umaryland.edu/pathology/Pathologi</w:t>
        </w:r>
      </w:hyperlink>
      <w:r>
        <w:rPr>
          <w:color w:val="0000FF"/>
        </w:rPr>
        <w:t> </w:t>
      </w:r>
      <w:hyperlink r:id="rId73">
        <w:r>
          <w:rPr>
            <w:color w:val="0000FF"/>
            <w:u w:val="single" w:color="0000FF"/>
          </w:rPr>
          <w:t>sts’s-Assistant-Program/</w:t>
        </w:r>
      </w:hyperlink>
    </w:p>
    <w:p>
      <w:pPr>
        <w:pStyle w:val="Heading6"/>
        <w:spacing w:before="184"/>
      </w:pPr>
      <w:r>
        <w:rPr/>
        <w:t>Degree Offered</w:t>
      </w:r>
    </w:p>
    <w:p>
      <w:pPr>
        <w:pStyle w:val="BodyText"/>
        <w:spacing w:before="188"/>
      </w:pPr>
      <w:r>
        <w:rPr/>
        <w:t>MS</w:t>
      </w:r>
    </w:p>
    <w:p>
      <w:pPr>
        <w:pStyle w:val="Heading6"/>
        <w:spacing w:before="192"/>
      </w:pPr>
      <w:r>
        <w:rPr/>
        <w:t>Program Description</w:t>
      </w:r>
    </w:p>
    <w:p>
      <w:pPr>
        <w:pStyle w:val="BodyText"/>
        <w:spacing w:line="249" w:lineRule="auto" w:before="187"/>
        <w:ind w:right="35"/>
      </w:pPr>
      <w:r>
        <w:rPr/>
        <w:t>The program aims to prepare students for a career as a Pathologists’ assistant in a clinical laboratory environment. The entire curriculum prepares students for the practice of the profession. The Pathologists’ assistant is an allied health professional, qualified by academic and practical training to provide service in anatomic pathology under the direction and supervision of an anatomic Pathologists’.</w:t>
      </w:r>
    </w:p>
    <w:p>
      <w:pPr>
        <w:pStyle w:val="BodyText"/>
        <w:spacing w:line="249" w:lineRule="auto" w:before="6"/>
        <w:ind w:right="834"/>
        <w:jc w:val="both"/>
      </w:pPr>
      <w:r>
        <w:rPr/>
        <w:t>The high degree of responsibility assumed by the Pathologists’ assistant requires skills and abilities including, but not limited to, the following:</w:t>
      </w:r>
    </w:p>
    <w:p>
      <w:pPr>
        <w:pStyle w:val="ListParagraph"/>
        <w:numPr>
          <w:ilvl w:val="1"/>
          <w:numId w:val="14"/>
        </w:numPr>
        <w:tabs>
          <w:tab w:pos="633" w:val="left" w:leader="none"/>
        </w:tabs>
        <w:spacing w:line="249" w:lineRule="auto" w:before="184" w:after="0"/>
        <w:ind w:left="632" w:right="38" w:hanging="216"/>
        <w:jc w:val="left"/>
        <w:rPr>
          <w:sz w:val="20"/>
        </w:rPr>
      </w:pPr>
      <w:r>
        <w:rPr>
          <w:b/>
          <w:sz w:val="20"/>
        </w:rPr>
        <w:t>Surgical Pathology: </w:t>
      </w:r>
      <w:r>
        <w:rPr>
          <w:sz w:val="20"/>
        </w:rPr>
        <w:t>The Pathologists’ assistant performs surgical specimen dissection by identifying the anatomical structures </w:t>
      </w:r>
      <w:r>
        <w:rPr>
          <w:spacing w:val="-3"/>
          <w:sz w:val="20"/>
        </w:rPr>
        <w:t>within </w:t>
      </w:r>
      <w:r>
        <w:rPr>
          <w:sz w:val="20"/>
        </w:rPr>
        <w:t>the specimen and assessing the nature and extent </w:t>
      </w:r>
      <w:r>
        <w:rPr>
          <w:spacing w:val="-3"/>
          <w:sz w:val="20"/>
        </w:rPr>
        <w:t>of </w:t>
      </w:r>
      <w:r>
        <w:rPr>
          <w:sz w:val="20"/>
        </w:rPr>
        <w:t>the pathological process. The Pathologists’ assistant also assures appropriate specimen accessioning, obtains and assesses pertinent clinical information and ancillary studies, describes the gross anatomic </w:t>
      </w:r>
      <w:r>
        <w:rPr>
          <w:spacing w:val="-3"/>
          <w:sz w:val="20"/>
        </w:rPr>
        <w:t>pathology, </w:t>
      </w:r>
      <w:r>
        <w:rPr>
          <w:sz w:val="20"/>
        </w:rPr>
        <w:t>and selects tissue to </w:t>
      </w:r>
      <w:r>
        <w:rPr>
          <w:spacing w:val="-3"/>
          <w:sz w:val="20"/>
        </w:rPr>
        <w:t>be </w:t>
      </w:r>
      <w:r>
        <w:rPr>
          <w:sz w:val="20"/>
        </w:rPr>
        <w:t>submitted </w:t>
      </w:r>
      <w:r>
        <w:rPr>
          <w:spacing w:val="-4"/>
          <w:sz w:val="20"/>
        </w:rPr>
        <w:t>for </w:t>
      </w:r>
      <w:r>
        <w:rPr>
          <w:sz w:val="20"/>
        </w:rPr>
        <w:t>further histologic processing and microscopic examination </w:t>
      </w:r>
      <w:r>
        <w:rPr>
          <w:spacing w:val="-3"/>
          <w:sz w:val="20"/>
        </w:rPr>
        <w:t>by </w:t>
      </w:r>
      <w:r>
        <w:rPr>
          <w:sz w:val="20"/>
        </w:rPr>
        <w:t>the Pathologists’. The Pathologists’ assistant also submits specimens </w:t>
      </w:r>
      <w:r>
        <w:rPr>
          <w:spacing w:val="-4"/>
          <w:sz w:val="20"/>
        </w:rPr>
        <w:t>for </w:t>
      </w:r>
      <w:r>
        <w:rPr>
          <w:sz w:val="20"/>
        </w:rPr>
        <w:t>additional analytic procedures, </w:t>
      </w:r>
      <w:r>
        <w:rPr>
          <w:spacing w:val="-3"/>
          <w:sz w:val="20"/>
        </w:rPr>
        <w:t>such </w:t>
      </w:r>
      <w:r>
        <w:rPr>
          <w:sz w:val="20"/>
        </w:rPr>
        <w:t>as immunohistochemical staining, flow cytometry, image analysis, microbiological cultures, genetic analysis, chemical analysis, and toxicology, and assists in the photography of pathological specimens as indicated </w:t>
      </w:r>
      <w:r>
        <w:rPr>
          <w:spacing w:val="-3"/>
          <w:sz w:val="20"/>
        </w:rPr>
        <w:t>or</w:t>
      </w:r>
      <w:r>
        <w:rPr>
          <w:sz w:val="20"/>
        </w:rPr>
        <w:t> requested.</w:t>
      </w:r>
    </w:p>
    <w:p>
      <w:pPr>
        <w:pStyle w:val="ListParagraph"/>
        <w:numPr>
          <w:ilvl w:val="1"/>
          <w:numId w:val="14"/>
        </w:numPr>
        <w:tabs>
          <w:tab w:pos="632" w:val="left" w:leader="none"/>
        </w:tabs>
        <w:spacing w:line="249" w:lineRule="auto" w:before="190" w:after="0"/>
        <w:ind w:left="631" w:right="49" w:hanging="216"/>
        <w:jc w:val="left"/>
        <w:rPr>
          <w:sz w:val="20"/>
        </w:rPr>
      </w:pPr>
      <w:r>
        <w:rPr>
          <w:b/>
          <w:sz w:val="20"/>
        </w:rPr>
        <w:t>Autopsy Pathology: </w:t>
      </w:r>
      <w:r>
        <w:rPr>
          <w:sz w:val="20"/>
        </w:rPr>
        <w:t>The Pathologists’ assistant may </w:t>
      </w:r>
      <w:r>
        <w:rPr>
          <w:spacing w:val="-3"/>
          <w:sz w:val="20"/>
        </w:rPr>
        <w:t>be </w:t>
      </w:r>
      <w:r>
        <w:rPr>
          <w:sz w:val="20"/>
        </w:rPr>
        <w:t>involved in the performance </w:t>
      </w:r>
      <w:r>
        <w:rPr>
          <w:spacing w:val="-3"/>
          <w:sz w:val="20"/>
        </w:rPr>
        <w:t>of </w:t>
      </w:r>
      <w:r>
        <w:rPr>
          <w:sz w:val="20"/>
        </w:rPr>
        <w:t>postmortem examination, including the assessment </w:t>
      </w:r>
      <w:r>
        <w:rPr>
          <w:spacing w:val="-3"/>
          <w:sz w:val="20"/>
        </w:rPr>
        <w:t>of </w:t>
      </w:r>
      <w:r>
        <w:rPr>
          <w:sz w:val="20"/>
        </w:rPr>
        <w:t>death certificates and obtaining proper legal authorization, and the reviewing </w:t>
      </w:r>
      <w:r>
        <w:rPr>
          <w:spacing w:val="-3"/>
          <w:sz w:val="20"/>
        </w:rPr>
        <w:t>of </w:t>
      </w:r>
      <w:r>
        <w:rPr>
          <w:sz w:val="20"/>
        </w:rPr>
        <w:t>the patient’s medical record and pertinent clinical</w:t>
      </w:r>
      <w:r>
        <w:rPr>
          <w:spacing w:val="-3"/>
          <w:sz w:val="20"/>
        </w:rPr>
        <w:t> </w:t>
      </w:r>
      <w:r>
        <w:rPr>
          <w:sz w:val="20"/>
        </w:rPr>
        <w:t>data.</w:t>
      </w:r>
    </w:p>
    <w:p>
      <w:pPr>
        <w:pStyle w:val="BodyText"/>
        <w:spacing w:line="249" w:lineRule="auto" w:before="187"/>
        <w:ind w:left="199" w:right="125"/>
      </w:pPr>
      <w:r>
        <w:rPr/>
        <w:t>The Pathologists’ assistant may perform evisceration, organ- block dissection per the departmental protocol, and triage autopsy specimens for special procedures and techniques as required. The Pathologists’ assistant may further select tissue for histologic processing and special studies, obtain specimens for biological and toxicologic analysis, assist in photography of gross specimens, and</w:t>
      </w:r>
    </w:p>
    <w:p>
      <w:pPr>
        <w:pStyle w:val="BodyText"/>
        <w:spacing w:line="249" w:lineRule="auto" w:before="96"/>
        <w:ind w:left="199" w:right="810"/>
      </w:pPr>
      <w:r>
        <w:rPr/>
        <w:br w:type="column"/>
      </w:r>
      <w:r>
        <w:rPr/>
        <w:t>communicate with clinicians regarding autopsy findings. The Pathologists’ assistant also may be assigned to teaching, administrative, supervisory, and budgetary functions in anatomic pathology, depending on how the position is structured.</w:t>
      </w:r>
    </w:p>
    <w:p>
      <w:pPr>
        <w:pStyle w:val="BodyText"/>
        <w:spacing w:line="249" w:lineRule="auto" w:before="181"/>
        <w:ind w:left="199" w:right="671"/>
      </w:pPr>
      <w:r>
        <w:rPr/>
        <w:t>Pathologists’ assistants are employed in a variety of settings, which include community and regional hospitals, university medical centers, private pathology laboratories, and medical examiner offices. The ability to relate to people, a capacity for calm and reasoned judgment, and a demonstration of commitment to quality patient care are essential for Pathologists’ assistants. They must demonstrate ethical and moral attitudes and principles that are essential for gaining and maintaining the trust of professional associates, the support of the community, and the confidence of the patient and family. Respect for the patient and confidentiality of the patient’s records and/or diagnoses must be maintained.</w:t>
      </w:r>
    </w:p>
    <w:p>
      <w:pPr>
        <w:pStyle w:val="BodyText"/>
        <w:spacing w:line="249" w:lineRule="auto" w:before="192"/>
        <w:ind w:left="199" w:right="626"/>
      </w:pPr>
      <w:r>
        <w:rPr/>
        <w:t>The Pathologists’ Assistant Program track is full time; no part-time option is available. The program calendar begins in July and ends in </w:t>
      </w:r>
      <w:r>
        <w:rPr>
          <w:spacing w:val="-4"/>
        </w:rPr>
        <w:t>May. </w:t>
      </w:r>
      <w:r>
        <w:rPr/>
        <w:t>The first </w:t>
      </w:r>
      <w:r>
        <w:rPr>
          <w:spacing w:val="-4"/>
        </w:rPr>
        <w:t>year </w:t>
      </w:r>
      <w:r>
        <w:rPr>
          <w:spacing w:val="-3"/>
        </w:rPr>
        <w:t>of </w:t>
      </w:r>
      <w:r>
        <w:rPr/>
        <w:t>the program is largely concentrated </w:t>
      </w:r>
      <w:r>
        <w:rPr>
          <w:spacing w:val="-3"/>
        </w:rPr>
        <w:t>on </w:t>
      </w:r>
      <w:r>
        <w:rPr/>
        <w:t>didactic coursework. During the second </w:t>
      </w:r>
      <w:r>
        <w:rPr>
          <w:spacing w:val="-4"/>
        </w:rPr>
        <w:t>year  </w:t>
      </w:r>
      <w:r>
        <w:rPr>
          <w:spacing w:val="-3"/>
        </w:rPr>
        <w:t>of </w:t>
      </w:r>
      <w:r>
        <w:rPr/>
        <w:t>the program, Pathologists’ assistant students learn essential technical skills through affiliate clinical laboratory rotations. Program affiliates include, but are not limited to, the University of Maryland Medical Center, Johns Hopkins Hospital, and Maryland’s </w:t>
      </w:r>
      <w:r>
        <w:rPr>
          <w:spacing w:val="-3"/>
        </w:rPr>
        <w:t>Office </w:t>
      </w:r>
      <w:r>
        <w:rPr/>
        <w:t>of the Chief Medical</w:t>
      </w:r>
      <w:r>
        <w:rPr>
          <w:spacing w:val="-5"/>
        </w:rPr>
        <w:t> </w:t>
      </w:r>
      <w:r>
        <w:rPr/>
        <w:t>Examiner.</w:t>
      </w:r>
    </w:p>
    <w:p>
      <w:pPr>
        <w:pStyle w:val="BodyText"/>
        <w:spacing w:line="249" w:lineRule="auto"/>
        <w:ind w:left="199" w:right="1110"/>
      </w:pPr>
      <w:r>
        <w:rPr/>
        <w:t>The University of Maryland, Baltimore Pathologists’ Assistant Program is accredited by:</w:t>
      </w:r>
    </w:p>
    <w:p>
      <w:pPr>
        <w:pStyle w:val="Heading4"/>
        <w:spacing w:line="228" w:lineRule="auto" w:before="182"/>
        <w:ind w:left="199" w:right="903"/>
      </w:pPr>
      <w:r>
        <w:rPr/>
        <w:t>National Accrediting Agency for Clinical Laboratory Sciences (NAACLS)</w:t>
      </w:r>
    </w:p>
    <w:p>
      <w:pPr>
        <w:pStyle w:val="BodyText"/>
        <w:spacing w:before="8"/>
        <w:ind w:left="199"/>
      </w:pPr>
      <w:r>
        <w:rPr/>
        <w:t>5600 N. River Road, Suite 720</w:t>
      </w:r>
    </w:p>
    <w:p>
      <w:pPr>
        <w:pStyle w:val="BodyText"/>
        <w:spacing w:before="10"/>
        <w:ind w:left="199"/>
      </w:pPr>
      <w:r>
        <w:rPr/>
        <w:t>Rosemont, IL 60018</w:t>
      </w:r>
    </w:p>
    <w:p>
      <w:pPr>
        <w:pStyle w:val="BodyText"/>
        <w:spacing w:before="10"/>
        <w:ind w:left="199"/>
      </w:pPr>
      <w:r>
        <w:rPr/>
        <w:t>773-714-8880; 773-714-8886 (fax)</w:t>
      </w:r>
    </w:p>
    <w:p>
      <w:pPr>
        <w:pStyle w:val="BodyText"/>
        <w:spacing w:before="9"/>
        <w:ind w:left="199"/>
      </w:pPr>
      <w:r>
        <w:rPr/>
        <w:t>https:</w:t>
      </w:r>
      <w:hyperlink r:id="rId74">
        <w:r>
          <w:rPr/>
          <w:t>//w</w:t>
        </w:r>
      </w:hyperlink>
      <w:r>
        <w:rPr/>
        <w:t>ww</w:t>
      </w:r>
      <w:hyperlink r:id="rId74">
        <w:r>
          <w:rPr/>
          <w:t>.naacls.org/</w:t>
        </w:r>
      </w:hyperlink>
    </w:p>
    <w:p>
      <w:pPr>
        <w:pStyle w:val="Heading6"/>
        <w:spacing w:before="188"/>
        <w:ind w:left="199"/>
      </w:pPr>
      <w:r>
        <w:rPr/>
        <w:t>Program Admissions</w:t>
      </w:r>
    </w:p>
    <w:p>
      <w:pPr>
        <w:pStyle w:val="BodyText"/>
        <w:spacing w:line="249" w:lineRule="auto" w:before="192"/>
        <w:ind w:left="199" w:right="683"/>
      </w:pPr>
      <w:r>
        <w:rPr/>
        <w:t>Completed application packets must be received by Feb. 1 to be considered for admission in July of the same year.</w:t>
      </w:r>
    </w:p>
    <w:p>
      <w:pPr>
        <w:pStyle w:val="BodyText"/>
        <w:spacing w:line="249" w:lineRule="auto" w:before="2"/>
        <w:ind w:left="199" w:right="761"/>
      </w:pPr>
      <w:r>
        <w:rPr/>
        <w:t>All completed application packets, international and domestic, are reviewed by the Program Admissions Committee and receive equal consideration. From these completed applications, the committee invites selected candidates to participate in an interview. These students meet with select faculty, tour the facilities, and are given the opportunity to discuss their career goals. No admissions are deferred for subsequent years. If a student who is accepted into the program declines admission, but</w:t>
      </w:r>
    </w:p>
    <w:p>
      <w:pPr>
        <w:spacing w:after="0" w:line="249" w:lineRule="auto"/>
        <w:sectPr>
          <w:pgSz w:w="12240" w:h="15840"/>
          <w:pgMar w:header="746" w:footer="0" w:top="1320" w:bottom="280" w:left="880" w:right="300"/>
          <w:cols w:num="2" w:equalWidth="0">
            <w:col w:w="4999" w:space="488"/>
            <w:col w:w="5573"/>
          </w:cols>
        </w:sectPr>
      </w:pPr>
    </w:p>
    <w:p>
      <w:pPr>
        <w:pStyle w:val="BodyText"/>
        <w:spacing w:line="249" w:lineRule="auto" w:before="100"/>
        <w:ind w:right="114"/>
      </w:pPr>
      <w:r>
        <w:rPr/>
        <w:t>desires admission the following year, the application materials (transcripts, letters of recommendation, Graduation Record Examinations scores, etc.) will be held by the department; however, the student must reapply.</w:t>
      </w:r>
    </w:p>
    <w:p>
      <w:pPr>
        <w:pStyle w:val="BodyText"/>
        <w:spacing w:line="249" w:lineRule="auto" w:before="180"/>
        <w:ind w:right="71"/>
      </w:pPr>
      <w:r>
        <w:rPr/>
        <w:t>The program adheres to the minimum standards and requirements </w:t>
      </w:r>
      <w:r>
        <w:rPr>
          <w:spacing w:val="-4"/>
        </w:rPr>
        <w:t>for </w:t>
      </w:r>
      <w:r>
        <w:rPr/>
        <w:t>admission to graduate programs at the University of Maryland, Baltimore, outlined in this catalog, including the requirement </w:t>
      </w:r>
      <w:r>
        <w:rPr>
          <w:spacing w:val="-3"/>
        </w:rPr>
        <w:t>of </w:t>
      </w:r>
      <w:r>
        <w:rPr/>
        <w:t>an undergraduate grade-point average (GPA) </w:t>
      </w:r>
      <w:r>
        <w:rPr>
          <w:spacing w:val="-3"/>
        </w:rPr>
        <w:t>of </w:t>
      </w:r>
      <w:r>
        <w:rPr/>
        <w:t>at least 3.0 </w:t>
      </w:r>
      <w:r>
        <w:rPr>
          <w:spacing w:val="-5"/>
        </w:rPr>
        <w:t>on </w:t>
      </w:r>
      <w:r>
        <w:rPr/>
        <w:t>a scale </w:t>
      </w:r>
      <w:r>
        <w:rPr>
          <w:spacing w:val="-3"/>
        </w:rPr>
        <w:t>of </w:t>
      </w:r>
      <w:r>
        <w:rPr/>
        <w:t>4.0. The program prefers grades </w:t>
      </w:r>
      <w:r>
        <w:rPr>
          <w:spacing w:val="-3"/>
        </w:rPr>
        <w:t>of </w:t>
      </w:r>
      <w:r>
        <w:rPr/>
        <w:t>A </w:t>
      </w:r>
      <w:r>
        <w:rPr>
          <w:spacing w:val="-3"/>
        </w:rPr>
        <w:t>or </w:t>
      </w:r>
      <w:r>
        <w:rPr/>
        <w:t>B in all science courses. Applicants must take the general aptitude GRE. Preference is </w:t>
      </w:r>
      <w:r>
        <w:rPr>
          <w:spacing w:val="-3"/>
        </w:rPr>
        <w:t>given </w:t>
      </w:r>
      <w:r>
        <w:rPr/>
        <w:t>to students with verbal and quantitative scores above the </w:t>
      </w:r>
      <w:r>
        <w:rPr>
          <w:spacing w:val="-3"/>
        </w:rPr>
        <w:t>50th </w:t>
      </w:r>
      <w:r>
        <w:rPr/>
        <w:t>percentile and greater than </w:t>
      </w:r>
      <w:r>
        <w:rPr>
          <w:spacing w:val="-5"/>
        </w:rPr>
        <w:t>or </w:t>
      </w:r>
      <w:r>
        <w:rPr/>
        <w:t>equal to 4.5 in the analytical writing scoring</w:t>
      </w:r>
      <w:r>
        <w:rPr>
          <w:spacing w:val="-6"/>
        </w:rPr>
        <w:t> </w:t>
      </w:r>
      <w:r>
        <w:rPr/>
        <w:t>section.</w:t>
      </w:r>
    </w:p>
    <w:p>
      <w:pPr>
        <w:pStyle w:val="BodyText"/>
        <w:spacing w:line="249" w:lineRule="auto" w:before="7"/>
        <w:ind w:right="24"/>
      </w:pPr>
      <w:r>
        <w:rPr/>
        <w:t>International applicants who meet the application, coursework, grade, and GRE requirements previously stated, and who hold degrees from foreign colleges or universities where English is not the primary language, must pass the Test of English as a Foreign Language with a score above 100 on the internet-based test as proof of their proficiency in English.</w:t>
      </w:r>
    </w:p>
    <w:p>
      <w:pPr>
        <w:pStyle w:val="BodyText"/>
        <w:spacing w:line="249" w:lineRule="auto" w:before="188"/>
      </w:pPr>
      <w:r>
        <w:rPr/>
        <w:t>Applicants are required to have successfully completed a minimum of one semester of each of our prerequisites, as follows: biology, general chemistry, organic chemistry or biochemistry, microbiology, mathematics, and English composition.</w:t>
      </w:r>
    </w:p>
    <w:p>
      <w:pPr>
        <w:pStyle w:val="BodyText"/>
        <w:spacing w:line="249" w:lineRule="auto" w:before="181"/>
        <w:ind w:right="172"/>
        <w:jc w:val="both"/>
      </w:pPr>
      <w:r>
        <w:rPr/>
        <w:t>Applicants are encouraged to use the application essay to describe their interest and experience in the Pathologists’ assistant field, rather than contemplated research projects.</w:t>
      </w:r>
    </w:p>
    <w:p>
      <w:pPr>
        <w:pStyle w:val="Heading6"/>
        <w:spacing w:before="185"/>
      </w:pPr>
      <w:r>
        <w:rPr/>
        <w:t>Degree Requirements</w:t>
      </w:r>
    </w:p>
    <w:p>
      <w:pPr>
        <w:pStyle w:val="BodyText"/>
        <w:spacing w:line="249" w:lineRule="auto" w:before="187"/>
        <w:ind w:right="36"/>
      </w:pPr>
      <w:r>
        <w:rPr/>
        <w:t>The required curriculum includes courses in general pathology, systemic pathology, clinical pathology, surgical pathology, autopsy pathology, lab management, physiology, and structure and development (anatomy training). The minimum number of credits required for the master’s degree in the Pathologists’ Assistant Program track is 38. The program is structured to comply with University standards and standards from the National Accrediting Agency for Clinical Laboratory Sciences (NAACLS). Students must maintain a minimum 3.0 cumulative GPA for the duration of the program. Students whose cumulative GPA falls below 3.0 are placed on academic probation. They will not be permitted to graduate without remediation, and they face possible dismissal from the University.</w:t>
      </w:r>
    </w:p>
    <w:p>
      <w:pPr>
        <w:pStyle w:val="BodyText"/>
        <w:spacing w:line="249" w:lineRule="auto" w:before="194"/>
        <w:ind w:right="146"/>
      </w:pPr>
      <w:r>
        <w:rPr/>
        <w:t>The MANA 601 course, Structure and Development (Anatomy, Histology, and Embryology), is offered during the second semester of enrollment and is a benchmark</w:t>
      </w:r>
    </w:p>
    <w:p>
      <w:pPr>
        <w:pStyle w:val="BodyText"/>
        <w:spacing w:line="249" w:lineRule="auto" w:before="95"/>
        <w:ind w:right="627"/>
      </w:pPr>
      <w:r>
        <w:rPr/>
        <w:br w:type="column"/>
      </w:r>
      <w:r>
        <w:rPr/>
        <w:t>course. MANA 601 comprises a concentrated learning experience in human anatomy, histology, and embryology, which are essential for entry-level competency as a Pathologists’ assistant. This course also provides a foundation for the remainder of the two-year curriculum. Therefore, students must demonstrate a mastery of these subject areas by achieving a grade of C or better in MANA 601. Failure to do so will result in academic dismissal.</w:t>
      </w:r>
    </w:p>
    <w:p>
      <w:pPr>
        <w:pStyle w:val="BodyText"/>
        <w:spacing w:line="249" w:lineRule="auto" w:before="184"/>
        <w:ind w:right="604"/>
      </w:pPr>
      <w:r>
        <w:rPr/>
        <w:t>Beginning with the summer semester between the first and second years, Pathologists’ assistant students fulfill clinical laboratory rotation requirements. Each rotation provides ample time to familiarize students with the duties and responsibilities of a Pathologists’ assistant for each particular institution and training site.</w:t>
      </w:r>
    </w:p>
    <w:p>
      <w:pPr>
        <w:pStyle w:val="BodyText"/>
        <w:spacing w:line="249" w:lineRule="auto" w:before="187"/>
        <w:ind w:right="609"/>
      </w:pPr>
      <w:r>
        <w:rPr/>
        <w:t>Completion </w:t>
      </w:r>
      <w:r>
        <w:rPr>
          <w:spacing w:val="-3"/>
        </w:rPr>
        <w:t>of </w:t>
      </w:r>
      <w:r>
        <w:rPr/>
        <w:t>the Pathologists’ Assistant Program  requires 22 consecutive months </w:t>
      </w:r>
      <w:r>
        <w:rPr>
          <w:spacing w:val="-3"/>
        </w:rPr>
        <w:t>of </w:t>
      </w:r>
      <w:r>
        <w:rPr/>
        <w:t>instruction as a full-time student. There is no part-time option</w:t>
      </w:r>
      <w:r>
        <w:rPr>
          <w:spacing w:val="-18"/>
        </w:rPr>
        <w:t> </w:t>
      </w:r>
      <w:r>
        <w:rPr/>
        <w:t>available.</w:t>
      </w:r>
    </w:p>
    <w:p>
      <w:pPr>
        <w:pStyle w:val="Heading5"/>
        <w:spacing w:before="176"/>
      </w:pPr>
      <w:r>
        <w:rPr/>
        <w:t>Required Courses (Credits)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3"/>
        <w:gridCol w:w="2700"/>
        <w:gridCol w:w="932"/>
      </w:tblGrid>
      <w:tr>
        <w:trPr>
          <w:trHeight w:val="951" w:hRule="atLeast"/>
        </w:trPr>
        <w:tc>
          <w:tcPr>
            <w:tcW w:w="1323" w:type="dxa"/>
          </w:tcPr>
          <w:p>
            <w:pPr>
              <w:pStyle w:val="TableParagraph"/>
              <w:spacing w:line="223" w:lineRule="exact" w:before="0"/>
              <w:ind w:left="181" w:right="140"/>
              <w:jc w:val="center"/>
              <w:rPr>
                <w:sz w:val="20"/>
              </w:rPr>
            </w:pPr>
            <w:r>
              <w:rPr>
                <w:sz w:val="20"/>
              </w:rPr>
              <w:t>MANA 601</w:t>
            </w:r>
          </w:p>
        </w:tc>
        <w:tc>
          <w:tcPr>
            <w:tcW w:w="2700" w:type="dxa"/>
          </w:tcPr>
          <w:p>
            <w:pPr>
              <w:pStyle w:val="TableParagraph"/>
              <w:spacing w:line="249" w:lineRule="auto" w:before="0"/>
              <w:ind w:left="158" w:right="138"/>
              <w:rPr>
                <w:sz w:val="20"/>
              </w:rPr>
            </w:pPr>
            <w:r>
              <w:rPr>
                <w:sz w:val="20"/>
              </w:rPr>
              <w:t>STRUCTURE AND DEVELOPMENT (ANATOMY, HISTOLOGY,</w:t>
            </w:r>
          </w:p>
          <w:p>
            <w:pPr>
              <w:pStyle w:val="TableParagraph"/>
              <w:spacing w:line="219" w:lineRule="exact" w:before="0"/>
              <w:ind w:left="158"/>
              <w:rPr>
                <w:sz w:val="20"/>
              </w:rPr>
            </w:pPr>
            <w:r>
              <w:rPr>
                <w:sz w:val="20"/>
              </w:rPr>
              <w:t>AND EMBRYOLOGY)</w:t>
            </w:r>
          </w:p>
        </w:tc>
        <w:tc>
          <w:tcPr>
            <w:tcW w:w="932" w:type="dxa"/>
          </w:tcPr>
          <w:p>
            <w:pPr>
              <w:pStyle w:val="TableParagraph"/>
              <w:spacing w:line="223" w:lineRule="exact" w:before="0"/>
              <w:ind w:right="202"/>
              <w:jc w:val="right"/>
              <w:rPr>
                <w:sz w:val="20"/>
              </w:rPr>
            </w:pPr>
            <w:r>
              <w:rPr>
                <w:w w:val="100"/>
                <w:sz w:val="20"/>
              </w:rPr>
              <w:t>9</w:t>
            </w:r>
          </w:p>
        </w:tc>
      </w:tr>
      <w:tr>
        <w:trPr>
          <w:trHeight w:val="240" w:hRule="atLeast"/>
        </w:trPr>
        <w:tc>
          <w:tcPr>
            <w:tcW w:w="1323" w:type="dxa"/>
          </w:tcPr>
          <w:p>
            <w:pPr>
              <w:pStyle w:val="TableParagraph"/>
              <w:spacing w:line="219" w:lineRule="exact"/>
              <w:ind w:left="93" w:right="140"/>
              <w:jc w:val="center"/>
              <w:rPr>
                <w:sz w:val="20"/>
              </w:rPr>
            </w:pPr>
            <w:r>
              <w:rPr>
                <w:sz w:val="20"/>
              </w:rPr>
              <w:t>PATH 602</w:t>
            </w:r>
          </w:p>
        </w:tc>
        <w:tc>
          <w:tcPr>
            <w:tcW w:w="2700" w:type="dxa"/>
          </w:tcPr>
          <w:p>
            <w:pPr>
              <w:pStyle w:val="TableParagraph"/>
              <w:spacing w:line="219" w:lineRule="exact"/>
              <w:ind w:left="158"/>
              <w:rPr>
                <w:sz w:val="20"/>
              </w:rPr>
            </w:pPr>
            <w:r>
              <w:rPr>
                <w:sz w:val="20"/>
              </w:rPr>
              <w:t>SYSTEMIC PATHOLOGY</w:t>
            </w:r>
          </w:p>
        </w:tc>
        <w:tc>
          <w:tcPr>
            <w:tcW w:w="932" w:type="dxa"/>
          </w:tcPr>
          <w:p>
            <w:pPr>
              <w:pStyle w:val="TableParagraph"/>
              <w:spacing w:line="219" w:lineRule="exact"/>
              <w:ind w:right="202"/>
              <w:jc w:val="right"/>
              <w:rPr>
                <w:sz w:val="20"/>
              </w:rPr>
            </w:pPr>
            <w:r>
              <w:rPr>
                <w:w w:val="100"/>
                <w:sz w:val="20"/>
              </w:rPr>
              <w:t>3</w:t>
            </w:r>
          </w:p>
        </w:tc>
      </w:tr>
      <w:tr>
        <w:trPr>
          <w:trHeight w:val="240" w:hRule="atLeast"/>
        </w:trPr>
        <w:tc>
          <w:tcPr>
            <w:tcW w:w="1323" w:type="dxa"/>
          </w:tcPr>
          <w:p>
            <w:pPr>
              <w:pStyle w:val="TableParagraph"/>
              <w:spacing w:line="219" w:lineRule="exact"/>
              <w:ind w:left="93" w:right="140"/>
              <w:jc w:val="center"/>
              <w:rPr>
                <w:sz w:val="20"/>
              </w:rPr>
            </w:pPr>
            <w:r>
              <w:rPr>
                <w:sz w:val="20"/>
              </w:rPr>
              <w:t>PATH 603</w:t>
            </w:r>
          </w:p>
        </w:tc>
        <w:tc>
          <w:tcPr>
            <w:tcW w:w="2700" w:type="dxa"/>
          </w:tcPr>
          <w:p>
            <w:pPr>
              <w:pStyle w:val="TableParagraph"/>
              <w:spacing w:line="219" w:lineRule="exact"/>
              <w:ind w:left="158"/>
              <w:rPr>
                <w:sz w:val="20"/>
              </w:rPr>
            </w:pPr>
            <w:r>
              <w:rPr>
                <w:sz w:val="20"/>
              </w:rPr>
              <w:t>GENERAL PATHOLOGY</w:t>
            </w:r>
          </w:p>
        </w:tc>
        <w:tc>
          <w:tcPr>
            <w:tcW w:w="932" w:type="dxa"/>
          </w:tcPr>
          <w:p>
            <w:pPr>
              <w:pStyle w:val="TableParagraph"/>
              <w:spacing w:line="219" w:lineRule="exact"/>
              <w:ind w:right="202"/>
              <w:jc w:val="right"/>
              <w:rPr>
                <w:sz w:val="20"/>
              </w:rPr>
            </w:pPr>
            <w:r>
              <w:rPr>
                <w:w w:val="100"/>
                <w:sz w:val="20"/>
              </w:rPr>
              <w:t>3</w:t>
            </w:r>
          </w:p>
        </w:tc>
      </w:tr>
      <w:tr>
        <w:trPr>
          <w:trHeight w:val="480" w:hRule="atLeast"/>
        </w:trPr>
        <w:tc>
          <w:tcPr>
            <w:tcW w:w="1323" w:type="dxa"/>
          </w:tcPr>
          <w:p>
            <w:pPr>
              <w:pStyle w:val="TableParagraph"/>
              <w:ind w:left="93" w:right="140"/>
              <w:jc w:val="center"/>
              <w:rPr>
                <w:sz w:val="20"/>
              </w:rPr>
            </w:pPr>
            <w:r>
              <w:rPr>
                <w:sz w:val="20"/>
              </w:rPr>
              <w:t>PATH 751</w:t>
            </w:r>
          </w:p>
        </w:tc>
        <w:tc>
          <w:tcPr>
            <w:tcW w:w="2700" w:type="dxa"/>
          </w:tcPr>
          <w:p>
            <w:pPr>
              <w:pStyle w:val="TableParagraph"/>
              <w:ind w:left="158"/>
              <w:rPr>
                <w:sz w:val="20"/>
              </w:rPr>
            </w:pPr>
            <w:r>
              <w:rPr>
                <w:sz w:val="20"/>
              </w:rPr>
              <w:t>CLINICAL PATHOLOGY</w:t>
            </w:r>
          </w:p>
          <w:p>
            <w:pPr>
              <w:pStyle w:val="TableParagraph"/>
              <w:spacing w:line="219" w:lineRule="exact" w:before="10"/>
              <w:ind w:left="158"/>
              <w:rPr>
                <w:sz w:val="20"/>
              </w:rPr>
            </w:pPr>
            <w:r>
              <w:rPr>
                <w:sz w:val="20"/>
              </w:rPr>
              <w:t>AND MICROBIOLOGY</w:t>
            </w:r>
          </w:p>
        </w:tc>
        <w:tc>
          <w:tcPr>
            <w:tcW w:w="932" w:type="dxa"/>
          </w:tcPr>
          <w:p>
            <w:pPr>
              <w:pStyle w:val="TableParagraph"/>
              <w:ind w:right="202"/>
              <w:jc w:val="right"/>
              <w:rPr>
                <w:sz w:val="20"/>
              </w:rPr>
            </w:pPr>
            <w:r>
              <w:rPr>
                <w:w w:val="100"/>
                <w:sz w:val="20"/>
              </w:rPr>
              <w:t>3</w:t>
            </w:r>
          </w:p>
        </w:tc>
      </w:tr>
      <w:tr>
        <w:trPr>
          <w:trHeight w:val="480" w:hRule="atLeast"/>
        </w:trPr>
        <w:tc>
          <w:tcPr>
            <w:tcW w:w="1323" w:type="dxa"/>
          </w:tcPr>
          <w:p>
            <w:pPr>
              <w:pStyle w:val="TableParagraph"/>
              <w:ind w:left="93" w:right="140"/>
              <w:jc w:val="center"/>
              <w:rPr>
                <w:sz w:val="20"/>
              </w:rPr>
            </w:pPr>
            <w:r>
              <w:rPr>
                <w:sz w:val="20"/>
              </w:rPr>
              <w:t>PATH 789</w:t>
            </w:r>
          </w:p>
        </w:tc>
        <w:tc>
          <w:tcPr>
            <w:tcW w:w="2700" w:type="dxa"/>
          </w:tcPr>
          <w:p>
            <w:pPr>
              <w:pStyle w:val="TableParagraph"/>
              <w:ind w:left="158"/>
              <w:rPr>
                <w:sz w:val="20"/>
              </w:rPr>
            </w:pPr>
            <w:r>
              <w:rPr>
                <w:sz w:val="20"/>
              </w:rPr>
              <w:t>SPECIAL TOPICS:</w:t>
            </w:r>
          </w:p>
          <w:p>
            <w:pPr>
              <w:pStyle w:val="TableParagraph"/>
              <w:spacing w:line="219" w:lineRule="exact" w:before="10"/>
              <w:ind w:left="158"/>
              <w:rPr>
                <w:sz w:val="20"/>
              </w:rPr>
            </w:pPr>
            <w:r>
              <w:rPr>
                <w:sz w:val="20"/>
              </w:rPr>
              <w:t>PATHOLOGY</w:t>
            </w:r>
          </w:p>
        </w:tc>
        <w:tc>
          <w:tcPr>
            <w:tcW w:w="932" w:type="dxa"/>
          </w:tcPr>
          <w:p>
            <w:pPr>
              <w:pStyle w:val="TableParagraph"/>
              <w:ind w:right="197"/>
              <w:jc w:val="right"/>
              <w:rPr>
                <w:sz w:val="20"/>
              </w:rPr>
            </w:pPr>
            <w:r>
              <w:rPr>
                <w:sz w:val="20"/>
              </w:rPr>
              <w:t>1 TO 3</w:t>
            </w:r>
          </w:p>
        </w:tc>
      </w:tr>
      <w:tr>
        <w:trPr>
          <w:trHeight w:val="240" w:hRule="atLeast"/>
        </w:trPr>
        <w:tc>
          <w:tcPr>
            <w:tcW w:w="1323" w:type="dxa"/>
          </w:tcPr>
          <w:p>
            <w:pPr>
              <w:pStyle w:val="TableParagraph"/>
              <w:spacing w:line="219" w:lineRule="exact"/>
              <w:ind w:left="93" w:right="140"/>
              <w:jc w:val="center"/>
              <w:rPr>
                <w:sz w:val="20"/>
              </w:rPr>
            </w:pPr>
            <w:r>
              <w:rPr>
                <w:sz w:val="20"/>
              </w:rPr>
              <w:t>PATH 608</w:t>
            </w:r>
          </w:p>
        </w:tc>
        <w:tc>
          <w:tcPr>
            <w:tcW w:w="2700" w:type="dxa"/>
          </w:tcPr>
          <w:p>
            <w:pPr>
              <w:pStyle w:val="TableParagraph"/>
              <w:spacing w:line="219" w:lineRule="exact"/>
              <w:ind w:left="158"/>
              <w:rPr>
                <w:sz w:val="20"/>
              </w:rPr>
            </w:pPr>
            <w:r>
              <w:rPr>
                <w:sz w:val="20"/>
              </w:rPr>
              <w:t>AUTOPSY PATHOLOGY</w:t>
            </w:r>
          </w:p>
        </w:tc>
        <w:tc>
          <w:tcPr>
            <w:tcW w:w="932" w:type="dxa"/>
          </w:tcPr>
          <w:p>
            <w:pPr>
              <w:pStyle w:val="TableParagraph"/>
              <w:spacing w:line="219" w:lineRule="exact"/>
              <w:ind w:right="202"/>
              <w:jc w:val="right"/>
              <w:rPr>
                <w:sz w:val="20"/>
              </w:rPr>
            </w:pPr>
            <w:r>
              <w:rPr>
                <w:w w:val="100"/>
                <w:sz w:val="20"/>
              </w:rPr>
              <w:t>3</w:t>
            </w:r>
          </w:p>
        </w:tc>
      </w:tr>
      <w:tr>
        <w:trPr>
          <w:trHeight w:val="240" w:hRule="atLeast"/>
        </w:trPr>
        <w:tc>
          <w:tcPr>
            <w:tcW w:w="1323" w:type="dxa"/>
          </w:tcPr>
          <w:p>
            <w:pPr>
              <w:pStyle w:val="TableParagraph"/>
              <w:spacing w:line="219" w:lineRule="exact"/>
              <w:ind w:left="93" w:right="140"/>
              <w:jc w:val="center"/>
              <w:rPr>
                <w:sz w:val="20"/>
              </w:rPr>
            </w:pPr>
            <w:r>
              <w:rPr>
                <w:sz w:val="20"/>
              </w:rPr>
              <w:t>PATH 609</w:t>
            </w:r>
          </w:p>
        </w:tc>
        <w:tc>
          <w:tcPr>
            <w:tcW w:w="2700" w:type="dxa"/>
          </w:tcPr>
          <w:p>
            <w:pPr>
              <w:pStyle w:val="TableParagraph"/>
              <w:spacing w:line="219" w:lineRule="exact"/>
              <w:ind w:left="158"/>
              <w:rPr>
                <w:sz w:val="20"/>
              </w:rPr>
            </w:pPr>
            <w:r>
              <w:rPr>
                <w:sz w:val="20"/>
              </w:rPr>
              <w:t>SURGICAL PATHOLOGY</w:t>
            </w:r>
          </w:p>
        </w:tc>
        <w:tc>
          <w:tcPr>
            <w:tcW w:w="932" w:type="dxa"/>
          </w:tcPr>
          <w:p>
            <w:pPr>
              <w:pStyle w:val="TableParagraph"/>
              <w:spacing w:line="219" w:lineRule="exact"/>
              <w:ind w:right="202"/>
              <w:jc w:val="right"/>
              <w:rPr>
                <w:sz w:val="20"/>
              </w:rPr>
            </w:pPr>
            <w:r>
              <w:rPr>
                <w:w w:val="100"/>
                <w:sz w:val="20"/>
              </w:rPr>
              <w:t>3</w:t>
            </w:r>
          </w:p>
        </w:tc>
      </w:tr>
      <w:tr>
        <w:trPr>
          <w:trHeight w:val="480" w:hRule="atLeast"/>
        </w:trPr>
        <w:tc>
          <w:tcPr>
            <w:tcW w:w="1323" w:type="dxa"/>
          </w:tcPr>
          <w:p>
            <w:pPr>
              <w:pStyle w:val="TableParagraph"/>
              <w:ind w:left="136" w:right="140"/>
              <w:jc w:val="center"/>
              <w:rPr>
                <w:sz w:val="20"/>
              </w:rPr>
            </w:pPr>
            <w:r>
              <w:rPr>
                <w:sz w:val="20"/>
              </w:rPr>
              <w:t>DBMS 618</w:t>
            </w:r>
          </w:p>
        </w:tc>
        <w:tc>
          <w:tcPr>
            <w:tcW w:w="2700" w:type="dxa"/>
          </w:tcPr>
          <w:p>
            <w:pPr>
              <w:pStyle w:val="TableParagraph"/>
              <w:ind w:left="158"/>
              <w:rPr>
                <w:sz w:val="20"/>
              </w:rPr>
            </w:pPr>
            <w:r>
              <w:rPr>
                <w:sz w:val="20"/>
              </w:rPr>
              <w:t>SPECIAL TOPICS IN</w:t>
            </w:r>
          </w:p>
          <w:p>
            <w:pPr>
              <w:pStyle w:val="TableParagraph"/>
              <w:spacing w:line="219" w:lineRule="exact" w:before="10"/>
              <w:ind w:left="158"/>
              <w:rPr>
                <w:sz w:val="20"/>
              </w:rPr>
            </w:pPr>
            <w:r>
              <w:rPr>
                <w:sz w:val="20"/>
              </w:rPr>
              <w:t>BIOMEDICAL SCIENCE</w:t>
            </w:r>
          </w:p>
        </w:tc>
        <w:tc>
          <w:tcPr>
            <w:tcW w:w="932" w:type="dxa"/>
          </w:tcPr>
          <w:p>
            <w:pPr>
              <w:pStyle w:val="TableParagraph"/>
              <w:ind w:right="197"/>
              <w:jc w:val="right"/>
              <w:rPr>
                <w:sz w:val="20"/>
              </w:rPr>
            </w:pPr>
            <w:r>
              <w:rPr>
                <w:sz w:val="20"/>
              </w:rPr>
              <w:t>1 TO 3</w:t>
            </w:r>
          </w:p>
        </w:tc>
      </w:tr>
      <w:tr>
        <w:trPr>
          <w:trHeight w:val="471" w:hRule="atLeast"/>
        </w:trPr>
        <w:tc>
          <w:tcPr>
            <w:tcW w:w="1323" w:type="dxa"/>
          </w:tcPr>
          <w:p>
            <w:pPr>
              <w:pStyle w:val="TableParagraph"/>
              <w:ind w:left="139" w:right="140"/>
              <w:jc w:val="center"/>
              <w:rPr>
                <w:sz w:val="20"/>
              </w:rPr>
            </w:pPr>
            <w:r>
              <w:rPr>
                <w:sz w:val="20"/>
              </w:rPr>
              <w:t>MEDT 680</w:t>
            </w:r>
          </w:p>
        </w:tc>
        <w:tc>
          <w:tcPr>
            <w:tcW w:w="2700" w:type="dxa"/>
          </w:tcPr>
          <w:p>
            <w:pPr>
              <w:pStyle w:val="TableParagraph"/>
              <w:ind w:left="158"/>
              <w:rPr>
                <w:sz w:val="20"/>
              </w:rPr>
            </w:pPr>
            <w:r>
              <w:rPr>
                <w:sz w:val="20"/>
              </w:rPr>
              <w:t>LABORATORY</w:t>
            </w:r>
          </w:p>
          <w:p>
            <w:pPr>
              <w:pStyle w:val="TableParagraph"/>
              <w:spacing w:line="210" w:lineRule="exact" w:before="10"/>
              <w:ind w:left="158"/>
              <w:rPr>
                <w:sz w:val="20"/>
              </w:rPr>
            </w:pPr>
            <w:r>
              <w:rPr>
                <w:sz w:val="20"/>
              </w:rPr>
              <w:t>MANAGEMENT</w:t>
            </w:r>
          </w:p>
        </w:tc>
        <w:tc>
          <w:tcPr>
            <w:tcW w:w="932" w:type="dxa"/>
          </w:tcPr>
          <w:p>
            <w:pPr>
              <w:pStyle w:val="TableParagraph"/>
              <w:ind w:right="202"/>
              <w:jc w:val="right"/>
              <w:rPr>
                <w:sz w:val="20"/>
              </w:rPr>
            </w:pPr>
            <w:r>
              <w:rPr>
                <w:w w:val="100"/>
                <w:sz w:val="20"/>
              </w:rPr>
              <w:t>3</w:t>
            </w:r>
          </w:p>
        </w:tc>
      </w:tr>
    </w:tbl>
    <w:p>
      <w:pPr>
        <w:spacing w:after="0"/>
        <w:jc w:val="right"/>
        <w:rPr>
          <w:sz w:val="20"/>
        </w:rPr>
        <w:sectPr>
          <w:pgSz w:w="12240" w:h="15840"/>
          <w:pgMar w:header="746" w:footer="0" w:top="1320" w:bottom="280" w:left="880" w:right="300"/>
          <w:cols w:num="2" w:equalWidth="0">
            <w:col w:w="5005" w:space="481"/>
            <w:col w:w="5574"/>
          </w:cols>
        </w:sectPr>
      </w:pPr>
    </w:p>
    <w:p>
      <w:pPr>
        <w:pStyle w:val="Heading3"/>
      </w:pPr>
      <w:bookmarkStart w:name="Pharmaceutical Health Services Research" w:id="75"/>
      <w:bookmarkEnd w:id="75"/>
      <w:r>
        <w:rPr/>
      </w:r>
      <w:bookmarkStart w:name="_bookmark37" w:id="76"/>
      <w:bookmarkEnd w:id="76"/>
      <w:r>
        <w:rPr/>
      </w:r>
      <w:r>
        <w:rPr/>
        <w:t>Pharmaceutical Health Services Research</w:t>
      </w:r>
    </w:p>
    <w:p>
      <w:pPr>
        <w:pStyle w:val="BodyText"/>
        <w:spacing w:before="190"/>
      </w:pPr>
      <w:hyperlink r:id="rId75">
        <w:r>
          <w:rPr>
            <w:color w:val="0000FF"/>
            <w:u w:val="single" w:color="0000FF"/>
          </w:rPr>
          <w:t>http://pharmacy.umaryland.edu/academics/phsr/</w:t>
        </w:r>
      </w:hyperlink>
    </w:p>
    <w:p>
      <w:pPr>
        <w:pStyle w:val="Heading6"/>
        <w:spacing w:before="192"/>
      </w:pPr>
      <w:r>
        <w:rPr/>
        <w:t>Degrees Offered</w:t>
      </w:r>
    </w:p>
    <w:p>
      <w:pPr>
        <w:pStyle w:val="BodyText"/>
        <w:spacing w:before="188"/>
      </w:pPr>
      <w:r>
        <w:rPr/>
        <w:t>PhD, PhD/MS, MS</w:t>
      </w:r>
    </w:p>
    <w:p>
      <w:pPr>
        <w:pStyle w:val="Heading6"/>
        <w:spacing w:before="192"/>
      </w:pPr>
      <w:r>
        <w:rPr/>
        <w:t>Program Description</w:t>
      </w:r>
    </w:p>
    <w:p>
      <w:pPr>
        <w:pStyle w:val="BodyText"/>
        <w:spacing w:line="249" w:lineRule="auto" w:before="188"/>
        <w:ind w:right="424"/>
      </w:pPr>
      <w:r>
        <w:rPr/>
        <w:t>The primary mission of the Pharmaceutical Health Services Research (PHSR) Graduate Program at the University of Maryland School of Pharmacy is to train strong researchers in a variety of important areas.</w:t>
      </w:r>
    </w:p>
    <w:p>
      <w:pPr>
        <w:pStyle w:val="Heading4"/>
        <w:spacing w:before="167"/>
      </w:pPr>
      <w:r>
        <w:rPr/>
        <w:t>PhD in Pharmaceutical Health Services Research</w:t>
      </w:r>
    </w:p>
    <w:p>
      <w:pPr>
        <w:pStyle w:val="BodyText"/>
        <w:spacing w:line="249" w:lineRule="auto" w:before="183"/>
        <w:ind w:right="58"/>
      </w:pPr>
      <w:r>
        <w:rPr/>
        <w:t>The widespread use of medications in society has created a demand for individuals skilled in the evaluation of pharmaceutical services and interventions. The dynamic health care environment has created a number of critical factors that are constantly shaping and reshaping the health policies of the United States and countries around the world.</w:t>
      </w:r>
    </w:p>
    <w:p>
      <w:pPr>
        <w:pStyle w:val="BodyText"/>
        <w:spacing w:line="249" w:lineRule="auto" w:before="188"/>
        <w:ind w:left="199" w:right="120"/>
      </w:pPr>
      <w:r>
        <w:rPr/>
        <w:t>The PhD in PHSR provides graduates with the theory, practical experience, and decision-making skills needed to address a wide range of pharmacy-related problems.</w:t>
      </w:r>
    </w:p>
    <w:p>
      <w:pPr>
        <w:pStyle w:val="BodyText"/>
        <w:spacing w:line="249" w:lineRule="auto" w:before="2"/>
        <w:ind w:left="199" w:right="26"/>
      </w:pPr>
      <w:r>
        <w:rPr/>
        <w:t>Pharmaceutical services are a vital part of health care, and factors affecting health care inevitably affect pharmacy, the pharmaceutical industry, and pharmacy practitioners. Some of the factors that are of academic and research interest include:</w:t>
      </w:r>
    </w:p>
    <w:p>
      <w:pPr>
        <w:pStyle w:val="ListParagraph"/>
        <w:numPr>
          <w:ilvl w:val="1"/>
          <w:numId w:val="14"/>
        </w:numPr>
        <w:tabs>
          <w:tab w:pos="632" w:val="left" w:leader="none"/>
        </w:tabs>
        <w:spacing w:line="240" w:lineRule="auto" w:before="181" w:after="0"/>
        <w:ind w:left="631" w:right="0" w:hanging="216"/>
        <w:jc w:val="left"/>
        <w:rPr>
          <w:sz w:val="20"/>
        </w:rPr>
      </w:pPr>
      <w:r>
        <w:rPr>
          <w:sz w:val="20"/>
        </w:rPr>
        <w:t>Patient-centered outcomes</w:t>
      </w:r>
      <w:r>
        <w:rPr>
          <w:spacing w:val="1"/>
          <w:sz w:val="20"/>
        </w:rPr>
        <w:t> </w:t>
      </w:r>
      <w:r>
        <w:rPr>
          <w:sz w:val="20"/>
        </w:rPr>
        <w:t>analyses</w:t>
      </w:r>
    </w:p>
    <w:p>
      <w:pPr>
        <w:pStyle w:val="ListParagraph"/>
        <w:numPr>
          <w:ilvl w:val="1"/>
          <w:numId w:val="14"/>
        </w:numPr>
        <w:tabs>
          <w:tab w:pos="632" w:val="left" w:leader="none"/>
        </w:tabs>
        <w:spacing w:line="249" w:lineRule="auto" w:before="193" w:after="0"/>
        <w:ind w:left="631" w:right="545" w:hanging="216"/>
        <w:jc w:val="left"/>
        <w:rPr>
          <w:sz w:val="20"/>
        </w:rPr>
      </w:pPr>
      <w:r>
        <w:rPr>
          <w:sz w:val="20"/>
        </w:rPr>
        <w:t>The role </w:t>
      </w:r>
      <w:r>
        <w:rPr>
          <w:spacing w:val="-3"/>
          <w:sz w:val="20"/>
        </w:rPr>
        <w:t>of </w:t>
      </w:r>
      <w:r>
        <w:rPr>
          <w:sz w:val="20"/>
        </w:rPr>
        <w:t>the federal and state governments in health and pharmaceutical care policy</w:t>
      </w:r>
    </w:p>
    <w:p>
      <w:pPr>
        <w:pStyle w:val="ListParagraph"/>
        <w:numPr>
          <w:ilvl w:val="1"/>
          <w:numId w:val="14"/>
        </w:numPr>
        <w:tabs>
          <w:tab w:pos="632" w:val="left" w:leader="none"/>
        </w:tabs>
        <w:spacing w:line="240" w:lineRule="auto" w:before="179" w:after="0"/>
        <w:ind w:left="631" w:right="0" w:hanging="216"/>
        <w:jc w:val="left"/>
        <w:rPr>
          <w:sz w:val="20"/>
        </w:rPr>
      </w:pPr>
      <w:r>
        <w:rPr>
          <w:sz w:val="20"/>
        </w:rPr>
        <w:t>Financing and economics </w:t>
      </w:r>
      <w:r>
        <w:rPr>
          <w:spacing w:val="-3"/>
          <w:sz w:val="20"/>
        </w:rPr>
        <w:t>of </w:t>
      </w:r>
      <w:r>
        <w:rPr>
          <w:sz w:val="20"/>
        </w:rPr>
        <w:t>pharmaceutical care</w:t>
      </w:r>
    </w:p>
    <w:p>
      <w:pPr>
        <w:pStyle w:val="ListParagraph"/>
        <w:numPr>
          <w:ilvl w:val="1"/>
          <w:numId w:val="14"/>
        </w:numPr>
        <w:tabs>
          <w:tab w:pos="632" w:val="left" w:leader="none"/>
        </w:tabs>
        <w:spacing w:line="240" w:lineRule="auto" w:before="192" w:after="0"/>
        <w:ind w:left="631" w:right="0" w:hanging="216"/>
        <w:jc w:val="left"/>
        <w:rPr>
          <w:sz w:val="20"/>
        </w:rPr>
      </w:pPr>
      <w:r>
        <w:rPr>
          <w:sz w:val="20"/>
        </w:rPr>
        <w:t>Drug utilization and pharmacoepidemiologic</w:t>
      </w:r>
      <w:r>
        <w:rPr>
          <w:spacing w:val="-25"/>
          <w:sz w:val="20"/>
        </w:rPr>
        <w:t> </w:t>
      </w:r>
      <w:r>
        <w:rPr>
          <w:sz w:val="20"/>
        </w:rPr>
        <w:t>issues</w:t>
      </w:r>
    </w:p>
    <w:p>
      <w:pPr>
        <w:pStyle w:val="ListParagraph"/>
        <w:numPr>
          <w:ilvl w:val="1"/>
          <w:numId w:val="14"/>
        </w:numPr>
        <w:tabs>
          <w:tab w:pos="632" w:val="left" w:leader="none"/>
        </w:tabs>
        <w:spacing w:line="240" w:lineRule="auto" w:before="188" w:after="0"/>
        <w:ind w:left="631" w:right="0" w:hanging="216"/>
        <w:jc w:val="left"/>
        <w:rPr>
          <w:sz w:val="20"/>
        </w:rPr>
      </w:pPr>
      <w:r>
        <w:rPr>
          <w:sz w:val="20"/>
        </w:rPr>
        <w:t>Cost containment and </w:t>
      </w:r>
      <w:r>
        <w:rPr>
          <w:spacing w:val="-3"/>
          <w:sz w:val="20"/>
        </w:rPr>
        <w:t>other </w:t>
      </w:r>
      <w:r>
        <w:rPr>
          <w:sz w:val="20"/>
        </w:rPr>
        <w:t>benefit design issues</w:t>
      </w:r>
    </w:p>
    <w:p>
      <w:pPr>
        <w:pStyle w:val="ListParagraph"/>
        <w:numPr>
          <w:ilvl w:val="1"/>
          <w:numId w:val="14"/>
        </w:numPr>
        <w:tabs>
          <w:tab w:pos="632" w:val="left" w:leader="none"/>
        </w:tabs>
        <w:spacing w:line="240" w:lineRule="auto" w:before="192" w:after="0"/>
        <w:ind w:left="631" w:right="0" w:hanging="216"/>
        <w:jc w:val="left"/>
        <w:rPr>
          <w:sz w:val="20"/>
        </w:rPr>
      </w:pPr>
      <w:r>
        <w:rPr>
          <w:sz w:val="20"/>
        </w:rPr>
        <w:t>Pharmaceutical care in vulnerable</w:t>
      </w:r>
      <w:r>
        <w:rPr>
          <w:spacing w:val="-5"/>
          <w:sz w:val="20"/>
        </w:rPr>
        <w:t> </w:t>
      </w:r>
      <w:r>
        <w:rPr>
          <w:sz w:val="20"/>
        </w:rPr>
        <w:t>populations</w:t>
      </w:r>
    </w:p>
    <w:p>
      <w:pPr>
        <w:pStyle w:val="ListParagraph"/>
        <w:numPr>
          <w:ilvl w:val="1"/>
          <w:numId w:val="14"/>
        </w:numPr>
        <w:tabs>
          <w:tab w:pos="632" w:val="left" w:leader="none"/>
        </w:tabs>
        <w:spacing w:line="240" w:lineRule="auto" w:before="188" w:after="0"/>
        <w:ind w:left="631" w:right="0" w:hanging="216"/>
        <w:jc w:val="left"/>
        <w:rPr>
          <w:sz w:val="20"/>
        </w:rPr>
      </w:pPr>
      <w:r>
        <w:rPr>
          <w:sz w:val="20"/>
        </w:rPr>
        <w:t>Pharmacovigilance and drug</w:t>
      </w:r>
      <w:r>
        <w:rPr>
          <w:spacing w:val="-6"/>
          <w:sz w:val="20"/>
        </w:rPr>
        <w:t> </w:t>
      </w:r>
      <w:r>
        <w:rPr>
          <w:sz w:val="20"/>
        </w:rPr>
        <w:t>safety</w:t>
      </w:r>
    </w:p>
    <w:p>
      <w:pPr>
        <w:pStyle w:val="ListParagraph"/>
        <w:numPr>
          <w:ilvl w:val="1"/>
          <w:numId w:val="14"/>
        </w:numPr>
        <w:tabs>
          <w:tab w:pos="631" w:val="left" w:leader="none"/>
        </w:tabs>
        <w:spacing w:line="240" w:lineRule="auto" w:before="192" w:after="0"/>
        <w:ind w:left="630" w:right="0" w:hanging="216"/>
        <w:jc w:val="left"/>
        <w:rPr>
          <w:sz w:val="20"/>
        </w:rPr>
      </w:pPr>
      <w:r>
        <w:rPr>
          <w:sz w:val="20"/>
        </w:rPr>
        <w:t>Pharmaceutical</w:t>
      </w:r>
      <w:r>
        <w:rPr>
          <w:spacing w:val="-2"/>
          <w:sz w:val="20"/>
        </w:rPr>
        <w:t> </w:t>
      </w:r>
      <w:r>
        <w:rPr>
          <w:sz w:val="20"/>
        </w:rPr>
        <w:t>economics</w:t>
      </w:r>
    </w:p>
    <w:p>
      <w:pPr>
        <w:pStyle w:val="Heading4"/>
        <w:spacing w:line="228" w:lineRule="auto" w:before="181"/>
        <w:ind w:right="164"/>
      </w:pPr>
      <w:r>
        <w:rPr/>
        <w:t>PhD in Pharmaceutical Health Services Research and MS in Epidemiology Dual Degree</w:t>
      </w:r>
    </w:p>
    <w:p>
      <w:pPr>
        <w:pStyle w:val="BodyText"/>
        <w:spacing w:line="249" w:lineRule="auto" w:before="190"/>
        <w:ind w:left="199" w:right="64"/>
      </w:pPr>
      <w:r>
        <w:rPr/>
        <w:t>The dual-degree program offered by PHSR and the Department of Epidemiology and Public Health (DEPH) at the University of Maryland School of Medicine seeks to:</w:t>
      </w:r>
    </w:p>
    <w:p>
      <w:pPr>
        <w:pStyle w:val="ListParagraph"/>
        <w:numPr>
          <w:ilvl w:val="1"/>
          <w:numId w:val="14"/>
        </w:numPr>
        <w:tabs>
          <w:tab w:pos="632" w:val="left" w:leader="none"/>
        </w:tabs>
        <w:spacing w:line="249" w:lineRule="auto" w:before="100" w:after="0"/>
        <w:ind w:left="631" w:right="1143" w:hanging="215"/>
        <w:jc w:val="left"/>
        <w:rPr>
          <w:sz w:val="20"/>
        </w:rPr>
      </w:pPr>
      <w:r>
        <w:rPr>
          <w:spacing w:val="-2"/>
          <w:w w:val="100"/>
          <w:sz w:val="20"/>
        </w:rPr>
        <w:br w:type="column"/>
      </w:r>
      <w:r>
        <w:rPr>
          <w:sz w:val="20"/>
        </w:rPr>
        <w:t>Provide an opportunity for students in PHSR to augment their skills by adding more </w:t>
      </w:r>
      <w:r>
        <w:rPr>
          <w:spacing w:val="-2"/>
          <w:sz w:val="20"/>
        </w:rPr>
        <w:t>extensive </w:t>
      </w:r>
      <w:r>
        <w:rPr>
          <w:sz w:val="20"/>
        </w:rPr>
        <w:t>training in epidemiologic</w:t>
      </w:r>
      <w:r>
        <w:rPr>
          <w:spacing w:val="-3"/>
          <w:sz w:val="20"/>
        </w:rPr>
        <w:t> </w:t>
      </w:r>
      <w:r>
        <w:rPr>
          <w:sz w:val="20"/>
        </w:rPr>
        <w:t>methods.</w:t>
      </w:r>
    </w:p>
    <w:p>
      <w:pPr>
        <w:pStyle w:val="ListParagraph"/>
        <w:numPr>
          <w:ilvl w:val="1"/>
          <w:numId w:val="14"/>
        </w:numPr>
        <w:tabs>
          <w:tab w:pos="632" w:val="left" w:leader="none"/>
        </w:tabs>
        <w:spacing w:line="249" w:lineRule="auto" w:before="179" w:after="0"/>
        <w:ind w:left="631" w:right="770" w:hanging="215"/>
        <w:jc w:val="left"/>
        <w:rPr>
          <w:sz w:val="20"/>
        </w:rPr>
      </w:pPr>
      <w:r>
        <w:rPr>
          <w:sz w:val="20"/>
        </w:rPr>
        <w:t>Provide formal recognition </w:t>
      </w:r>
      <w:r>
        <w:rPr>
          <w:spacing w:val="-3"/>
          <w:sz w:val="20"/>
        </w:rPr>
        <w:t>of </w:t>
      </w:r>
      <w:r>
        <w:rPr>
          <w:sz w:val="20"/>
        </w:rPr>
        <w:t>training and expertise in epidemiology among students who complete the specified</w:t>
      </w:r>
      <w:r>
        <w:rPr>
          <w:spacing w:val="1"/>
          <w:sz w:val="20"/>
        </w:rPr>
        <w:t> </w:t>
      </w:r>
      <w:r>
        <w:rPr>
          <w:sz w:val="20"/>
        </w:rPr>
        <w:t>program.</w:t>
      </w:r>
    </w:p>
    <w:p>
      <w:pPr>
        <w:pStyle w:val="ListParagraph"/>
        <w:numPr>
          <w:ilvl w:val="1"/>
          <w:numId w:val="14"/>
        </w:numPr>
        <w:tabs>
          <w:tab w:pos="632" w:val="left" w:leader="none"/>
        </w:tabs>
        <w:spacing w:line="249" w:lineRule="auto" w:before="185" w:after="0"/>
        <w:ind w:left="631" w:right="1357" w:hanging="215"/>
        <w:jc w:val="left"/>
        <w:rPr>
          <w:sz w:val="20"/>
        </w:rPr>
      </w:pPr>
      <w:r>
        <w:rPr>
          <w:sz w:val="20"/>
        </w:rPr>
        <w:t>Formalize collaborations </w:t>
      </w:r>
      <w:r>
        <w:rPr>
          <w:spacing w:val="-3"/>
          <w:sz w:val="20"/>
        </w:rPr>
        <w:t>between </w:t>
      </w:r>
      <w:r>
        <w:rPr>
          <w:sz w:val="20"/>
        </w:rPr>
        <w:t>the two departments in the training </w:t>
      </w:r>
      <w:r>
        <w:rPr>
          <w:spacing w:val="-3"/>
          <w:sz w:val="20"/>
        </w:rPr>
        <w:t>of </w:t>
      </w:r>
      <w:r>
        <w:rPr>
          <w:sz w:val="20"/>
        </w:rPr>
        <w:t>these</w:t>
      </w:r>
      <w:r>
        <w:rPr>
          <w:spacing w:val="-9"/>
          <w:sz w:val="20"/>
        </w:rPr>
        <w:t> </w:t>
      </w:r>
      <w:r>
        <w:rPr>
          <w:sz w:val="20"/>
        </w:rPr>
        <w:t>students.</w:t>
      </w:r>
    </w:p>
    <w:p>
      <w:pPr>
        <w:pStyle w:val="BodyText"/>
        <w:spacing w:line="249" w:lineRule="auto" w:before="179"/>
        <w:ind w:left="199" w:right="607"/>
      </w:pPr>
      <w:r>
        <w:rPr/>
        <w:t>This program is available only to students accepted into the PhD in PHSR program. Any PHSR graduate student is eligible to apply for admission to the dual-degree program, and students must remain in </w:t>
      </w:r>
      <w:r>
        <w:rPr>
          <w:spacing w:val="-3"/>
        </w:rPr>
        <w:t>good </w:t>
      </w:r>
      <w:r>
        <w:rPr/>
        <w:t>standing </w:t>
      </w:r>
      <w:r>
        <w:rPr>
          <w:spacing w:val="-3"/>
        </w:rPr>
        <w:t>with </w:t>
      </w:r>
      <w:r>
        <w:rPr/>
        <w:t>the PhD in PHSR Program and the Graduate School. Students admitted into the program will </w:t>
      </w:r>
      <w:r>
        <w:rPr>
          <w:spacing w:val="-3"/>
        </w:rPr>
        <w:t>be </w:t>
      </w:r>
      <w:r>
        <w:rPr/>
        <w:t>awarded MS and PhD degrees simultaneously at the completion </w:t>
      </w:r>
      <w:r>
        <w:rPr>
          <w:spacing w:val="-3"/>
        </w:rPr>
        <w:t>of </w:t>
      </w:r>
      <w:r>
        <w:rPr/>
        <w:t>their studies in the dual-degree</w:t>
      </w:r>
      <w:r>
        <w:rPr>
          <w:spacing w:val="-3"/>
        </w:rPr>
        <w:t> </w:t>
      </w:r>
      <w:r>
        <w:rPr/>
        <w:t>program.</w:t>
      </w:r>
    </w:p>
    <w:p>
      <w:pPr>
        <w:pStyle w:val="Heading4"/>
      </w:pPr>
      <w:r>
        <w:rPr/>
        <w:t>MS in Pharmaceutical Health Services Research</w:t>
      </w:r>
    </w:p>
    <w:p>
      <w:pPr>
        <w:pStyle w:val="BodyText"/>
        <w:spacing w:line="249" w:lineRule="auto" w:before="183"/>
        <w:ind w:right="620"/>
      </w:pPr>
      <w:r>
        <w:rPr/>
        <w:t>Adapted </w:t>
      </w:r>
      <w:r>
        <w:rPr>
          <w:spacing w:val="-3"/>
        </w:rPr>
        <w:t>from </w:t>
      </w:r>
      <w:r>
        <w:rPr/>
        <w:t>the top-tier PhD in </w:t>
      </w:r>
      <w:r>
        <w:rPr>
          <w:spacing w:val="-3"/>
        </w:rPr>
        <w:t>PHSR </w:t>
      </w:r>
      <w:r>
        <w:rPr/>
        <w:t>Program, the MS in </w:t>
      </w:r>
      <w:r>
        <w:rPr>
          <w:spacing w:val="-3"/>
        </w:rPr>
        <w:t>PHSR </w:t>
      </w:r>
      <w:r>
        <w:rPr/>
        <w:t>is geared toward experienced professionals. Core courses for the MS in </w:t>
      </w:r>
      <w:r>
        <w:rPr>
          <w:spacing w:val="-3"/>
        </w:rPr>
        <w:t>PHSR </w:t>
      </w:r>
      <w:r>
        <w:rPr/>
        <w:t>Program are identical to those in the PhD in PHSR Program and are taken alongside doctoral students. While the doctoral students go </w:t>
      </w:r>
      <w:r>
        <w:rPr>
          <w:spacing w:val="-5"/>
        </w:rPr>
        <w:t>on </w:t>
      </w:r>
      <w:r>
        <w:rPr/>
        <w:t>to take additional courses, students in the MS in PHSR Program can complete their courses in as little as two years. Those courses also can </w:t>
      </w:r>
      <w:r>
        <w:rPr>
          <w:spacing w:val="-3"/>
        </w:rPr>
        <w:t>be </w:t>
      </w:r>
      <w:r>
        <w:rPr/>
        <w:t>applied to the PhD in PHSR Program should a student in the MS in </w:t>
      </w:r>
      <w:r>
        <w:rPr>
          <w:spacing w:val="-3"/>
        </w:rPr>
        <w:t>PHSR </w:t>
      </w:r>
      <w:r>
        <w:rPr/>
        <w:t>Program later decide to pursue the advanced</w:t>
      </w:r>
      <w:r>
        <w:rPr>
          <w:spacing w:val="-5"/>
        </w:rPr>
        <w:t> </w:t>
      </w:r>
      <w:r>
        <w:rPr>
          <w:spacing w:val="-3"/>
        </w:rPr>
        <w:t>degree.</w:t>
      </w:r>
    </w:p>
    <w:p>
      <w:pPr>
        <w:pStyle w:val="BodyText"/>
        <w:spacing w:line="249" w:lineRule="auto" w:before="190"/>
        <w:ind w:right="849"/>
      </w:pPr>
      <w:r>
        <w:rPr/>
        <w:t>Through a series of seven courses, students in the MS in PHSR Program will be introduced to four key research areas:</w:t>
      </w:r>
    </w:p>
    <w:p>
      <w:pPr>
        <w:pStyle w:val="ListParagraph"/>
        <w:numPr>
          <w:ilvl w:val="1"/>
          <w:numId w:val="14"/>
        </w:numPr>
        <w:tabs>
          <w:tab w:pos="633" w:val="left" w:leader="none"/>
        </w:tabs>
        <w:spacing w:line="240" w:lineRule="auto" w:before="180" w:after="0"/>
        <w:ind w:left="632" w:right="0" w:hanging="216"/>
        <w:jc w:val="left"/>
        <w:rPr>
          <w:sz w:val="20"/>
        </w:rPr>
      </w:pPr>
      <w:r>
        <w:rPr>
          <w:sz w:val="20"/>
        </w:rPr>
        <w:t>Pharmacoeconomics</w:t>
      </w:r>
    </w:p>
    <w:p>
      <w:pPr>
        <w:pStyle w:val="ListParagraph"/>
        <w:numPr>
          <w:ilvl w:val="1"/>
          <w:numId w:val="14"/>
        </w:numPr>
        <w:tabs>
          <w:tab w:pos="633" w:val="left" w:leader="none"/>
        </w:tabs>
        <w:spacing w:line="240" w:lineRule="auto" w:before="192" w:after="0"/>
        <w:ind w:left="632" w:right="0" w:hanging="216"/>
        <w:jc w:val="left"/>
        <w:rPr>
          <w:sz w:val="20"/>
        </w:rPr>
      </w:pPr>
      <w:r>
        <w:rPr>
          <w:sz w:val="20"/>
        </w:rPr>
        <w:t>Pharmacoepidemiology</w:t>
      </w:r>
    </w:p>
    <w:p>
      <w:pPr>
        <w:pStyle w:val="ListParagraph"/>
        <w:numPr>
          <w:ilvl w:val="1"/>
          <w:numId w:val="14"/>
        </w:numPr>
        <w:tabs>
          <w:tab w:pos="633" w:val="left" w:leader="none"/>
        </w:tabs>
        <w:spacing w:line="240" w:lineRule="auto" w:before="188" w:after="0"/>
        <w:ind w:left="632" w:right="0" w:hanging="216"/>
        <w:jc w:val="left"/>
        <w:rPr>
          <w:sz w:val="20"/>
        </w:rPr>
      </w:pPr>
      <w:r>
        <w:rPr>
          <w:sz w:val="20"/>
        </w:rPr>
        <w:t>Pharmaceutical</w:t>
      </w:r>
      <w:r>
        <w:rPr>
          <w:spacing w:val="-2"/>
          <w:sz w:val="20"/>
        </w:rPr>
        <w:t> </w:t>
      </w:r>
      <w:r>
        <w:rPr>
          <w:sz w:val="20"/>
        </w:rPr>
        <w:t>policy</w:t>
      </w:r>
    </w:p>
    <w:p>
      <w:pPr>
        <w:pStyle w:val="ListParagraph"/>
        <w:numPr>
          <w:ilvl w:val="1"/>
          <w:numId w:val="14"/>
        </w:numPr>
        <w:tabs>
          <w:tab w:pos="632" w:val="left" w:leader="none"/>
        </w:tabs>
        <w:spacing w:line="249" w:lineRule="auto" w:before="192" w:after="0"/>
        <w:ind w:left="631" w:right="1136" w:hanging="216"/>
        <w:jc w:val="left"/>
        <w:rPr>
          <w:sz w:val="20"/>
        </w:rPr>
      </w:pPr>
      <w:r>
        <w:rPr>
          <w:sz w:val="20"/>
        </w:rPr>
        <w:t>Comparative effectiveness and patient-centered outcomes research</w:t>
      </w:r>
    </w:p>
    <w:p>
      <w:pPr>
        <w:pStyle w:val="BodyText"/>
        <w:spacing w:line="249" w:lineRule="auto" w:before="179"/>
        <w:ind w:left="199" w:right="667"/>
      </w:pPr>
      <w:r>
        <w:rPr/>
        <w:t>Upon completion of the program, graduates will be able to serve as knowledgeable consultants to the public and private sectors of the health care and pharmacy/pharmaceutical communities and interact with members of other health, social, and administrative disciplines.</w:t>
      </w:r>
    </w:p>
    <w:p>
      <w:pPr>
        <w:pStyle w:val="Heading6"/>
        <w:spacing w:before="187"/>
        <w:ind w:left="199"/>
      </w:pPr>
      <w:r>
        <w:rPr/>
        <w:t>Program Admission</w:t>
      </w:r>
    </w:p>
    <w:p>
      <w:pPr>
        <w:pStyle w:val="BodyText"/>
        <w:spacing w:before="188"/>
        <w:ind w:left="199"/>
      </w:pPr>
      <w:r>
        <w:rPr/>
        <w:t>Applicants to the Doctor of Philosophy in Pharmaceutical</w:t>
      </w:r>
    </w:p>
    <w:p>
      <w:pPr>
        <w:spacing w:after="0"/>
        <w:sectPr>
          <w:pgSz w:w="12240" w:h="15840"/>
          <w:pgMar w:header="746" w:footer="0" w:top="1320" w:bottom="280" w:left="880" w:right="300"/>
          <w:cols w:num="2" w:equalWidth="0">
            <w:col w:w="5010" w:space="476"/>
            <w:col w:w="5574"/>
          </w:cols>
        </w:sectPr>
      </w:pPr>
    </w:p>
    <w:p>
      <w:pPr>
        <w:pStyle w:val="BodyText"/>
        <w:spacing w:line="249" w:lineRule="auto" w:before="100"/>
        <w:ind w:right="19"/>
      </w:pPr>
      <w:r>
        <w:rPr/>
        <w:t>Health Services Research Program should possess a bachelor’s or master’s degree from an accredited college or university.</w:t>
      </w:r>
    </w:p>
    <w:p>
      <w:pPr>
        <w:pStyle w:val="BodyText"/>
        <w:spacing w:line="249" w:lineRule="auto" w:before="180"/>
        <w:ind w:right="49"/>
      </w:pPr>
      <w:r>
        <w:rPr/>
        <w:t>Applicants without a Bachelor of Science in Pharmacy or a Doctor of Pharmacy degree will be considered as students who can be successful in the program with no previous pharmacy- related education and/or experience.</w:t>
      </w:r>
    </w:p>
    <w:p>
      <w:pPr>
        <w:pStyle w:val="BodyText"/>
        <w:spacing w:line="249" w:lineRule="auto"/>
        <w:ind w:right="273"/>
      </w:pPr>
      <w:r>
        <w:rPr/>
        <w:t>All applicants must submit the following materials to be considered for admission:</w:t>
      </w:r>
    </w:p>
    <w:p>
      <w:pPr>
        <w:pStyle w:val="ListParagraph"/>
        <w:numPr>
          <w:ilvl w:val="1"/>
          <w:numId w:val="14"/>
        </w:numPr>
        <w:tabs>
          <w:tab w:pos="632" w:val="left" w:leader="none"/>
        </w:tabs>
        <w:spacing w:line="249" w:lineRule="auto" w:before="179" w:after="0"/>
        <w:ind w:left="631" w:right="278" w:hanging="216"/>
        <w:jc w:val="left"/>
        <w:rPr>
          <w:sz w:val="20"/>
        </w:rPr>
      </w:pPr>
      <w:r>
        <w:rPr>
          <w:sz w:val="20"/>
        </w:rPr>
        <w:t>One official transcript from any undergraduate and graduate</w:t>
      </w:r>
      <w:r>
        <w:rPr>
          <w:spacing w:val="-1"/>
          <w:sz w:val="20"/>
        </w:rPr>
        <w:t> </w:t>
      </w:r>
      <w:r>
        <w:rPr>
          <w:spacing w:val="-3"/>
          <w:sz w:val="20"/>
        </w:rPr>
        <w:t>schools</w:t>
      </w:r>
    </w:p>
    <w:p>
      <w:pPr>
        <w:pStyle w:val="ListParagraph"/>
        <w:numPr>
          <w:ilvl w:val="1"/>
          <w:numId w:val="14"/>
        </w:numPr>
        <w:tabs>
          <w:tab w:pos="632" w:val="left" w:leader="none"/>
        </w:tabs>
        <w:spacing w:line="240" w:lineRule="auto" w:before="184" w:after="0"/>
        <w:ind w:left="631" w:right="0" w:hanging="216"/>
        <w:jc w:val="left"/>
        <w:rPr>
          <w:sz w:val="20"/>
        </w:rPr>
      </w:pPr>
      <w:r>
        <w:rPr>
          <w:sz w:val="20"/>
        </w:rPr>
        <w:t>Graduate Record Examinations</w:t>
      </w:r>
      <w:r>
        <w:rPr>
          <w:spacing w:val="-8"/>
          <w:sz w:val="20"/>
        </w:rPr>
        <w:t> </w:t>
      </w:r>
      <w:r>
        <w:rPr>
          <w:sz w:val="20"/>
        </w:rPr>
        <w:t>scores</w:t>
      </w:r>
    </w:p>
    <w:p>
      <w:pPr>
        <w:pStyle w:val="ListParagraph"/>
        <w:numPr>
          <w:ilvl w:val="1"/>
          <w:numId w:val="14"/>
        </w:numPr>
        <w:tabs>
          <w:tab w:pos="632" w:val="left" w:leader="none"/>
        </w:tabs>
        <w:spacing w:line="240" w:lineRule="auto" w:before="187" w:after="0"/>
        <w:ind w:left="631" w:right="0" w:hanging="216"/>
        <w:jc w:val="left"/>
        <w:rPr>
          <w:sz w:val="20"/>
        </w:rPr>
      </w:pPr>
      <w:r>
        <w:rPr>
          <w:sz w:val="20"/>
        </w:rPr>
        <w:t>Three letters </w:t>
      </w:r>
      <w:r>
        <w:rPr>
          <w:spacing w:val="-3"/>
          <w:sz w:val="20"/>
        </w:rPr>
        <w:t>of </w:t>
      </w:r>
      <w:r>
        <w:rPr>
          <w:sz w:val="20"/>
        </w:rPr>
        <w:t>recommendation</w:t>
      </w:r>
    </w:p>
    <w:p>
      <w:pPr>
        <w:pStyle w:val="ListParagraph"/>
        <w:numPr>
          <w:ilvl w:val="1"/>
          <w:numId w:val="14"/>
        </w:numPr>
        <w:tabs>
          <w:tab w:pos="632" w:val="left" w:leader="none"/>
        </w:tabs>
        <w:spacing w:line="240" w:lineRule="auto" w:before="193" w:after="0"/>
        <w:ind w:left="631" w:right="0" w:hanging="216"/>
        <w:jc w:val="left"/>
        <w:rPr>
          <w:sz w:val="20"/>
        </w:rPr>
      </w:pPr>
      <w:r>
        <w:rPr>
          <w:sz w:val="20"/>
        </w:rPr>
        <w:t>Curriculum</w:t>
      </w:r>
      <w:r>
        <w:rPr>
          <w:spacing w:val="-1"/>
          <w:sz w:val="20"/>
        </w:rPr>
        <w:t> </w:t>
      </w:r>
      <w:r>
        <w:rPr>
          <w:sz w:val="20"/>
        </w:rPr>
        <w:t>vitae</w:t>
      </w:r>
    </w:p>
    <w:p>
      <w:pPr>
        <w:pStyle w:val="ListParagraph"/>
        <w:numPr>
          <w:ilvl w:val="1"/>
          <w:numId w:val="14"/>
        </w:numPr>
        <w:tabs>
          <w:tab w:pos="632" w:val="left" w:leader="none"/>
        </w:tabs>
        <w:spacing w:line="249" w:lineRule="auto" w:before="187" w:after="0"/>
        <w:ind w:left="631" w:right="259" w:hanging="216"/>
        <w:jc w:val="left"/>
        <w:rPr>
          <w:sz w:val="20"/>
        </w:rPr>
      </w:pPr>
      <w:r>
        <w:rPr>
          <w:sz w:val="20"/>
        </w:rPr>
        <w:t>Essay describing </w:t>
      </w:r>
      <w:r>
        <w:rPr>
          <w:spacing w:val="-4"/>
          <w:sz w:val="20"/>
        </w:rPr>
        <w:t>your </w:t>
      </w:r>
      <w:r>
        <w:rPr>
          <w:sz w:val="20"/>
        </w:rPr>
        <w:t>academic goals and research interests</w:t>
      </w:r>
    </w:p>
    <w:p>
      <w:pPr>
        <w:pStyle w:val="BodyText"/>
        <w:spacing w:line="249" w:lineRule="auto" w:before="184"/>
        <w:ind w:left="199" w:right="397"/>
      </w:pPr>
      <w:r>
        <w:rPr/>
        <w:t>Test of English as a Foreign Language or International English Testing System exam scores (international students only)</w:t>
      </w:r>
    </w:p>
    <w:p>
      <w:pPr>
        <w:pStyle w:val="BodyText"/>
        <w:spacing w:line="249" w:lineRule="auto" w:before="180"/>
        <w:ind w:left="199" w:right="85"/>
      </w:pPr>
      <w:r>
        <w:rPr/>
        <w:t>Application for admission can be found at </w:t>
      </w:r>
      <w:hyperlink r:id="rId76">
        <w:r>
          <w:rPr/>
          <w:t>http://graduate.umaryland.edu/Admissions/Apply-Now/.</w:t>
        </w:r>
      </w:hyperlink>
      <w:r>
        <w:rPr/>
        <w:t> Applications for the PhD in PHSR Program are due Jan. 3 for admission in the fall semester. Applications for the MS in PHSR Program are due April 1 for admission in the fall semester.</w:t>
      </w:r>
    </w:p>
    <w:p>
      <w:pPr>
        <w:pStyle w:val="Heading6"/>
        <w:spacing w:before="187"/>
        <w:ind w:left="199"/>
      </w:pPr>
      <w:r>
        <w:rPr/>
        <w:t>Degree Requirements</w:t>
      </w:r>
    </w:p>
    <w:p>
      <w:pPr>
        <w:pStyle w:val="Heading4"/>
      </w:pPr>
      <w:r>
        <w:rPr/>
        <w:t>PhD in Pharmaceutical Health Services Research</w:t>
      </w:r>
    </w:p>
    <w:p>
      <w:pPr>
        <w:pStyle w:val="BodyText"/>
        <w:spacing w:line="249" w:lineRule="auto" w:before="188"/>
        <w:ind w:right="41"/>
      </w:pPr>
      <w:r>
        <w:rPr/>
        <w:t>Required courses include a group of core graduate courses in pharmaceutical health services research, research methods, and statistics. The students also must complete at least 12 credits of advanced courses in their research track beyond core courses. It generally takes about 2 to 2½ years to complete the core and advanced course requirements.</w:t>
      </w:r>
    </w:p>
    <w:p>
      <w:pPr>
        <w:pStyle w:val="BodyText"/>
        <w:spacing w:line="249" w:lineRule="auto" w:before="182"/>
        <w:ind w:left="199" w:right="108"/>
      </w:pPr>
      <w:r>
        <w:rPr/>
        <w:t>While many students enter with prior graduate work, we require that they take the core courses here unless waived. When a core course is waived, students must take another course to meet the credit requirements. When noncore courses or the beginning/intermediate statistics requirements are waived, students are expected to take more advanced courses to complete the course requirements. To allow flexibility and ensure that students are well prepared in their area of specialization, students are asked to establish a curriculum committee by the end</w:t>
      </w:r>
    </w:p>
    <w:p>
      <w:pPr>
        <w:pStyle w:val="BodyText"/>
        <w:spacing w:before="98"/>
        <w:ind w:left="199"/>
      </w:pPr>
      <w:r>
        <w:rPr/>
        <w:br w:type="column"/>
      </w:r>
      <w:r>
        <w:rPr/>
        <w:t>of their first semester of study.</w:t>
      </w:r>
    </w:p>
    <w:p>
      <w:pPr>
        <w:pStyle w:val="Heading4"/>
        <w:ind w:left="199"/>
      </w:pPr>
      <w:r>
        <w:rPr/>
        <w:t>MS in Pharmaceutical Health Services</w:t>
      </w:r>
      <w:r>
        <w:rPr>
          <w:spacing w:val="-13"/>
        </w:rPr>
        <w:t> </w:t>
      </w:r>
      <w:r>
        <w:rPr/>
        <w:t>Research</w:t>
      </w:r>
    </w:p>
    <w:p>
      <w:pPr>
        <w:pStyle w:val="BodyText"/>
        <w:spacing w:line="249" w:lineRule="auto" w:before="188"/>
        <w:ind w:left="199" w:right="616"/>
      </w:pPr>
      <w:r>
        <w:rPr/>
        <w:t>The MS in </w:t>
      </w:r>
      <w:r>
        <w:rPr>
          <w:spacing w:val="-3"/>
        </w:rPr>
        <w:t>PHSR </w:t>
      </w:r>
      <w:r>
        <w:rPr/>
        <w:t>is designed to </w:t>
      </w:r>
      <w:r>
        <w:rPr>
          <w:spacing w:val="-3"/>
        </w:rPr>
        <w:t>be </w:t>
      </w:r>
      <w:r>
        <w:rPr/>
        <w:t>completed in two years. To receive a master’s degree, students must successfully complete select required courses – which include a group of core graduate courses in pharmaceutical health services research, research methods, and statistics – as </w:t>
      </w:r>
      <w:r>
        <w:rPr>
          <w:spacing w:val="-3"/>
        </w:rPr>
        <w:t>well </w:t>
      </w:r>
      <w:r>
        <w:rPr/>
        <w:t>as 6 credits </w:t>
      </w:r>
      <w:r>
        <w:rPr>
          <w:spacing w:val="-3"/>
        </w:rPr>
        <w:t>of </w:t>
      </w:r>
      <w:r>
        <w:rPr/>
        <w:t>advanced courses in their chosen research</w:t>
      </w:r>
      <w:r>
        <w:rPr>
          <w:spacing w:val="-10"/>
        </w:rPr>
        <w:t> </w:t>
      </w:r>
      <w:r>
        <w:rPr/>
        <w:t>area.</w:t>
      </w:r>
    </w:p>
    <w:p>
      <w:pPr>
        <w:pStyle w:val="BodyText"/>
        <w:spacing w:line="249" w:lineRule="auto" w:before="182"/>
        <w:ind w:left="199" w:right="632"/>
      </w:pPr>
      <w:r>
        <w:rPr/>
        <w:t>Some students might be required to take additional courses as deemed appropriate by the program. In particular, students without strong computer programming skills may need elective courses.</w:t>
      </w:r>
    </w:p>
    <w:p>
      <w:pPr>
        <w:pStyle w:val="Heading5"/>
        <w:spacing w:before="177"/>
        <w:ind w:left="199"/>
      </w:pPr>
      <w:r>
        <w:rPr/>
        <w:t>Required Courses</w:t>
      </w:r>
    </w:p>
    <w:p>
      <w:pPr>
        <w:pStyle w:val="Heading5"/>
        <w:spacing w:before="176"/>
        <w:ind w:left="199"/>
      </w:pPr>
      <w:r>
        <w:rPr/>
        <w:t>PhD in Pharmaceutical Health Services Research</w:t>
      </w: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6"/>
        <w:gridCol w:w="3562"/>
        <w:gridCol w:w="600"/>
      </w:tblGrid>
      <w:tr>
        <w:trPr>
          <w:trHeight w:val="481" w:hRule="atLeast"/>
        </w:trPr>
        <w:tc>
          <w:tcPr>
            <w:tcW w:w="1196" w:type="dxa"/>
          </w:tcPr>
          <w:p>
            <w:pPr>
              <w:pStyle w:val="TableParagraph"/>
              <w:spacing w:line="223" w:lineRule="exact" w:before="0"/>
              <w:ind w:left="166" w:right="113"/>
              <w:jc w:val="center"/>
              <w:rPr>
                <w:sz w:val="20"/>
              </w:rPr>
            </w:pPr>
            <w:r>
              <w:rPr>
                <w:sz w:val="20"/>
              </w:rPr>
              <w:t>PHSR 610</w:t>
            </w:r>
          </w:p>
        </w:tc>
        <w:tc>
          <w:tcPr>
            <w:tcW w:w="3562" w:type="dxa"/>
          </w:tcPr>
          <w:p>
            <w:pPr>
              <w:pStyle w:val="TableParagraph"/>
              <w:spacing w:line="223" w:lineRule="exact" w:before="0"/>
              <w:ind w:left="131"/>
              <w:rPr>
                <w:sz w:val="20"/>
              </w:rPr>
            </w:pPr>
            <w:r>
              <w:rPr>
                <w:sz w:val="20"/>
              </w:rPr>
              <w:t>PHARMACY, DRUGS, AND THE</w:t>
            </w:r>
          </w:p>
          <w:p>
            <w:pPr>
              <w:pStyle w:val="TableParagraph"/>
              <w:spacing w:line="228" w:lineRule="exact" w:before="10"/>
              <w:ind w:left="131"/>
              <w:rPr>
                <w:sz w:val="20"/>
              </w:rPr>
            </w:pPr>
            <w:r>
              <w:rPr>
                <w:sz w:val="20"/>
              </w:rPr>
              <w:t>HEALTH CARE SYSTEM</w:t>
            </w:r>
          </w:p>
        </w:tc>
        <w:tc>
          <w:tcPr>
            <w:tcW w:w="600" w:type="dxa"/>
          </w:tcPr>
          <w:p>
            <w:pPr>
              <w:pStyle w:val="TableParagraph"/>
              <w:spacing w:line="223" w:lineRule="exact" w:before="0"/>
              <w:ind w:right="197"/>
              <w:jc w:val="right"/>
              <w:rPr>
                <w:sz w:val="20"/>
              </w:rPr>
            </w:pPr>
            <w:r>
              <w:rPr>
                <w:w w:val="100"/>
                <w:sz w:val="20"/>
              </w:rPr>
              <w:t>3</w:t>
            </w:r>
          </w:p>
        </w:tc>
      </w:tr>
      <w:tr>
        <w:trPr>
          <w:trHeight w:val="746" w:hRule="atLeast"/>
        </w:trPr>
        <w:tc>
          <w:tcPr>
            <w:tcW w:w="1196" w:type="dxa"/>
          </w:tcPr>
          <w:p>
            <w:pPr>
              <w:pStyle w:val="TableParagraph"/>
              <w:spacing w:before="11"/>
              <w:ind w:left="166" w:right="113"/>
              <w:jc w:val="center"/>
              <w:rPr>
                <w:sz w:val="20"/>
              </w:rPr>
            </w:pPr>
            <w:r>
              <w:rPr>
                <w:sz w:val="20"/>
              </w:rPr>
              <w:t>PHSR 631</w:t>
            </w:r>
          </w:p>
        </w:tc>
        <w:tc>
          <w:tcPr>
            <w:tcW w:w="3562" w:type="dxa"/>
          </w:tcPr>
          <w:p>
            <w:pPr>
              <w:pStyle w:val="TableParagraph"/>
              <w:spacing w:line="240" w:lineRule="atLeast"/>
              <w:ind w:left="131" w:right="277"/>
              <w:rPr>
                <w:sz w:val="20"/>
              </w:rPr>
            </w:pPr>
            <w:r>
              <w:rPr>
                <w:sz w:val="20"/>
              </w:rPr>
              <w:t>COMPUTING AND ANALYTC METHODS FOR OBSERVATIONAL STUDIES</w:t>
            </w:r>
          </w:p>
        </w:tc>
        <w:tc>
          <w:tcPr>
            <w:tcW w:w="600" w:type="dxa"/>
          </w:tcPr>
          <w:p>
            <w:pPr>
              <w:pStyle w:val="TableParagraph"/>
              <w:spacing w:before="11"/>
              <w:ind w:right="197"/>
              <w:jc w:val="right"/>
              <w:rPr>
                <w:sz w:val="20"/>
              </w:rPr>
            </w:pPr>
            <w:r>
              <w:rPr>
                <w:w w:val="100"/>
                <w:sz w:val="20"/>
              </w:rPr>
              <w:t>3</w:t>
            </w:r>
          </w:p>
        </w:tc>
      </w:tr>
      <w:tr>
        <w:trPr>
          <w:trHeight w:val="511" w:hRule="atLeast"/>
        </w:trPr>
        <w:tc>
          <w:tcPr>
            <w:tcW w:w="1196" w:type="dxa"/>
          </w:tcPr>
          <w:p>
            <w:pPr>
              <w:pStyle w:val="TableParagraph"/>
              <w:spacing w:before="18"/>
              <w:ind w:left="166" w:right="113"/>
              <w:jc w:val="center"/>
              <w:rPr>
                <w:sz w:val="20"/>
              </w:rPr>
            </w:pPr>
            <w:r>
              <w:rPr>
                <w:sz w:val="20"/>
              </w:rPr>
              <w:t>PHSR 650</w:t>
            </w:r>
          </w:p>
        </w:tc>
        <w:tc>
          <w:tcPr>
            <w:tcW w:w="3562" w:type="dxa"/>
          </w:tcPr>
          <w:p>
            <w:pPr>
              <w:pStyle w:val="TableParagraph"/>
              <w:spacing w:line="240" w:lineRule="atLeast" w:before="8"/>
              <w:ind w:left="131" w:right="982"/>
              <w:rPr>
                <w:sz w:val="20"/>
              </w:rPr>
            </w:pPr>
            <w:r>
              <w:rPr>
                <w:sz w:val="20"/>
              </w:rPr>
              <w:t>CER AND PHARMACOECONOMICS I</w:t>
            </w:r>
          </w:p>
        </w:tc>
        <w:tc>
          <w:tcPr>
            <w:tcW w:w="600" w:type="dxa"/>
          </w:tcPr>
          <w:p>
            <w:pPr>
              <w:pStyle w:val="TableParagraph"/>
              <w:spacing w:before="18"/>
              <w:ind w:right="197"/>
              <w:jc w:val="right"/>
              <w:rPr>
                <w:sz w:val="20"/>
              </w:rPr>
            </w:pPr>
            <w:r>
              <w:rPr>
                <w:w w:val="100"/>
                <w:sz w:val="20"/>
              </w:rPr>
              <w:t>3</w:t>
            </w:r>
          </w:p>
        </w:tc>
      </w:tr>
      <w:tr>
        <w:trPr>
          <w:trHeight w:val="381" w:hRule="atLeast"/>
        </w:trPr>
        <w:tc>
          <w:tcPr>
            <w:tcW w:w="1196" w:type="dxa"/>
          </w:tcPr>
          <w:p>
            <w:pPr>
              <w:pStyle w:val="TableParagraph"/>
              <w:spacing w:before="15"/>
              <w:ind w:left="166" w:right="113"/>
              <w:jc w:val="center"/>
              <w:rPr>
                <w:sz w:val="20"/>
              </w:rPr>
            </w:pPr>
            <w:r>
              <w:rPr>
                <w:sz w:val="20"/>
              </w:rPr>
              <w:t>PHSR 701</w:t>
            </w:r>
          </w:p>
        </w:tc>
        <w:tc>
          <w:tcPr>
            <w:tcW w:w="3562" w:type="dxa"/>
          </w:tcPr>
          <w:p>
            <w:pPr>
              <w:pStyle w:val="TableParagraph"/>
              <w:spacing w:before="15"/>
              <w:ind w:left="131"/>
              <w:rPr>
                <w:sz w:val="20"/>
              </w:rPr>
            </w:pPr>
            <w:r>
              <w:rPr>
                <w:sz w:val="20"/>
              </w:rPr>
              <w:t>RESEARCH METHODS I</w:t>
            </w:r>
          </w:p>
        </w:tc>
        <w:tc>
          <w:tcPr>
            <w:tcW w:w="600" w:type="dxa"/>
          </w:tcPr>
          <w:p>
            <w:pPr>
              <w:pStyle w:val="TableParagraph"/>
              <w:spacing w:before="15"/>
              <w:ind w:right="197"/>
              <w:jc w:val="right"/>
              <w:rPr>
                <w:sz w:val="20"/>
              </w:rPr>
            </w:pPr>
            <w:r>
              <w:rPr>
                <w:w w:val="100"/>
                <w:sz w:val="20"/>
              </w:rPr>
              <w:t>3</w:t>
            </w:r>
          </w:p>
        </w:tc>
      </w:tr>
      <w:tr>
        <w:trPr>
          <w:trHeight w:val="496" w:hRule="atLeast"/>
        </w:trPr>
        <w:tc>
          <w:tcPr>
            <w:tcW w:w="1196" w:type="dxa"/>
          </w:tcPr>
          <w:p>
            <w:pPr>
              <w:pStyle w:val="TableParagraph"/>
              <w:spacing w:before="128"/>
              <w:ind w:left="166" w:right="113"/>
              <w:jc w:val="center"/>
              <w:rPr>
                <w:sz w:val="20"/>
              </w:rPr>
            </w:pPr>
            <w:r>
              <w:rPr>
                <w:sz w:val="20"/>
              </w:rPr>
              <w:t>PHSR 702</w:t>
            </w:r>
          </w:p>
        </w:tc>
        <w:tc>
          <w:tcPr>
            <w:tcW w:w="3562" w:type="dxa"/>
          </w:tcPr>
          <w:p>
            <w:pPr>
              <w:pStyle w:val="TableParagraph"/>
              <w:spacing w:before="128"/>
              <w:ind w:left="131"/>
              <w:rPr>
                <w:sz w:val="20"/>
              </w:rPr>
            </w:pPr>
            <w:r>
              <w:rPr>
                <w:sz w:val="20"/>
              </w:rPr>
              <w:t>RESEARCH METHODS II</w:t>
            </w:r>
          </w:p>
        </w:tc>
        <w:tc>
          <w:tcPr>
            <w:tcW w:w="600" w:type="dxa"/>
          </w:tcPr>
          <w:p>
            <w:pPr>
              <w:pStyle w:val="TableParagraph"/>
              <w:spacing w:before="128"/>
              <w:ind w:right="197"/>
              <w:jc w:val="right"/>
              <w:rPr>
                <w:sz w:val="20"/>
              </w:rPr>
            </w:pPr>
            <w:r>
              <w:rPr>
                <w:w w:val="100"/>
                <w:sz w:val="20"/>
              </w:rPr>
              <w:t>3</w:t>
            </w:r>
          </w:p>
        </w:tc>
      </w:tr>
      <w:tr>
        <w:trPr>
          <w:trHeight w:val="504" w:hRule="atLeast"/>
        </w:trPr>
        <w:tc>
          <w:tcPr>
            <w:tcW w:w="1196" w:type="dxa"/>
          </w:tcPr>
          <w:p>
            <w:pPr>
              <w:pStyle w:val="TableParagraph"/>
              <w:spacing w:before="131"/>
              <w:ind w:left="166" w:right="113"/>
              <w:jc w:val="center"/>
              <w:rPr>
                <w:sz w:val="20"/>
              </w:rPr>
            </w:pPr>
            <w:r>
              <w:rPr>
                <w:sz w:val="20"/>
              </w:rPr>
              <w:t>PHSR 704</w:t>
            </w:r>
          </w:p>
        </w:tc>
        <w:tc>
          <w:tcPr>
            <w:tcW w:w="3562" w:type="dxa"/>
          </w:tcPr>
          <w:p>
            <w:pPr>
              <w:pStyle w:val="TableParagraph"/>
              <w:spacing w:before="131"/>
              <w:ind w:left="131"/>
              <w:rPr>
                <w:sz w:val="20"/>
              </w:rPr>
            </w:pPr>
            <w:r>
              <w:rPr>
                <w:sz w:val="20"/>
              </w:rPr>
              <w:t>PHARMACOEPIDEMIOLOGY</w:t>
            </w:r>
          </w:p>
        </w:tc>
        <w:tc>
          <w:tcPr>
            <w:tcW w:w="600" w:type="dxa"/>
          </w:tcPr>
          <w:p>
            <w:pPr>
              <w:pStyle w:val="TableParagraph"/>
              <w:spacing w:before="131"/>
              <w:ind w:right="197"/>
              <w:jc w:val="right"/>
              <w:rPr>
                <w:sz w:val="20"/>
              </w:rPr>
            </w:pPr>
            <w:r>
              <w:rPr>
                <w:w w:val="100"/>
                <w:sz w:val="20"/>
              </w:rPr>
              <w:t>3</w:t>
            </w:r>
          </w:p>
        </w:tc>
      </w:tr>
      <w:tr>
        <w:trPr>
          <w:trHeight w:val="501" w:hRule="atLeast"/>
        </w:trPr>
        <w:tc>
          <w:tcPr>
            <w:tcW w:w="1196" w:type="dxa"/>
          </w:tcPr>
          <w:p>
            <w:pPr>
              <w:pStyle w:val="TableParagraph"/>
              <w:spacing w:before="135"/>
              <w:ind w:left="166" w:right="113"/>
              <w:jc w:val="center"/>
              <w:rPr>
                <w:sz w:val="20"/>
              </w:rPr>
            </w:pPr>
            <w:r>
              <w:rPr>
                <w:sz w:val="20"/>
              </w:rPr>
              <w:t>PHSR 709</w:t>
            </w:r>
          </w:p>
        </w:tc>
        <w:tc>
          <w:tcPr>
            <w:tcW w:w="3562" w:type="dxa"/>
          </w:tcPr>
          <w:p>
            <w:pPr>
              <w:pStyle w:val="TableParagraph"/>
              <w:spacing w:before="135"/>
              <w:ind w:left="131"/>
              <w:rPr>
                <w:sz w:val="20"/>
              </w:rPr>
            </w:pPr>
            <w:r>
              <w:rPr>
                <w:sz w:val="20"/>
              </w:rPr>
              <w:t>GRADUATE SEMINAR</w:t>
            </w:r>
          </w:p>
        </w:tc>
        <w:tc>
          <w:tcPr>
            <w:tcW w:w="600" w:type="dxa"/>
          </w:tcPr>
          <w:p>
            <w:pPr>
              <w:pStyle w:val="TableParagraph"/>
              <w:spacing w:before="135"/>
              <w:ind w:right="197"/>
              <w:jc w:val="right"/>
              <w:rPr>
                <w:sz w:val="20"/>
              </w:rPr>
            </w:pPr>
            <w:r>
              <w:rPr>
                <w:w w:val="100"/>
                <w:sz w:val="20"/>
              </w:rPr>
              <w:t>1</w:t>
            </w:r>
          </w:p>
        </w:tc>
      </w:tr>
      <w:tr>
        <w:trPr>
          <w:trHeight w:val="496" w:hRule="atLeast"/>
        </w:trPr>
        <w:tc>
          <w:tcPr>
            <w:tcW w:w="1196" w:type="dxa"/>
          </w:tcPr>
          <w:p>
            <w:pPr>
              <w:pStyle w:val="TableParagraph"/>
              <w:spacing w:before="128"/>
              <w:ind w:left="179" w:right="111"/>
              <w:jc w:val="center"/>
              <w:rPr>
                <w:sz w:val="20"/>
              </w:rPr>
            </w:pPr>
            <w:r>
              <w:rPr>
                <w:sz w:val="20"/>
              </w:rPr>
              <w:t>PREV 600</w:t>
            </w:r>
          </w:p>
        </w:tc>
        <w:tc>
          <w:tcPr>
            <w:tcW w:w="3562" w:type="dxa"/>
          </w:tcPr>
          <w:p>
            <w:pPr>
              <w:pStyle w:val="TableParagraph"/>
              <w:spacing w:before="128"/>
              <w:ind w:left="131"/>
              <w:rPr>
                <w:sz w:val="20"/>
              </w:rPr>
            </w:pPr>
            <w:r>
              <w:rPr>
                <w:sz w:val="20"/>
              </w:rPr>
              <w:t>PRINCIPLES OF EPIDEMIOLOGY</w:t>
            </w:r>
          </w:p>
        </w:tc>
        <w:tc>
          <w:tcPr>
            <w:tcW w:w="600" w:type="dxa"/>
          </w:tcPr>
          <w:p>
            <w:pPr>
              <w:pStyle w:val="TableParagraph"/>
              <w:spacing w:before="128"/>
              <w:ind w:right="197"/>
              <w:jc w:val="right"/>
              <w:rPr>
                <w:sz w:val="20"/>
              </w:rPr>
            </w:pPr>
            <w:r>
              <w:rPr>
                <w:w w:val="100"/>
                <w:sz w:val="20"/>
              </w:rPr>
              <w:t>3</w:t>
            </w:r>
          </w:p>
        </w:tc>
      </w:tr>
      <w:tr>
        <w:trPr>
          <w:trHeight w:val="504" w:hRule="atLeast"/>
        </w:trPr>
        <w:tc>
          <w:tcPr>
            <w:tcW w:w="1196" w:type="dxa"/>
          </w:tcPr>
          <w:p>
            <w:pPr>
              <w:pStyle w:val="TableParagraph"/>
              <w:spacing w:before="131"/>
              <w:ind w:left="179" w:right="111"/>
              <w:jc w:val="center"/>
              <w:rPr>
                <w:sz w:val="20"/>
              </w:rPr>
            </w:pPr>
            <w:r>
              <w:rPr>
                <w:sz w:val="20"/>
              </w:rPr>
              <w:t>PREV 619</w:t>
            </w:r>
          </w:p>
        </w:tc>
        <w:tc>
          <w:tcPr>
            <w:tcW w:w="3562" w:type="dxa"/>
          </w:tcPr>
          <w:p>
            <w:pPr>
              <w:pStyle w:val="TableParagraph"/>
              <w:spacing w:before="131"/>
              <w:ind w:left="131"/>
              <w:rPr>
                <w:sz w:val="20"/>
              </w:rPr>
            </w:pPr>
            <w:r>
              <w:rPr>
                <w:sz w:val="20"/>
              </w:rPr>
              <w:t>INTRODUCTION TO SAS</w:t>
            </w:r>
          </w:p>
        </w:tc>
        <w:tc>
          <w:tcPr>
            <w:tcW w:w="600" w:type="dxa"/>
          </w:tcPr>
          <w:p>
            <w:pPr>
              <w:pStyle w:val="TableParagraph"/>
              <w:spacing w:before="131"/>
              <w:ind w:right="197"/>
              <w:jc w:val="right"/>
              <w:rPr>
                <w:sz w:val="20"/>
              </w:rPr>
            </w:pPr>
            <w:r>
              <w:rPr>
                <w:w w:val="100"/>
                <w:sz w:val="20"/>
              </w:rPr>
              <w:t>1</w:t>
            </w:r>
          </w:p>
        </w:tc>
      </w:tr>
      <w:tr>
        <w:trPr>
          <w:trHeight w:val="366" w:hRule="atLeast"/>
        </w:trPr>
        <w:tc>
          <w:tcPr>
            <w:tcW w:w="1196" w:type="dxa"/>
          </w:tcPr>
          <w:p>
            <w:pPr>
              <w:pStyle w:val="TableParagraph"/>
              <w:spacing w:line="210" w:lineRule="exact" w:before="135"/>
              <w:ind w:left="179" w:right="111"/>
              <w:jc w:val="center"/>
              <w:rPr>
                <w:sz w:val="20"/>
              </w:rPr>
            </w:pPr>
            <w:r>
              <w:rPr>
                <w:sz w:val="20"/>
              </w:rPr>
              <w:t>PREV 620</w:t>
            </w:r>
          </w:p>
        </w:tc>
        <w:tc>
          <w:tcPr>
            <w:tcW w:w="3562" w:type="dxa"/>
          </w:tcPr>
          <w:p>
            <w:pPr>
              <w:pStyle w:val="TableParagraph"/>
              <w:spacing w:line="210" w:lineRule="exact" w:before="135"/>
              <w:ind w:left="131"/>
              <w:rPr>
                <w:sz w:val="20"/>
              </w:rPr>
            </w:pPr>
            <w:r>
              <w:rPr>
                <w:sz w:val="20"/>
              </w:rPr>
              <w:t>PRINCIPLES OF BIOSTATISTICS</w:t>
            </w:r>
          </w:p>
        </w:tc>
        <w:tc>
          <w:tcPr>
            <w:tcW w:w="600" w:type="dxa"/>
          </w:tcPr>
          <w:p>
            <w:pPr>
              <w:pStyle w:val="TableParagraph"/>
              <w:spacing w:line="210" w:lineRule="exact" w:before="135"/>
              <w:ind w:right="197"/>
              <w:jc w:val="right"/>
              <w:rPr>
                <w:sz w:val="20"/>
              </w:rPr>
            </w:pPr>
            <w:r>
              <w:rPr>
                <w:w w:val="100"/>
                <w:sz w:val="20"/>
              </w:rPr>
              <w:t>3</w:t>
            </w:r>
          </w:p>
        </w:tc>
      </w:tr>
    </w:tbl>
    <w:p>
      <w:pPr>
        <w:pStyle w:val="BodyText"/>
        <w:spacing w:before="0"/>
        <w:ind w:left="0"/>
        <w:rPr>
          <w:sz w:val="22"/>
        </w:rPr>
      </w:pPr>
    </w:p>
    <w:p>
      <w:pPr>
        <w:pStyle w:val="BodyText"/>
        <w:spacing w:before="3"/>
        <w:ind w:left="0"/>
        <w:rPr>
          <w:sz w:val="17"/>
        </w:rPr>
      </w:pPr>
    </w:p>
    <w:p>
      <w:pPr>
        <w:pStyle w:val="Heading5"/>
        <w:spacing w:before="0"/>
        <w:ind w:left="199"/>
      </w:pPr>
      <w:r>
        <w:rPr/>
        <w:t>Advanced cognate courses include:</w:t>
      </w:r>
    </w:p>
    <w:p>
      <w:pPr>
        <w:pStyle w:val="BodyText"/>
        <w:spacing w:line="249" w:lineRule="auto" w:before="186"/>
        <w:ind w:left="199" w:right="1310"/>
      </w:pPr>
      <w:r>
        <w:rPr/>
        <w:t>Electives as determined by student and curriculum committee: (12 credits)</w:t>
      </w: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1"/>
        <w:gridCol w:w="2359"/>
        <w:gridCol w:w="1346"/>
      </w:tblGrid>
      <w:tr>
        <w:trPr>
          <w:trHeight w:val="703" w:hRule="atLeast"/>
        </w:trPr>
        <w:tc>
          <w:tcPr>
            <w:tcW w:w="1251" w:type="dxa"/>
          </w:tcPr>
          <w:p>
            <w:pPr>
              <w:pStyle w:val="TableParagraph"/>
              <w:spacing w:line="223" w:lineRule="exact" w:before="0"/>
              <w:ind w:left="200"/>
              <w:rPr>
                <w:sz w:val="20"/>
              </w:rPr>
            </w:pPr>
            <w:r>
              <w:rPr>
                <w:sz w:val="20"/>
              </w:rPr>
              <w:t>PHSR 899</w:t>
            </w:r>
          </w:p>
        </w:tc>
        <w:tc>
          <w:tcPr>
            <w:tcW w:w="2359" w:type="dxa"/>
          </w:tcPr>
          <w:p>
            <w:pPr>
              <w:pStyle w:val="TableParagraph"/>
              <w:spacing w:line="249" w:lineRule="auto" w:before="0"/>
              <w:ind w:left="201" w:right="704"/>
              <w:rPr>
                <w:sz w:val="20"/>
              </w:rPr>
            </w:pPr>
            <w:r>
              <w:rPr>
                <w:sz w:val="20"/>
              </w:rPr>
              <w:t>DOCTORIAL DISSERTATION</w:t>
            </w:r>
          </w:p>
          <w:p>
            <w:pPr>
              <w:pStyle w:val="TableParagraph"/>
              <w:spacing w:line="210" w:lineRule="exact" w:before="0"/>
              <w:ind w:left="201"/>
              <w:rPr>
                <w:sz w:val="20"/>
              </w:rPr>
            </w:pPr>
            <w:r>
              <w:rPr>
                <w:sz w:val="20"/>
              </w:rPr>
              <w:t>RESEARCH</w:t>
            </w:r>
          </w:p>
        </w:tc>
        <w:tc>
          <w:tcPr>
            <w:tcW w:w="1346" w:type="dxa"/>
          </w:tcPr>
          <w:p>
            <w:pPr>
              <w:pStyle w:val="TableParagraph"/>
              <w:spacing w:line="223" w:lineRule="exact" w:before="0"/>
              <w:ind w:right="197"/>
              <w:jc w:val="right"/>
              <w:rPr>
                <w:sz w:val="20"/>
              </w:rPr>
            </w:pPr>
            <w:r>
              <w:rPr>
                <w:sz w:val="20"/>
              </w:rPr>
              <w:t>1</w:t>
            </w:r>
            <w:r>
              <w:rPr>
                <w:spacing w:val="5"/>
                <w:sz w:val="20"/>
              </w:rPr>
              <w:t> </w:t>
            </w:r>
            <w:r>
              <w:rPr>
                <w:sz w:val="20"/>
              </w:rPr>
              <w:t>TO</w:t>
            </w:r>
          </w:p>
          <w:p>
            <w:pPr>
              <w:pStyle w:val="TableParagraph"/>
              <w:spacing w:before="10"/>
              <w:ind w:right="203"/>
              <w:jc w:val="right"/>
              <w:rPr>
                <w:sz w:val="20"/>
              </w:rPr>
            </w:pPr>
            <w:r>
              <w:rPr>
                <w:sz w:val="20"/>
              </w:rPr>
              <w:t>12</w:t>
            </w:r>
          </w:p>
        </w:tc>
      </w:tr>
    </w:tbl>
    <w:p>
      <w:pPr>
        <w:pStyle w:val="Heading5"/>
        <w:spacing w:before="191"/>
        <w:ind w:left="199"/>
      </w:pPr>
      <w:r>
        <w:rPr/>
        <w:pict>
          <v:shape style="position:absolute;margin-left:323.600006pt;margin-top:22.370319pt;width:263.4pt;height:47.2pt;mso-position-horizontal-relative:page;mso-position-vertical-relative:paragraph;z-index:15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9"/>
                    <w:gridCol w:w="3400"/>
                    <w:gridCol w:w="688"/>
                  </w:tblGrid>
                  <w:tr>
                    <w:trPr>
                      <w:trHeight w:val="471" w:hRule="atLeast"/>
                    </w:trPr>
                    <w:tc>
                      <w:tcPr>
                        <w:tcW w:w="1179" w:type="dxa"/>
                      </w:tcPr>
                      <w:p>
                        <w:pPr>
                          <w:pStyle w:val="TableParagraph"/>
                          <w:spacing w:line="223" w:lineRule="exact" w:before="0"/>
                          <w:ind w:left="179" w:right="109"/>
                          <w:jc w:val="center"/>
                          <w:rPr>
                            <w:sz w:val="20"/>
                          </w:rPr>
                        </w:pPr>
                        <w:r>
                          <w:rPr>
                            <w:sz w:val="20"/>
                          </w:rPr>
                          <w:t>PHSR 610</w:t>
                        </w:r>
                      </w:p>
                    </w:tc>
                    <w:tc>
                      <w:tcPr>
                        <w:tcW w:w="3400" w:type="dxa"/>
                      </w:tcPr>
                      <w:p>
                        <w:pPr>
                          <w:pStyle w:val="TableParagraph"/>
                          <w:spacing w:line="223" w:lineRule="exact" w:before="0"/>
                          <w:ind w:left="129"/>
                          <w:rPr>
                            <w:sz w:val="20"/>
                          </w:rPr>
                        </w:pPr>
                        <w:r>
                          <w:rPr>
                            <w:sz w:val="20"/>
                          </w:rPr>
                          <w:t>PHARMACY, DRUGS, AND THE</w:t>
                        </w:r>
                      </w:p>
                      <w:p>
                        <w:pPr>
                          <w:pStyle w:val="TableParagraph"/>
                          <w:spacing w:line="219" w:lineRule="exact" w:before="10"/>
                          <w:ind w:left="129"/>
                          <w:rPr>
                            <w:sz w:val="20"/>
                          </w:rPr>
                        </w:pPr>
                        <w:r>
                          <w:rPr>
                            <w:sz w:val="20"/>
                          </w:rPr>
                          <w:t>HEALTH CARE SYSTEM</w:t>
                        </w:r>
                      </w:p>
                    </w:tc>
                    <w:tc>
                      <w:tcPr>
                        <w:tcW w:w="688" w:type="dxa"/>
                      </w:tcPr>
                      <w:p>
                        <w:pPr>
                          <w:pStyle w:val="TableParagraph"/>
                          <w:spacing w:line="223" w:lineRule="exact" w:before="0"/>
                          <w:ind w:right="197"/>
                          <w:jc w:val="right"/>
                          <w:rPr>
                            <w:sz w:val="20"/>
                          </w:rPr>
                        </w:pPr>
                        <w:r>
                          <w:rPr>
                            <w:w w:val="100"/>
                            <w:sz w:val="20"/>
                          </w:rPr>
                          <w:t>3</w:t>
                        </w:r>
                      </w:p>
                    </w:tc>
                  </w:tr>
                  <w:tr>
                    <w:trPr>
                      <w:trHeight w:val="471" w:hRule="atLeast"/>
                    </w:trPr>
                    <w:tc>
                      <w:tcPr>
                        <w:tcW w:w="1179" w:type="dxa"/>
                      </w:tcPr>
                      <w:p>
                        <w:pPr>
                          <w:pStyle w:val="TableParagraph"/>
                          <w:ind w:left="179" w:right="109"/>
                          <w:jc w:val="center"/>
                          <w:rPr>
                            <w:sz w:val="20"/>
                          </w:rPr>
                        </w:pPr>
                        <w:r>
                          <w:rPr>
                            <w:sz w:val="20"/>
                          </w:rPr>
                          <w:t>PHSR 631</w:t>
                        </w:r>
                      </w:p>
                    </w:tc>
                    <w:tc>
                      <w:tcPr>
                        <w:tcW w:w="3400" w:type="dxa"/>
                      </w:tcPr>
                      <w:p>
                        <w:pPr>
                          <w:pStyle w:val="TableParagraph"/>
                          <w:ind w:left="129"/>
                          <w:rPr>
                            <w:sz w:val="20"/>
                          </w:rPr>
                        </w:pPr>
                        <w:r>
                          <w:rPr>
                            <w:sz w:val="20"/>
                          </w:rPr>
                          <w:t>COMPUTING AND ANALYTC</w:t>
                        </w:r>
                      </w:p>
                      <w:p>
                        <w:pPr>
                          <w:pStyle w:val="TableParagraph"/>
                          <w:spacing w:line="210" w:lineRule="exact" w:before="10"/>
                          <w:ind w:left="129"/>
                          <w:rPr>
                            <w:sz w:val="20"/>
                          </w:rPr>
                        </w:pPr>
                        <w:r>
                          <w:rPr>
                            <w:sz w:val="20"/>
                          </w:rPr>
                          <w:t>METHODS FOR</w:t>
                        </w:r>
                      </w:p>
                    </w:tc>
                    <w:tc>
                      <w:tcPr>
                        <w:tcW w:w="688" w:type="dxa"/>
                      </w:tcPr>
                      <w:p>
                        <w:pPr>
                          <w:pStyle w:val="TableParagraph"/>
                          <w:ind w:right="197"/>
                          <w:jc w:val="right"/>
                          <w:rPr>
                            <w:sz w:val="20"/>
                          </w:rPr>
                        </w:pPr>
                        <w:r>
                          <w:rPr>
                            <w:w w:val="100"/>
                            <w:sz w:val="20"/>
                          </w:rPr>
                          <w:t>3</w:t>
                        </w:r>
                      </w:p>
                    </w:tc>
                  </w:tr>
                </w:tbl>
                <w:p>
                  <w:pPr>
                    <w:pStyle w:val="BodyText"/>
                    <w:spacing w:before="0"/>
                    <w:ind w:left="0"/>
                  </w:pPr>
                </w:p>
              </w:txbxContent>
            </v:textbox>
            <w10:wrap type="none"/>
          </v:shape>
        </w:pict>
      </w:r>
      <w:r>
        <w:rPr/>
        <w:t>MS in Pharmaceutical Health Services Research</w:t>
      </w:r>
    </w:p>
    <w:p>
      <w:pPr>
        <w:spacing w:after="0"/>
        <w:sectPr>
          <w:pgSz w:w="12240" w:h="15840"/>
          <w:pgMar w:header="746" w:footer="0" w:top="1320" w:bottom="280" w:left="880" w:right="300"/>
          <w:cols w:num="2" w:equalWidth="0">
            <w:col w:w="4993" w:space="494"/>
            <w:col w:w="5573"/>
          </w:cols>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3446"/>
        <w:gridCol w:w="634"/>
      </w:tblGrid>
      <w:tr>
        <w:trPr>
          <w:trHeight w:val="231" w:hRule="atLeast"/>
        </w:trPr>
        <w:tc>
          <w:tcPr>
            <w:tcW w:w="1186" w:type="dxa"/>
          </w:tcPr>
          <w:p>
            <w:pPr>
              <w:pStyle w:val="TableParagraph"/>
              <w:spacing w:before="0"/>
              <w:rPr>
                <w:sz w:val="16"/>
              </w:rPr>
            </w:pPr>
          </w:p>
        </w:tc>
        <w:tc>
          <w:tcPr>
            <w:tcW w:w="3446" w:type="dxa"/>
          </w:tcPr>
          <w:p>
            <w:pPr>
              <w:pStyle w:val="TableParagraph"/>
              <w:spacing w:line="212" w:lineRule="exact" w:before="0"/>
              <w:ind w:left="122"/>
              <w:rPr>
                <w:sz w:val="20"/>
              </w:rPr>
            </w:pPr>
            <w:r>
              <w:rPr>
                <w:sz w:val="20"/>
              </w:rPr>
              <w:t>OBSERVATIONAL STUDIES</w:t>
            </w:r>
          </w:p>
        </w:tc>
        <w:tc>
          <w:tcPr>
            <w:tcW w:w="634" w:type="dxa"/>
          </w:tcPr>
          <w:p>
            <w:pPr>
              <w:pStyle w:val="TableParagraph"/>
              <w:spacing w:before="0"/>
              <w:rPr>
                <w:sz w:val="16"/>
              </w:rPr>
            </w:pPr>
          </w:p>
        </w:tc>
      </w:tr>
      <w:tr>
        <w:trPr>
          <w:trHeight w:val="480" w:hRule="atLeast"/>
        </w:trPr>
        <w:tc>
          <w:tcPr>
            <w:tcW w:w="1186" w:type="dxa"/>
          </w:tcPr>
          <w:p>
            <w:pPr>
              <w:pStyle w:val="TableParagraph"/>
              <w:ind w:right="134"/>
              <w:jc w:val="right"/>
              <w:rPr>
                <w:sz w:val="20"/>
              </w:rPr>
            </w:pPr>
            <w:r>
              <w:rPr>
                <w:sz w:val="20"/>
              </w:rPr>
              <w:t>PHSR 650</w:t>
            </w:r>
          </w:p>
        </w:tc>
        <w:tc>
          <w:tcPr>
            <w:tcW w:w="3446" w:type="dxa"/>
          </w:tcPr>
          <w:p>
            <w:pPr>
              <w:pStyle w:val="TableParagraph"/>
              <w:ind w:left="122"/>
              <w:rPr>
                <w:sz w:val="20"/>
              </w:rPr>
            </w:pPr>
            <w:r>
              <w:rPr>
                <w:sz w:val="20"/>
              </w:rPr>
              <w:t>CER AND</w:t>
            </w:r>
          </w:p>
          <w:p>
            <w:pPr>
              <w:pStyle w:val="TableParagraph"/>
              <w:spacing w:line="219" w:lineRule="exact" w:before="10"/>
              <w:ind w:left="122"/>
              <w:rPr>
                <w:sz w:val="20"/>
              </w:rPr>
            </w:pPr>
            <w:r>
              <w:rPr>
                <w:sz w:val="20"/>
              </w:rPr>
              <w:t>PHARMACOECONOMICS I</w:t>
            </w:r>
          </w:p>
        </w:tc>
        <w:tc>
          <w:tcPr>
            <w:tcW w:w="634" w:type="dxa"/>
          </w:tcPr>
          <w:p>
            <w:pPr>
              <w:pStyle w:val="TableParagraph"/>
              <w:ind w:right="196"/>
              <w:jc w:val="right"/>
              <w:rPr>
                <w:sz w:val="20"/>
              </w:rPr>
            </w:pPr>
            <w:r>
              <w:rPr>
                <w:w w:val="100"/>
                <w:sz w:val="20"/>
              </w:rPr>
              <w:t>3</w:t>
            </w:r>
          </w:p>
        </w:tc>
      </w:tr>
      <w:tr>
        <w:trPr>
          <w:trHeight w:val="240" w:hRule="atLeast"/>
        </w:trPr>
        <w:tc>
          <w:tcPr>
            <w:tcW w:w="1186" w:type="dxa"/>
          </w:tcPr>
          <w:p>
            <w:pPr>
              <w:pStyle w:val="TableParagraph"/>
              <w:spacing w:line="219" w:lineRule="exact"/>
              <w:ind w:right="134"/>
              <w:jc w:val="right"/>
              <w:rPr>
                <w:sz w:val="20"/>
              </w:rPr>
            </w:pPr>
            <w:r>
              <w:rPr>
                <w:sz w:val="20"/>
              </w:rPr>
              <w:t>PHSR 701</w:t>
            </w:r>
          </w:p>
        </w:tc>
        <w:tc>
          <w:tcPr>
            <w:tcW w:w="3446" w:type="dxa"/>
          </w:tcPr>
          <w:p>
            <w:pPr>
              <w:pStyle w:val="TableParagraph"/>
              <w:spacing w:line="219" w:lineRule="exact"/>
              <w:ind w:left="122"/>
              <w:rPr>
                <w:sz w:val="20"/>
              </w:rPr>
            </w:pPr>
            <w:r>
              <w:rPr>
                <w:sz w:val="20"/>
              </w:rPr>
              <w:t>RESEARCH METHODS I</w:t>
            </w:r>
          </w:p>
        </w:tc>
        <w:tc>
          <w:tcPr>
            <w:tcW w:w="634" w:type="dxa"/>
          </w:tcPr>
          <w:p>
            <w:pPr>
              <w:pStyle w:val="TableParagraph"/>
              <w:spacing w:line="219" w:lineRule="exact"/>
              <w:ind w:right="196"/>
              <w:jc w:val="right"/>
              <w:rPr>
                <w:sz w:val="20"/>
              </w:rPr>
            </w:pPr>
            <w:r>
              <w:rPr>
                <w:w w:val="100"/>
                <w:sz w:val="20"/>
              </w:rPr>
              <w:t>3</w:t>
            </w:r>
          </w:p>
        </w:tc>
      </w:tr>
      <w:tr>
        <w:trPr>
          <w:trHeight w:val="240" w:hRule="atLeast"/>
        </w:trPr>
        <w:tc>
          <w:tcPr>
            <w:tcW w:w="1186" w:type="dxa"/>
          </w:tcPr>
          <w:p>
            <w:pPr>
              <w:pStyle w:val="TableParagraph"/>
              <w:spacing w:line="219" w:lineRule="exact"/>
              <w:ind w:right="134"/>
              <w:jc w:val="right"/>
              <w:rPr>
                <w:sz w:val="20"/>
              </w:rPr>
            </w:pPr>
            <w:r>
              <w:rPr>
                <w:sz w:val="20"/>
              </w:rPr>
              <w:t>PHSR 704</w:t>
            </w:r>
          </w:p>
        </w:tc>
        <w:tc>
          <w:tcPr>
            <w:tcW w:w="3446" w:type="dxa"/>
          </w:tcPr>
          <w:p>
            <w:pPr>
              <w:pStyle w:val="TableParagraph"/>
              <w:spacing w:line="219" w:lineRule="exact"/>
              <w:ind w:left="122"/>
              <w:rPr>
                <w:sz w:val="20"/>
              </w:rPr>
            </w:pPr>
            <w:r>
              <w:rPr>
                <w:sz w:val="20"/>
              </w:rPr>
              <w:t>PHARMACOEPIDEMIOLOGY</w:t>
            </w:r>
          </w:p>
        </w:tc>
        <w:tc>
          <w:tcPr>
            <w:tcW w:w="634" w:type="dxa"/>
          </w:tcPr>
          <w:p>
            <w:pPr>
              <w:pStyle w:val="TableParagraph"/>
              <w:spacing w:line="219" w:lineRule="exact"/>
              <w:ind w:right="196"/>
              <w:jc w:val="right"/>
              <w:rPr>
                <w:sz w:val="20"/>
              </w:rPr>
            </w:pPr>
            <w:r>
              <w:rPr>
                <w:w w:val="100"/>
                <w:sz w:val="20"/>
              </w:rPr>
              <w:t>3</w:t>
            </w:r>
          </w:p>
        </w:tc>
      </w:tr>
      <w:tr>
        <w:trPr>
          <w:trHeight w:val="240" w:hRule="atLeast"/>
        </w:trPr>
        <w:tc>
          <w:tcPr>
            <w:tcW w:w="1186" w:type="dxa"/>
          </w:tcPr>
          <w:p>
            <w:pPr>
              <w:pStyle w:val="TableParagraph"/>
              <w:spacing w:line="219" w:lineRule="exact"/>
              <w:ind w:right="119"/>
              <w:jc w:val="right"/>
              <w:rPr>
                <w:sz w:val="20"/>
              </w:rPr>
            </w:pPr>
            <w:r>
              <w:rPr>
                <w:sz w:val="20"/>
              </w:rPr>
              <w:t>PREV 600</w:t>
            </w:r>
          </w:p>
        </w:tc>
        <w:tc>
          <w:tcPr>
            <w:tcW w:w="3446" w:type="dxa"/>
          </w:tcPr>
          <w:p>
            <w:pPr>
              <w:pStyle w:val="TableParagraph"/>
              <w:spacing w:line="219" w:lineRule="exact"/>
              <w:ind w:left="122"/>
              <w:rPr>
                <w:sz w:val="20"/>
              </w:rPr>
            </w:pPr>
            <w:r>
              <w:rPr>
                <w:sz w:val="20"/>
              </w:rPr>
              <w:t>PRINCIPLES OF EPIDEMIOLOGY</w:t>
            </w:r>
          </w:p>
        </w:tc>
        <w:tc>
          <w:tcPr>
            <w:tcW w:w="634" w:type="dxa"/>
          </w:tcPr>
          <w:p>
            <w:pPr>
              <w:pStyle w:val="TableParagraph"/>
              <w:spacing w:line="219" w:lineRule="exact"/>
              <w:ind w:right="196"/>
              <w:jc w:val="right"/>
              <w:rPr>
                <w:sz w:val="20"/>
              </w:rPr>
            </w:pPr>
            <w:r>
              <w:rPr>
                <w:w w:val="100"/>
                <w:sz w:val="20"/>
              </w:rPr>
              <w:t>3</w:t>
            </w:r>
          </w:p>
        </w:tc>
      </w:tr>
      <w:tr>
        <w:trPr>
          <w:trHeight w:val="240" w:hRule="atLeast"/>
        </w:trPr>
        <w:tc>
          <w:tcPr>
            <w:tcW w:w="1186" w:type="dxa"/>
          </w:tcPr>
          <w:p>
            <w:pPr>
              <w:pStyle w:val="TableParagraph"/>
              <w:spacing w:line="219" w:lineRule="exact"/>
              <w:ind w:right="119"/>
              <w:jc w:val="right"/>
              <w:rPr>
                <w:sz w:val="20"/>
              </w:rPr>
            </w:pPr>
            <w:r>
              <w:rPr>
                <w:sz w:val="20"/>
              </w:rPr>
              <w:t>PREV 619</w:t>
            </w:r>
          </w:p>
        </w:tc>
        <w:tc>
          <w:tcPr>
            <w:tcW w:w="3446" w:type="dxa"/>
          </w:tcPr>
          <w:p>
            <w:pPr>
              <w:pStyle w:val="TableParagraph"/>
              <w:spacing w:line="219" w:lineRule="exact"/>
              <w:ind w:left="122"/>
              <w:rPr>
                <w:sz w:val="20"/>
              </w:rPr>
            </w:pPr>
            <w:r>
              <w:rPr>
                <w:sz w:val="20"/>
              </w:rPr>
              <w:t>INTRODUCTION TO SAS</w:t>
            </w:r>
          </w:p>
        </w:tc>
        <w:tc>
          <w:tcPr>
            <w:tcW w:w="634" w:type="dxa"/>
          </w:tcPr>
          <w:p>
            <w:pPr>
              <w:pStyle w:val="TableParagraph"/>
              <w:spacing w:line="219" w:lineRule="exact"/>
              <w:ind w:right="196"/>
              <w:jc w:val="right"/>
              <w:rPr>
                <w:sz w:val="20"/>
              </w:rPr>
            </w:pPr>
            <w:r>
              <w:rPr>
                <w:w w:val="100"/>
                <w:sz w:val="20"/>
              </w:rPr>
              <w:t>1</w:t>
            </w:r>
          </w:p>
        </w:tc>
      </w:tr>
      <w:tr>
        <w:trPr>
          <w:trHeight w:val="231" w:hRule="atLeast"/>
        </w:trPr>
        <w:tc>
          <w:tcPr>
            <w:tcW w:w="1186" w:type="dxa"/>
          </w:tcPr>
          <w:p>
            <w:pPr>
              <w:pStyle w:val="TableParagraph"/>
              <w:spacing w:line="210" w:lineRule="exact"/>
              <w:ind w:right="119"/>
              <w:jc w:val="right"/>
              <w:rPr>
                <w:sz w:val="20"/>
              </w:rPr>
            </w:pPr>
            <w:r>
              <w:rPr>
                <w:sz w:val="20"/>
              </w:rPr>
              <w:t>PREV 620</w:t>
            </w:r>
          </w:p>
        </w:tc>
        <w:tc>
          <w:tcPr>
            <w:tcW w:w="3446" w:type="dxa"/>
          </w:tcPr>
          <w:p>
            <w:pPr>
              <w:pStyle w:val="TableParagraph"/>
              <w:spacing w:line="210" w:lineRule="exact"/>
              <w:ind w:left="122"/>
              <w:rPr>
                <w:sz w:val="20"/>
              </w:rPr>
            </w:pPr>
            <w:r>
              <w:rPr>
                <w:sz w:val="20"/>
              </w:rPr>
              <w:t>PRINCIPLES OF BIOSTATISTICS</w:t>
            </w:r>
          </w:p>
        </w:tc>
        <w:tc>
          <w:tcPr>
            <w:tcW w:w="634" w:type="dxa"/>
          </w:tcPr>
          <w:p>
            <w:pPr>
              <w:pStyle w:val="TableParagraph"/>
              <w:spacing w:line="210" w:lineRule="exact"/>
              <w:ind w:right="196"/>
              <w:jc w:val="right"/>
              <w:rPr>
                <w:sz w:val="20"/>
              </w:rPr>
            </w:pPr>
            <w:r>
              <w:rPr>
                <w:w w:val="100"/>
                <w:sz w:val="20"/>
              </w:rPr>
              <w:t>3</w:t>
            </w:r>
          </w:p>
        </w:tc>
      </w:tr>
    </w:tbl>
    <w:p>
      <w:pPr>
        <w:pStyle w:val="BodyText"/>
        <w:spacing w:before="5"/>
        <w:ind w:left="0"/>
        <w:rPr>
          <w:sz w:val="7"/>
        </w:rPr>
      </w:pPr>
    </w:p>
    <w:p>
      <w:pPr>
        <w:pStyle w:val="Heading5"/>
        <w:spacing w:before="92"/>
      </w:pPr>
      <w:r>
        <w:rPr/>
        <w:t>Advanced courses include:</w:t>
      </w:r>
    </w:p>
    <w:p>
      <w:pPr>
        <w:pStyle w:val="BodyText"/>
        <w:spacing w:line="249" w:lineRule="auto" w:before="190" w:after="9"/>
        <w:ind w:right="6108"/>
      </w:pPr>
      <w:r>
        <w:rPr/>
        <w:t>Electives as determined by student and program director (6 credits)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2"/>
        <w:gridCol w:w="2412"/>
        <w:gridCol w:w="1259"/>
      </w:tblGrid>
      <w:tr>
        <w:trPr>
          <w:trHeight w:val="463" w:hRule="atLeast"/>
        </w:trPr>
        <w:tc>
          <w:tcPr>
            <w:tcW w:w="1282" w:type="dxa"/>
          </w:tcPr>
          <w:p>
            <w:pPr>
              <w:pStyle w:val="TableParagraph"/>
              <w:spacing w:line="223" w:lineRule="exact" w:before="0"/>
              <w:ind w:left="200"/>
              <w:rPr>
                <w:sz w:val="20"/>
              </w:rPr>
            </w:pPr>
            <w:r>
              <w:rPr>
                <w:sz w:val="20"/>
              </w:rPr>
              <w:t>PHSR 799</w:t>
            </w:r>
          </w:p>
        </w:tc>
        <w:tc>
          <w:tcPr>
            <w:tcW w:w="2412" w:type="dxa"/>
          </w:tcPr>
          <w:p>
            <w:pPr>
              <w:pStyle w:val="TableParagraph"/>
              <w:spacing w:line="223" w:lineRule="exact" w:before="0"/>
              <w:ind w:left="233"/>
              <w:rPr>
                <w:sz w:val="20"/>
              </w:rPr>
            </w:pPr>
            <w:r>
              <w:rPr>
                <w:sz w:val="20"/>
              </w:rPr>
              <w:t>MASTER'S THESIS</w:t>
            </w:r>
          </w:p>
          <w:p>
            <w:pPr>
              <w:pStyle w:val="TableParagraph"/>
              <w:spacing w:line="210" w:lineRule="exact" w:before="10"/>
              <w:ind w:left="233"/>
              <w:rPr>
                <w:sz w:val="20"/>
              </w:rPr>
            </w:pPr>
            <w:r>
              <w:rPr>
                <w:sz w:val="20"/>
              </w:rPr>
              <w:t>RESEARCH</w:t>
            </w:r>
          </w:p>
        </w:tc>
        <w:tc>
          <w:tcPr>
            <w:tcW w:w="1259" w:type="dxa"/>
          </w:tcPr>
          <w:p>
            <w:pPr>
              <w:pStyle w:val="TableParagraph"/>
              <w:spacing w:line="223" w:lineRule="exact" w:before="0"/>
              <w:ind w:left="490"/>
              <w:rPr>
                <w:sz w:val="20"/>
              </w:rPr>
            </w:pPr>
            <w:r>
              <w:rPr>
                <w:sz w:val="20"/>
              </w:rPr>
              <w:t>1 TO 6</w:t>
            </w:r>
          </w:p>
        </w:tc>
      </w:tr>
    </w:tbl>
    <w:p>
      <w:pPr>
        <w:spacing w:after="0" w:line="223" w:lineRule="exact"/>
        <w:rPr>
          <w:sz w:val="20"/>
        </w:rPr>
        <w:sectPr>
          <w:pgSz w:w="12240" w:h="15840"/>
          <w:pgMar w:header="746" w:footer="0" w:top="1320" w:bottom="280" w:left="880" w:right="300"/>
        </w:sectPr>
      </w:pPr>
    </w:p>
    <w:p>
      <w:pPr>
        <w:pStyle w:val="Heading3"/>
      </w:pPr>
      <w:bookmarkStart w:name="Pharmaceutical Sciences" w:id="77"/>
      <w:bookmarkEnd w:id="77"/>
      <w:r>
        <w:rPr/>
      </w:r>
      <w:bookmarkStart w:name="_bookmark38" w:id="78"/>
      <w:bookmarkEnd w:id="78"/>
      <w:r>
        <w:rPr/>
      </w:r>
      <w:r>
        <w:rPr/>
        <w:t>Pharmaceutical Sciences</w:t>
      </w:r>
    </w:p>
    <w:p>
      <w:pPr>
        <w:pStyle w:val="BodyText"/>
        <w:spacing w:before="190"/>
      </w:pPr>
      <w:hyperlink r:id="rId77">
        <w:r>
          <w:rPr>
            <w:color w:val="0000FF"/>
            <w:u w:val="single" w:color="0000FF"/>
          </w:rPr>
          <w:t>www.pharmacy.umaryland.edu/graduate/psc/</w:t>
        </w:r>
      </w:hyperlink>
    </w:p>
    <w:p>
      <w:pPr>
        <w:pStyle w:val="Heading6"/>
        <w:spacing w:before="192"/>
      </w:pPr>
      <w:r>
        <w:rPr/>
        <w:t>Degree Offered</w:t>
      </w:r>
    </w:p>
    <w:p>
      <w:pPr>
        <w:pStyle w:val="BodyText"/>
        <w:spacing w:before="188"/>
      </w:pPr>
      <w:r>
        <w:rPr/>
        <w:t>PhD</w:t>
      </w:r>
    </w:p>
    <w:p>
      <w:pPr>
        <w:pStyle w:val="Heading6"/>
        <w:spacing w:before="192"/>
      </w:pPr>
      <w:r>
        <w:rPr/>
        <w:t>Program Description</w:t>
      </w:r>
    </w:p>
    <w:p>
      <w:pPr>
        <w:pStyle w:val="BodyText"/>
        <w:spacing w:line="249" w:lineRule="auto" w:before="188"/>
        <w:ind w:left="199" w:right="49"/>
      </w:pPr>
      <w:r>
        <w:rPr/>
        <w:t>The PhD in Pharmaceutical Sciences (PSC) at the University of Maryland, Baltimore offers students outstanding opportunities to be part of cutting-edge biomedical and pharmaceutical research while preparing them for careers in academia, government, and industry. A wide range of research is conducted in the Department of Pharmaceutical Sciences, including medicinal chemistry, biochemistry, bioinorganic chemistry, cellular and molecular biology, computational chemistry, biophysics, microbiology, neuroscience, pharmacometrics, pharmacokinetics, drug formulation, drug transport and delivery, industrial pharmaceutical research, and translational and regulatory sciences. Research is interdisciplinary, and students have access to state-of-the- art facilities that include the Computer-Aided Drug Design Center, Mass Spectrometry Center, Nuclear Magnetic Resonance, Good Manufacturing Labs, Bio- and Nano- technology Center, Center of Excellence in Regulatory Science and Innovation, and more.</w:t>
      </w:r>
    </w:p>
    <w:p>
      <w:pPr>
        <w:pStyle w:val="BodyText"/>
        <w:spacing w:line="249" w:lineRule="auto" w:before="196"/>
        <w:ind w:left="199" w:right="38"/>
      </w:pPr>
      <w:r>
        <w:rPr/>
        <w:t>The program provides a mentor-driven plan </w:t>
      </w:r>
      <w:r>
        <w:rPr>
          <w:spacing w:val="-3"/>
        </w:rPr>
        <w:t>of </w:t>
      </w:r>
      <w:r>
        <w:rPr/>
        <w:t>study that is individualized and dependent </w:t>
      </w:r>
      <w:r>
        <w:rPr>
          <w:spacing w:val="-3"/>
        </w:rPr>
        <w:t>on </w:t>
      </w:r>
      <w:r>
        <w:rPr/>
        <w:t>the student’s and mentor’s specific research interests. Each student in the program develops their educational experience </w:t>
      </w:r>
      <w:r>
        <w:rPr>
          <w:spacing w:val="-3"/>
        </w:rPr>
        <w:t>with </w:t>
      </w:r>
      <w:r>
        <w:rPr/>
        <w:t>the advice of their mentor and an advisory/thesis</w:t>
      </w:r>
      <w:r>
        <w:rPr>
          <w:spacing w:val="-19"/>
        </w:rPr>
        <w:t> </w:t>
      </w:r>
      <w:r>
        <w:rPr/>
        <w:t>committee.</w:t>
      </w:r>
    </w:p>
    <w:p>
      <w:pPr>
        <w:pStyle w:val="BodyText"/>
        <w:spacing w:line="249" w:lineRule="auto" w:before="4"/>
        <w:ind w:left="199" w:right="227"/>
      </w:pPr>
      <w:r>
        <w:rPr/>
        <w:t>Graduate students enrolled in the PhD in Pharmaceutical Sciences program are fully funded, typically by teaching and research assistantships. This support includes an annual stipend, tuition remission, health insurance, and student fees.</w:t>
      </w:r>
    </w:p>
    <w:p>
      <w:pPr>
        <w:pStyle w:val="Heading6"/>
        <w:spacing w:before="181"/>
        <w:ind w:left="199"/>
      </w:pPr>
      <w:r>
        <w:rPr/>
        <w:t>Program Admission</w:t>
      </w:r>
    </w:p>
    <w:p>
      <w:pPr>
        <w:pStyle w:val="BodyText"/>
        <w:spacing w:line="249" w:lineRule="auto" w:before="192"/>
        <w:ind w:left="199" w:right="88"/>
      </w:pPr>
      <w:r>
        <w:rPr/>
        <w:t>Applications are due by Jan. 15 for admission the following fall semester. We favor applicants with a BA, BS, or MS degree in the general areas of biology, biochemistry, chemistry, chemical engineering, molecular biology, pharmacy, and pharmaceutical sciences, although related degrees are considered. In addition to the Graduate School’s minimum admission requirements, applicants should have a cumulative grade-point average (GPA) of at least 3.0 with A or B grades in recent science courses, competitive Graduate Record Examinations scores and strong letters of recommendation. International applicants</w:t>
      </w:r>
    </w:p>
    <w:p>
      <w:pPr>
        <w:pStyle w:val="BodyText"/>
        <w:spacing w:line="249" w:lineRule="auto" w:before="96"/>
        <w:ind w:left="199" w:right="678"/>
      </w:pPr>
      <w:r>
        <w:rPr/>
        <w:br w:type="column"/>
      </w:r>
      <w:r>
        <w:rPr/>
        <w:t>whose native language or language of the home is not English must take the Test of English as a Foreign Language (TOEFL) or the International English Language Testing System (IELTS) exam. The minimum acceptable TOEFL score for admission is 80 for the internet-based test. IELTS test takers must score at least Band 7. The program encourages applications from groups under- represented in the sciences.</w:t>
      </w:r>
    </w:p>
    <w:p>
      <w:pPr>
        <w:pStyle w:val="Heading6"/>
        <w:spacing w:before="183"/>
        <w:ind w:left="199"/>
      </w:pPr>
      <w:r>
        <w:rPr/>
        <w:t>Degree Requirements</w:t>
      </w:r>
    </w:p>
    <w:p>
      <w:pPr>
        <w:pStyle w:val="BodyText"/>
        <w:spacing w:line="249" w:lineRule="auto" w:before="193"/>
        <w:ind w:left="199" w:right="794"/>
      </w:pPr>
      <w:r>
        <w:rPr/>
        <w:t>Students pursing a PhD in Pharmaceutical Sciences must complete a minimum of 32 course credits (24 required, 8 elective) and a minimum of 12 doctoral dissertation research credits.</w:t>
      </w:r>
    </w:p>
    <w:p>
      <w:pPr>
        <w:pStyle w:val="Heading5"/>
        <w:spacing w:before="176"/>
      </w:pPr>
      <w:r>
        <w:rPr/>
        <w:t>Required Courses</w:t>
      </w:r>
    </w:p>
    <w:p>
      <w:pPr>
        <w:pStyle w:val="BodyText"/>
        <w:spacing w:line="249" w:lineRule="auto" w:before="190"/>
        <w:ind w:right="1087"/>
      </w:pPr>
      <w:r>
        <w:rPr/>
        <w:t>At a minimum, students must complete the following courses to graduate:</w:t>
      </w:r>
    </w:p>
    <w:p>
      <w:pPr>
        <w:pStyle w:val="Heading5"/>
      </w:pPr>
      <w:r>
        <w:rPr/>
        <w:t>Required Core</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2"/>
        <w:gridCol w:w="2608"/>
        <w:gridCol w:w="1124"/>
      </w:tblGrid>
      <w:tr>
        <w:trPr>
          <w:trHeight w:val="471" w:hRule="atLeast"/>
        </w:trPr>
        <w:tc>
          <w:tcPr>
            <w:tcW w:w="1222" w:type="dxa"/>
          </w:tcPr>
          <w:p>
            <w:pPr>
              <w:pStyle w:val="TableParagraph"/>
              <w:spacing w:line="223" w:lineRule="exact" w:before="0"/>
              <w:ind w:left="179" w:right="118"/>
              <w:jc w:val="center"/>
              <w:rPr>
                <w:sz w:val="20"/>
              </w:rPr>
            </w:pPr>
            <w:r>
              <w:rPr>
                <w:sz w:val="20"/>
              </w:rPr>
              <w:t>PHAR 600</w:t>
            </w:r>
          </w:p>
        </w:tc>
        <w:tc>
          <w:tcPr>
            <w:tcW w:w="2608" w:type="dxa"/>
          </w:tcPr>
          <w:p>
            <w:pPr>
              <w:pStyle w:val="TableParagraph"/>
              <w:spacing w:line="223" w:lineRule="exact" w:before="0"/>
              <w:ind w:left="139"/>
              <w:rPr>
                <w:sz w:val="20"/>
              </w:rPr>
            </w:pPr>
            <w:r>
              <w:rPr>
                <w:sz w:val="20"/>
              </w:rPr>
              <w:t>PRINCIPLES OF DRUG</w:t>
            </w:r>
          </w:p>
          <w:p>
            <w:pPr>
              <w:pStyle w:val="TableParagraph"/>
              <w:spacing w:line="219" w:lineRule="exact" w:before="10"/>
              <w:ind w:left="139"/>
              <w:rPr>
                <w:sz w:val="20"/>
              </w:rPr>
            </w:pPr>
            <w:r>
              <w:rPr>
                <w:sz w:val="20"/>
              </w:rPr>
              <w:t>DISCOVERY</w:t>
            </w:r>
          </w:p>
        </w:tc>
        <w:tc>
          <w:tcPr>
            <w:tcW w:w="1124" w:type="dxa"/>
          </w:tcPr>
          <w:p>
            <w:pPr>
              <w:pStyle w:val="TableParagraph"/>
              <w:spacing w:line="223" w:lineRule="exact" w:before="0"/>
              <w:ind w:right="201"/>
              <w:jc w:val="right"/>
              <w:rPr>
                <w:sz w:val="20"/>
              </w:rPr>
            </w:pPr>
            <w:r>
              <w:rPr>
                <w:w w:val="100"/>
                <w:sz w:val="20"/>
              </w:rPr>
              <w:t>3</w:t>
            </w:r>
          </w:p>
        </w:tc>
      </w:tr>
      <w:tr>
        <w:trPr>
          <w:trHeight w:val="480" w:hRule="atLeast"/>
        </w:trPr>
        <w:tc>
          <w:tcPr>
            <w:tcW w:w="1222" w:type="dxa"/>
          </w:tcPr>
          <w:p>
            <w:pPr>
              <w:pStyle w:val="TableParagraph"/>
              <w:ind w:left="179" w:right="118"/>
              <w:jc w:val="center"/>
              <w:rPr>
                <w:sz w:val="20"/>
              </w:rPr>
            </w:pPr>
            <w:r>
              <w:rPr>
                <w:sz w:val="20"/>
              </w:rPr>
              <w:t>PHAR 601</w:t>
            </w:r>
          </w:p>
        </w:tc>
        <w:tc>
          <w:tcPr>
            <w:tcW w:w="2608" w:type="dxa"/>
          </w:tcPr>
          <w:p>
            <w:pPr>
              <w:pStyle w:val="TableParagraph"/>
              <w:ind w:left="139"/>
              <w:rPr>
                <w:sz w:val="20"/>
              </w:rPr>
            </w:pPr>
            <w:r>
              <w:rPr>
                <w:sz w:val="20"/>
              </w:rPr>
              <w:t>PRINCIPLES OF DRUG</w:t>
            </w:r>
          </w:p>
          <w:p>
            <w:pPr>
              <w:pStyle w:val="TableParagraph"/>
              <w:spacing w:line="219" w:lineRule="exact" w:before="10"/>
              <w:ind w:left="139"/>
              <w:rPr>
                <w:sz w:val="20"/>
              </w:rPr>
            </w:pPr>
            <w:r>
              <w:rPr>
                <w:sz w:val="20"/>
              </w:rPr>
              <w:t>DEVELOPMENT</w:t>
            </w:r>
          </w:p>
        </w:tc>
        <w:tc>
          <w:tcPr>
            <w:tcW w:w="1124" w:type="dxa"/>
          </w:tcPr>
          <w:p>
            <w:pPr>
              <w:pStyle w:val="TableParagraph"/>
              <w:ind w:right="196"/>
              <w:jc w:val="right"/>
              <w:rPr>
                <w:sz w:val="20"/>
              </w:rPr>
            </w:pPr>
            <w:r>
              <w:rPr>
                <w:sz w:val="20"/>
              </w:rPr>
              <w:t>1 TO 3</w:t>
            </w:r>
          </w:p>
        </w:tc>
      </w:tr>
      <w:tr>
        <w:trPr>
          <w:trHeight w:val="480" w:hRule="atLeast"/>
        </w:trPr>
        <w:tc>
          <w:tcPr>
            <w:tcW w:w="1222" w:type="dxa"/>
          </w:tcPr>
          <w:p>
            <w:pPr>
              <w:pStyle w:val="TableParagraph"/>
              <w:ind w:left="179" w:right="118"/>
              <w:jc w:val="center"/>
              <w:rPr>
                <w:sz w:val="20"/>
              </w:rPr>
            </w:pPr>
            <w:r>
              <w:rPr>
                <w:sz w:val="20"/>
              </w:rPr>
              <w:t>PHAR 615</w:t>
            </w:r>
          </w:p>
        </w:tc>
        <w:tc>
          <w:tcPr>
            <w:tcW w:w="2608" w:type="dxa"/>
          </w:tcPr>
          <w:p>
            <w:pPr>
              <w:pStyle w:val="TableParagraph"/>
              <w:ind w:left="139"/>
              <w:rPr>
                <w:sz w:val="20"/>
              </w:rPr>
            </w:pPr>
            <w:r>
              <w:rPr>
                <w:sz w:val="20"/>
              </w:rPr>
              <w:t>PSC ETHICS AND</w:t>
            </w:r>
          </w:p>
          <w:p>
            <w:pPr>
              <w:pStyle w:val="TableParagraph"/>
              <w:spacing w:line="219" w:lineRule="exact" w:before="10"/>
              <w:ind w:left="139"/>
              <w:rPr>
                <w:sz w:val="20"/>
              </w:rPr>
            </w:pPr>
            <w:r>
              <w:rPr>
                <w:sz w:val="20"/>
              </w:rPr>
              <w:t>BIOSTATISTICS</w:t>
            </w:r>
          </w:p>
        </w:tc>
        <w:tc>
          <w:tcPr>
            <w:tcW w:w="1124" w:type="dxa"/>
          </w:tcPr>
          <w:p>
            <w:pPr>
              <w:pStyle w:val="TableParagraph"/>
              <w:ind w:right="196"/>
              <w:jc w:val="right"/>
              <w:rPr>
                <w:sz w:val="20"/>
              </w:rPr>
            </w:pPr>
            <w:r>
              <w:rPr>
                <w:sz w:val="20"/>
              </w:rPr>
              <w:t>1 TO 2</w:t>
            </w:r>
          </w:p>
        </w:tc>
      </w:tr>
      <w:tr>
        <w:trPr>
          <w:trHeight w:val="720" w:hRule="atLeast"/>
        </w:trPr>
        <w:tc>
          <w:tcPr>
            <w:tcW w:w="1222" w:type="dxa"/>
          </w:tcPr>
          <w:p>
            <w:pPr>
              <w:pStyle w:val="TableParagraph"/>
              <w:ind w:left="179" w:right="118"/>
              <w:jc w:val="center"/>
              <w:rPr>
                <w:sz w:val="20"/>
              </w:rPr>
            </w:pPr>
            <w:r>
              <w:rPr>
                <w:sz w:val="20"/>
              </w:rPr>
              <w:t>PHAR 628</w:t>
            </w:r>
          </w:p>
        </w:tc>
        <w:tc>
          <w:tcPr>
            <w:tcW w:w="2608" w:type="dxa"/>
          </w:tcPr>
          <w:p>
            <w:pPr>
              <w:pStyle w:val="TableParagraph"/>
              <w:spacing w:line="249" w:lineRule="auto"/>
              <w:ind w:left="139" w:right="332"/>
              <w:rPr>
                <w:sz w:val="20"/>
              </w:rPr>
            </w:pPr>
            <w:r>
              <w:rPr>
                <w:sz w:val="20"/>
              </w:rPr>
              <w:t>BIOANALYTICAL AND PHARMACOLOGICAL</w:t>
            </w:r>
          </w:p>
          <w:p>
            <w:pPr>
              <w:pStyle w:val="TableParagraph"/>
              <w:spacing w:line="219" w:lineRule="exact" w:before="2"/>
              <w:ind w:left="139"/>
              <w:rPr>
                <w:sz w:val="20"/>
              </w:rPr>
            </w:pPr>
            <w:r>
              <w:rPr>
                <w:sz w:val="20"/>
              </w:rPr>
              <w:t>METHODS</w:t>
            </w:r>
          </w:p>
        </w:tc>
        <w:tc>
          <w:tcPr>
            <w:tcW w:w="1124" w:type="dxa"/>
          </w:tcPr>
          <w:p>
            <w:pPr>
              <w:pStyle w:val="TableParagraph"/>
              <w:ind w:right="196"/>
              <w:jc w:val="right"/>
              <w:rPr>
                <w:sz w:val="20"/>
              </w:rPr>
            </w:pPr>
            <w:r>
              <w:rPr>
                <w:sz w:val="20"/>
              </w:rPr>
              <w:t>1 TO 3</w:t>
            </w:r>
          </w:p>
        </w:tc>
      </w:tr>
      <w:tr>
        <w:trPr>
          <w:trHeight w:val="480" w:hRule="atLeast"/>
        </w:trPr>
        <w:tc>
          <w:tcPr>
            <w:tcW w:w="1222" w:type="dxa"/>
          </w:tcPr>
          <w:p>
            <w:pPr>
              <w:pStyle w:val="TableParagraph"/>
              <w:ind w:left="179" w:right="118"/>
              <w:jc w:val="center"/>
              <w:rPr>
                <w:sz w:val="20"/>
              </w:rPr>
            </w:pPr>
            <w:r>
              <w:rPr>
                <w:sz w:val="20"/>
              </w:rPr>
              <w:t>PHAR 639</w:t>
            </w:r>
          </w:p>
        </w:tc>
        <w:tc>
          <w:tcPr>
            <w:tcW w:w="2608" w:type="dxa"/>
          </w:tcPr>
          <w:p>
            <w:pPr>
              <w:pStyle w:val="TableParagraph"/>
              <w:ind w:left="139"/>
              <w:rPr>
                <w:sz w:val="20"/>
              </w:rPr>
            </w:pPr>
            <w:r>
              <w:rPr>
                <w:sz w:val="20"/>
              </w:rPr>
              <w:t>SPECTROMETRIC</w:t>
            </w:r>
          </w:p>
          <w:p>
            <w:pPr>
              <w:pStyle w:val="TableParagraph"/>
              <w:spacing w:line="219" w:lineRule="exact" w:before="10"/>
              <w:ind w:left="139"/>
              <w:rPr>
                <w:sz w:val="20"/>
              </w:rPr>
            </w:pPr>
            <w:r>
              <w:rPr>
                <w:sz w:val="20"/>
              </w:rPr>
              <w:t>METHODS</w:t>
            </w:r>
          </w:p>
        </w:tc>
        <w:tc>
          <w:tcPr>
            <w:tcW w:w="1124" w:type="dxa"/>
          </w:tcPr>
          <w:p>
            <w:pPr>
              <w:pStyle w:val="TableParagraph"/>
              <w:ind w:right="196"/>
              <w:jc w:val="right"/>
              <w:rPr>
                <w:sz w:val="20"/>
              </w:rPr>
            </w:pPr>
            <w:r>
              <w:rPr>
                <w:sz w:val="20"/>
              </w:rPr>
              <w:t>1 TO 3</w:t>
            </w:r>
          </w:p>
        </w:tc>
      </w:tr>
      <w:tr>
        <w:trPr>
          <w:trHeight w:val="231" w:hRule="atLeast"/>
        </w:trPr>
        <w:tc>
          <w:tcPr>
            <w:tcW w:w="1222" w:type="dxa"/>
          </w:tcPr>
          <w:p>
            <w:pPr>
              <w:pStyle w:val="TableParagraph"/>
              <w:spacing w:line="210" w:lineRule="exact"/>
              <w:ind w:left="179" w:right="118"/>
              <w:jc w:val="center"/>
              <w:rPr>
                <w:sz w:val="20"/>
              </w:rPr>
            </w:pPr>
            <w:r>
              <w:rPr>
                <w:sz w:val="20"/>
              </w:rPr>
              <w:t>PHAR 705</w:t>
            </w:r>
          </w:p>
        </w:tc>
        <w:tc>
          <w:tcPr>
            <w:tcW w:w="2608" w:type="dxa"/>
          </w:tcPr>
          <w:p>
            <w:pPr>
              <w:pStyle w:val="TableParagraph"/>
              <w:spacing w:line="210" w:lineRule="exact"/>
              <w:ind w:left="139"/>
              <w:rPr>
                <w:sz w:val="20"/>
              </w:rPr>
            </w:pPr>
            <w:r>
              <w:rPr>
                <w:sz w:val="20"/>
              </w:rPr>
              <w:t>PSC JOURNAL CLUB</w:t>
            </w:r>
          </w:p>
        </w:tc>
        <w:tc>
          <w:tcPr>
            <w:tcW w:w="1124" w:type="dxa"/>
          </w:tcPr>
          <w:p>
            <w:pPr>
              <w:pStyle w:val="TableParagraph"/>
              <w:spacing w:line="210" w:lineRule="exact"/>
              <w:ind w:right="201"/>
              <w:jc w:val="right"/>
              <w:rPr>
                <w:sz w:val="20"/>
              </w:rPr>
            </w:pPr>
            <w:r>
              <w:rPr>
                <w:w w:val="100"/>
                <w:sz w:val="20"/>
              </w:rPr>
              <w:t>1</w:t>
            </w:r>
          </w:p>
        </w:tc>
      </w:tr>
    </w:tbl>
    <w:p>
      <w:pPr>
        <w:spacing w:line="249" w:lineRule="auto" w:before="87"/>
        <w:ind w:left="200" w:right="626" w:firstLine="0"/>
        <w:jc w:val="left"/>
        <w:rPr>
          <w:i/>
          <w:sz w:val="20"/>
        </w:rPr>
      </w:pPr>
      <w:r>
        <w:rPr>
          <w:i/>
          <w:sz w:val="20"/>
        </w:rPr>
        <w:t>Note: Under certain circumstances, students may be </w:t>
      </w:r>
      <w:r>
        <w:rPr>
          <w:i/>
          <w:sz w:val="20"/>
        </w:rPr>
        <w:t>exempted from some required core curriculum courses. Examples of this would be in the case of students who have completed the UM PharmD program and are exempt from parts of PHAR 600/601, or students who find appropriate alternatives to the PHAR 628/639 methods courses. All exemptions must be approved by the graduate program director and the graduate program steering committee.</w:t>
      </w:r>
    </w:p>
    <w:p>
      <w:pPr>
        <w:spacing w:line="249" w:lineRule="auto" w:before="63"/>
        <w:ind w:left="200" w:right="599" w:firstLine="0"/>
        <w:jc w:val="left"/>
        <w:rPr>
          <w:i/>
          <w:sz w:val="20"/>
        </w:rPr>
      </w:pPr>
      <w:r>
        <w:rPr>
          <w:i/>
          <w:sz w:val="20"/>
        </w:rPr>
        <w:t>PHAR 600 and PHAR 601: PharmD students may take 1 to </w:t>
      </w:r>
      <w:r>
        <w:rPr>
          <w:i/>
          <w:sz w:val="20"/>
        </w:rPr>
        <w:t>3 credits.</w:t>
      </w:r>
    </w:p>
    <w:p>
      <w:pPr>
        <w:spacing w:line="249" w:lineRule="auto" w:before="64"/>
        <w:ind w:left="200" w:right="807" w:firstLine="0"/>
        <w:jc w:val="left"/>
        <w:rPr>
          <w:i/>
          <w:sz w:val="20"/>
        </w:rPr>
      </w:pPr>
      <w:r>
        <w:rPr>
          <w:i/>
          <w:sz w:val="20"/>
        </w:rPr>
        <w:t>PHAR 628 and 639: 4 credits out of 6 total from the two </w:t>
      </w:r>
      <w:r>
        <w:rPr>
          <w:i/>
          <w:sz w:val="20"/>
        </w:rPr>
        <w:t>courses are required. Credits beyond the 4-credit requirement may count as elective credits.</w:t>
      </w:r>
    </w:p>
    <w:p>
      <w:pPr>
        <w:spacing w:before="60"/>
        <w:ind w:left="200" w:right="0" w:firstLine="0"/>
        <w:jc w:val="left"/>
        <w:rPr>
          <w:i/>
          <w:sz w:val="20"/>
        </w:rPr>
      </w:pPr>
      <w:r>
        <w:rPr>
          <w:i/>
          <w:sz w:val="20"/>
        </w:rPr>
        <w:t>PHAR 705: Students enroll in PHAR 705 every semester.</w:t>
      </w:r>
    </w:p>
    <w:p>
      <w:pPr>
        <w:pStyle w:val="Heading5"/>
        <w:spacing w:before="184"/>
      </w:pPr>
      <w:r>
        <w:rPr/>
        <w:pict>
          <v:shape style="position:absolute;margin-left:323.600006pt;margin-top:22.020313pt;width:247.8pt;height:35.2pt;mso-position-horizontal-relative:page;mso-position-vertical-relative:paragraph;z-index:15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8"/>
                    <w:gridCol w:w="2465"/>
                    <w:gridCol w:w="1221"/>
                  </w:tblGrid>
                  <w:tr>
                    <w:trPr>
                      <w:trHeight w:val="703" w:hRule="atLeast"/>
                    </w:trPr>
                    <w:tc>
                      <w:tcPr>
                        <w:tcW w:w="1268" w:type="dxa"/>
                      </w:tcPr>
                      <w:p>
                        <w:pPr>
                          <w:pStyle w:val="TableParagraph"/>
                          <w:spacing w:line="223" w:lineRule="exact" w:before="0"/>
                          <w:ind w:left="200"/>
                          <w:rPr>
                            <w:sz w:val="20"/>
                          </w:rPr>
                        </w:pPr>
                        <w:r>
                          <w:rPr>
                            <w:sz w:val="20"/>
                          </w:rPr>
                          <w:t>PHAR 608</w:t>
                        </w:r>
                      </w:p>
                    </w:tc>
                    <w:tc>
                      <w:tcPr>
                        <w:tcW w:w="2465" w:type="dxa"/>
                      </w:tcPr>
                      <w:p>
                        <w:pPr>
                          <w:pStyle w:val="TableParagraph"/>
                          <w:spacing w:line="249" w:lineRule="auto" w:before="0"/>
                          <w:ind w:left="184" w:right="433"/>
                          <w:rPr>
                            <w:sz w:val="20"/>
                          </w:rPr>
                        </w:pPr>
                        <w:r>
                          <w:rPr>
                            <w:sz w:val="20"/>
                          </w:rPr>
                          <w:t>INTRODUCTION TO LABORATORY</w:t>
                        </w:r>
                      </w:p>
                      <w:p>
                        <w:pPr>
                          <w:pStyle w:val="TableParagraph"/>
                          <w:spacing w:line="210" w:lineRule="exact" w:before="0"/>
                          <w:ind w:left="184"/>
                          <w:rPr>
                            <w:sz w:val="20"/>
                          </w:rPr>
                        </w:pPr>
                        <w:r>
                          <w:rPr>
                            <w:sz w:val="20"/>
                          </w:rPr>
                          <w:t>RESEARCH</w:t>
                        </w:r>
                      </w:p>
                    </w:tc>
                    <w:tc>
                      <w:tcPr>
                        <w:tcW w:w="1221" w:type="dxa"/>
                      </w:tcPr>
                      <w:p>
                        <w:pPr>
                          <w:pStyle w:val="TableParagraph"/>
                          <w:spacing w:line="223" w:lineRule="exact" w:before="0"/>
                          <w:ind w:left="450"/>
                          <w:rPr>
                            <w:sz w:val="20"/>
                          </w:rPr>
                        </w:pPr>
                        <w:r>
                          <w:rPr>
                            <w:sz w:val="20"/>
                          </w:rPr>
                          <w:t>1 TO 2</w:t>
                        </w:r>
                      </w:p>
                    </w:tc>
                  </w:tr>
                </w:tbl>
                <w:p>
                  <w:pPr>
                    <w:pStyle w:val="BodyText"/>
                    <w:spacing w:before="0"/>
                    <w:ind w:left="0"/>
                  </w:pPr>
                </w:p>
              </w:txbxContent>
            </v:textbox>
            <w10:wrap type="none"/>
          </v:shape>
        </w:pict>
      </w:r>
      <w:r>
        <w:rPr/>
        <w:t>Required Student Rotations</w:t>
      </w:r>
    </w:p>
    <w:p>
      <w:pPr>
        <w:spacing w:after="0"/>
        <w:sectPr>
          <w:pgSz w:w="12240" w:h="15840"/>
          <w:pgMar w:header="746" w:footer="0" w:top="1320" w:bottom="280" w:left="880" w:right="300"/>
          <w:cols w:num="2" w:equalWidth="0">
            <w:col w:w="4984" w:space="502"/>
            <w:col w:w="5574"/>
          </w:cols>
        </w:sectPr>
      </w:pPr>
    </w:p>
    <w:p>
      <w:pPr>
        <w:spacing w:line="249" w:lineRule="auto" w:before="100"/>
        <w:ind w:left="200" w:right="6457" w:firstLine="0"/>
        <w:jc w:val="left"/>
        <w:rPr>
          <w:i/>
          <w:sz w:val="20"/>
        </w:rPr>
      </w:pPr>
      <w:r>
        <w:rPr>
          <w:i/>
          <w:sz w:val="20"/>
        </w:rPr>
        <w:t>Most students are required to complete two laboratory </w:t>
      </w:r>
      <w:r>
        <w:rPr>
          <w:i/>
          <w:sz w:val="20"/>
        </w:rPr>
        <w:t>rotations, minimum of eight weeks per rotation. All students must join a laboratory by the end of their first year.</w:t>
      </w:r>
    </w:p>
    <w:p>
      <w:pPr>
        <w:pStyle w:val="Heading5"/>
        <w:spacing w:before="171"/>
      </w:pPr>
      <w:r>
        <w:rPr/>
        <w:t>Required Seminars</w:t>
      </w:r>
    </w:p>
    <w:p>
      <w:pPr>
        <w:pStyle w:val="BodyText"/>
        <w:spacing w:before="191" w:after="17"/>
      </w:pPr>
      <w:r>
        <w:rPr/>
        <w:t>Students must complete three seminars.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0"/>
        <w:gridCol w:w="2942"/>
        <w:gridCol w:w="737"/>
      </w:tblGrid>
      <w:tr>
        <w:trPr>
          <w:trHeight w:val="711" w:hRule="atLeast"/>
        </w:trPr>
        <w:tc>
          <w:tcPr>
            <w:tcW w:w="1270" w:type="dxa"/>
          </w:tcPr>
          <w:p>
            <w:pPr>
              <w:pStyle w:val="TableParagraph"/>
              <w:spacing w:line="223" w:lineRule="exact" w:before="0"/>
              <w:ind w:right="184"/>
              <w:jc w:val="right"/>
              <w:rPr>
                <w:sz w:val="20"/>
              </w:rPr>
            </w:pPr>
            <w:r>
              <w:rPr>
                <w:sz w:val="20"/>
              </w:rPr>
              <w:t>PHAR 708</w:t>
            </w:r>
          </w:p>
        </w:tc>
        <w:tc>
          <w:tcPr>
            <w:tcW w:w="2942" w:type="dxa"/>
          </w:tcPr>
          <w:p>
            <w:pPr>
              <w:pStyle w:val="TableParagraph"/>
              <w:spacing w:line="249" w:lineRule="auto" w:before="0"/>
              <w:ind w:left="187" w:right="418"/>
              <w:rPr>
                <w:sz w:val="20"/>
              </w:rPr>
            </w:pPr>
            <w:r>
              <w:rPr>
                <w:sz w:val="20"/>
              </w:rPr>
              <w:t>COMPREHENSIVE EXAM SEMINAR (THIRD YEAR,</w:t>
            </w:r>
          </w:p>
          <w:p>
            <w:pPr>
              <w:pStyle w:val="TableParagraph"/>
              <w:spacing w:line="219" w:lineRule="exact" w:before="0"/>
              <w:ind w:left="187"/>
              <w:rPr>
                <w:sz w:val="20"/>
              </w:rPr>
            </w:pPr>
            <w:r>
              <w:rPr>
                <w:sz w:val="20"/>
              </w:rPr>
              <w:t>FALL SEMESTER)</w:t>
            </w:r>
          </w:p>
        </w:tc>
        <w:tc>
          <w:tcPr>
            <w:tcW w:w="737" w:type="dxa"/>
          </w:tcPr>
          <w:p>
            <w:pPr>
              <w:pStyle w:val="TableParagraph"/>
              <w:spacing w:line="223" w:lineRule="exact" w:before="0"/>
              <w:ind w:right="196"/>
              <w:jc w:val="right"/>
              <w:rPr>
                <w:sz w:val="20"/>
              </w:rPr>
            </w:pPr>
            <w:r>
              <w:rPr>
                <w:w w:val="100"/>
                <w:sz w:val="20"/>
              </w:rPr>
              <w:t>1</w:t>
            </w:r>
          </w:p>
        </w:tc>
      </w:tr>
      <w:tr>
        <w:trPr>
          <w:trHeight w:val="471" w:hRule="atLeast"/>
        </w:trPr>
        <w:tc>
          <w:tcPr>
            <w:tcW w:w="1270" w:type="dxa"/>
          </w:tcPr>
          <w:p>
            <w:pPr>
              <w:pStyle w:val="TableParagraph"/>
              <w:ind w:right="184"/>
              <w:jc w:val="right"/>
              <w:rPr>
                <w:sz w:val="20"/>
              </w:rPr>
            </w:pPr>
            <w:r>
              <w:rPr>
                <w:sz w:val="20"/>
              </w:rPr>
              <w:t>PHAR 709</w:t>
            </w:r>
          </w:p>
        </w:tc>
        <w:tc>
          <w:tcPr>
            <w:tcW w:w="2942" w:type="dxa"/>
          </w:tcPr>
          <w:p>
            <w:pPr>
              <w:pStyle w:val="TableParagraph"/>
              <w:ind w:left="187"/>
              <w:rPr>
                <w:sz w:val="20"/>
              </w:rPr>
            </w:pPr>
            <w:r>
              <w:rPr>
                <w:sz w:val="20"/>
              </w:rPr>
              <w:t>DEPARTMENTAL</w:t>
            </w:r>
          </w:p>
          <w:p>
            <w:pPr>
              <w:pStyle w:val="TableParagraph"/>
              <w:spacing w:line="210" w:lineRule="exact" w:before="10"/>
              <w:ind w:left="187"/>
              <w:rPr>
                <w:sz w:val="20"/>
              </w:rPr>
            </w:pPr>
            <w:r>
              <w:rPr>
                <w:sz w:val="20"/>
              </w:rPr>
              <w:t>SEMINAR</w:t>
            </w:r>
          </w:p>
        </w:tc>
        <w:tc>
          <w:tcPr>
            <w:tcW w:w="737" w:type="dxa"/>
          </w:tcPr>
          <w:p>
            <w:pPr>
              <w:pStyle w:val="TableParagraph"/>
              <w:ind w:right="196"/>
              <w:jc w:val="right"/>
              <w:rPr>
                <w:sz w:val="20"/>
              </w:rPr>
            </w:pPr>
            <w:r>
              <w:rPr>
                <w:w w:val="100"/>
                <w:sz w:val="20"/>
              </w:rPr>
              <w:t>1</w:t>
            </w:r>
          </w:p>
        </w:tc>
      </w:tr>
    </w:tbl>
    <w:p>
      <w:pPr>
        <w:spacing w:line="249" w:lineRule="auto" w:before="67"/>
        <w:ind w:left="200" w:right="6096" w:firstLine="0"/>
        <w:jc w:val="left"/>
        <w:rPr>
          <w:i/>
          <w:sz w:val="20"/>
        </w:rPr>
      </w:pPr>
      <w:r>
        <w:rPr>
          <w:i/>
          <w:sz w:val="20"/>
        </w:rPr>
        <w:t>Students are required to present one departmental seminar </w:t>
      </w:r>
      <w:r>
        <w:rPr>
          <w:i/>
          <w:sz w:val="20"/>
        </w:rPr>
        <w:t>after their comprehensive exam. Students register for 1 credit during the semester in which they are presenting, six to 12 months before their dissertation defense.</w:t>
      </w:r>
    </w:p>
    <w:p>
      <w:pPr>
        <w:pStyle w:val="Heading5"/>
        <w:spacing w:before="176"/>
      </w:pPr>
      <w:r>
        <w:rPr/>
        <w:t>Dissertation Defense</w:t>
      </w:r>
    </w:p>
    <w:p>
      <w:pPr>
        <w:pStyle w:val="BodyText"/>
        <w:spacing w:before="186" w:after="17"/>
      </w:pPr>
      <w:r>
        <w:rPr/>
        <w:t>Dissertation Research/Thesis Committee</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5"/>
        <w:gridCol w:w="2342"/>
        <w:gridCol w:w="1339"/>
      </w:tblGrid>
      <w:tr>
        <w:trPr>
          <w:trHeight w:val="703" w:hRule="atLeast"/>
        </w:trPr>
        <w:tc>
          <w:tcPr>
            <w:tcW w:w="1275" w:type="dxa"/>
          </w:tcPr>
          <w:p>
            <w:pPr>
              <w:pStyle w:val="TableParagraph"/>
              <w:spacing w:line="223" w:lineRule="exact" w:before="0"/>
              <w:ind w:left="200"/>
              <w:rPr>
                <w:sz w:val="20"/>
              </w:rPr>
            </w:pPr>
            <w:r>
              <w:rPr>
                <w:sz w:val="20"/>
              </w:rPr>
              <w:t>PHAR 899</w:t>
            </w:r>
          </w:p>
        </w:tc>
        <w:tc>
          <w:tcPr>
            <w:tcW w:w="2342" w:type="dxa"/>
          </w:tcPr>
          <w:p>
            <w:pPr>
              <w:pStyle w:val="TableParagraph"/>
              <w:spacing w:line="249" w:lineRule="auto" w:before="0"/>
              <w:ind w:left="192" w:right="696"/>
              <w:rPr>
                <w:sz w:val="20"/>
              </w:rPr>
            </w:pPr>
            <w:r>
              <w:rPr>
                <w:sz w:val="20"/>
              </w:rPr>
              <w:t>DOCTORAL DISSERTATION</w:t>
            </w:r>
          </w:p>
          <w:p>
            <w:pPr>
              <w:pStyle w:val="TableParagraph"/>
              <w:spacing w:line="210" w:lineRule="exact" w:before="0"/>
              <w:ind w:left="192"/>
              <w:rPr>
                <w:sz w:val="20"/>
              </w:rPr>
            </w:pPr>
            <w:r>
              <w:rPr>
                <w:sz w:val="20"/>
              </w:rPr>
              <w:t>RESEARCH</w:t>
            </w:r>
          </w:p>
        </w:tc>
        <w:tc>
          <w:tcPr>
            <w:tcW w:w="1339" w:type="dxa"/>
          </w:tcPr>
          <w:p>
            <w:pPr>
              <w:pStyle w:val="TableParagraph"/>
              <w:spacing w:line="223" w:lineRule="exact" w:before="0"/>
              <w:ind w:right="197"/>
              <w:jc w:val="right"/>
              <w:rPr>
                <w:sz w:val="20"/>
              </w:rPr>
            </w:pPr>
            <w:r>
              <w:rPr>
                <w:sz w:val="20"/>
              </w:rPr>
              <w:t>1</w:t>
            </w:r>
            <w:r>
              <w:rPr>
                <w:spacing w:val="5"/>
                <w:sz w:val="20"/>
              </w:rPr>
              <w:t> </w:t>
            </w:r>
            <w:r>
              <w:rPr>
                <w:sz w:val="20"/>
              </w:rPr>
              <w:t>TO</w:t>
            </w:r>
          </w:p>
          <w:p>
            <w:pPr>
              <w:pStyle w:val="TableParagraph"/>
              <w:spacing w:before="10"/>
              <w:ind w:right="203"/>
              <w:jc w:val="right"/>
              <w:rPr>
                <w:sz w:val="20"/>
              </w:rPr>
            </w:pPr>
            <w:r>
              <w:rPr>
                <w:sz w:val="20"/>
              </w:rPr>
              <w:t>12</w:t>
            </w:r>
          </w:p>
        </w:tc>
      </w:tr>
    </w:tbl>
    <w:p>
      <w:pPr>
        <w:spacing w:line="249" w:lineRule="auto" w:before="72"/>
        <w:ind w:left="199" w:right="6314" w:firstLine="0"/>
        <w:jc w:val="left"/>
        <w:rPr>
          <w:i/>
          <w:sz w:val="20"/>
        </w:rPr>
      </w:pPr>
      <w:r>
        <w:rPr>
          <w:i/>
          <w:sz w:val="20"/>
        </w:rPr>
        <w:t>Students need a total of 12 credits to meet graduation </w:t>
      </w:r>
      <w:r>
        <w:rPr>
          <w:i/>
          <w:sz w:val="20"/>
        </w:rPr>
        <w:t>requirements. The thesis committee is formed after the comprehensive exam and is required to meet on a yearly basis to evaluate progress and direction (it may need to meet more frequently to suit individual student needs).</w:t>
      </w:r>
    </w:p>
    <w:p>
      <w:pPr>
        <w:pStyle w:val="Heading5"/>
        <w:spacing w:before="172"/>
      </w:pPr>
      <w:r>
        <w:rPr/>
        <w:t>Elective Courses</w:t>
      </w:r>
    </w:p>
    <w:p>
      <w:pPr>
        <w:pStyle w:val="BodyText"/>
        <w:spacing w:line="249" w:lineRule="auto" w:before="190"/>
        <w:ind w:right="6241"/>
      </w:pPr>
      <w:r>
        <w:rPr/>
        <w:t>Students must take at least 8 credits of elective courses to fulfill graduation requirements.</w:t>
      </w:r>
    </w:p>
    <w:p>
      <w:pPr>
        <w:pStyle w:val="Heading5"/>
      </w:pPr>
      <w:r>
        <w:rPr/>
        <w:t>Available Electives</w:t>
      </w:r>
    </w:p>
    <w:p>
      <w:pPr>
        <w:pStyle w:val="BodyText"/>
        <w:spacing w:line="249" w:lineRule="auto" w:before="191"/>
        <w:ind w:right="6298"/>
        <w:jc w:val="both"/>
      </w:pPr>
      <w:r>
        <w:rPr/>
        <w:t>Students may select from various graduate-level courses within the department and, with approval, courses within other University of Maryland graduate programs.</w:t>
      </w:r>
    </w:p>
    <w:p>
      <w:pPr>
        <w:spacing w:after="0" w:line="249" w:lineRule="auto"/>
        <w:jc w:val="both"/>
        <w:sectPr>
          <w:pgSz w:w="12240" w:h="15840"/>
          <w:pgMar w:header="746" w:footer="0" w:top="1320" w:bottom="280" w:left="880" w:right="300"/>
        </w:sectPr>
      </w:pPr>
    </w:p>
    <w:p>
      <w:pPr>
        <w:pStyle w:val="Heading3"/>
      </w:pPr>
      <w:bookmarkStart w:name="Pharmacometrics" w:id="79"/>
      <w:bookmarkEnd w:id="79"/>
      <w:r>
        <w:rPr/>
      </w:r>
      <w:bookmarkStart w:name="_bookmark39" w:id="80"/>
      <w:bookmarkEnd w:id="80"/>
      <w:r>
        <w:rPr/>
      </w:r>
      <w:r>
        <w:rPr/>
        <w:t>Pharmacometrics</w:t>
      </w:r>
    </w:p>
    <w:p>
      <w:pPr>
        <w:pStyle w:val="BodyText"/>
        <w:spacing w:line="249" w:lineRule="auto" w:before="190"/>
        <w:ind w:right="26"/>
      </w:pPr>
      <w:hyperlink r:id="rId78">
        <w:r>
          <w:rPr>
            <w:color w:val="0000FF"/>
            <w:u w:val="single" w:color="0000FF"/>
          </w:rPr>
          <w:t>www.pharmacy.umaryland.edu/academics/pharmacometric</w:t>
        </w:r>
      </w:hyperlink>
      <w:r>
        <w:rPr>
          <w:color w:val="0000FF"/>
        </w:rPr>
        <w:t> </w:t>
      </w:r>
      <w:hyperlink r:id="rId78">
        <w:r>
          <w:rPr>
            <w:color w:val="0000FF"/>
            <w:u w:val="single" w:color="0000FF"/>
          </w:rPr>
          <w:t>s/</w:t>
        </w:r>
      </w:hyperlink>
    </w:p>
    <w:p>
      <w:pPr>
        <w:pStyle w:val="Heading6"/>
        <w:spacing w:before="184"/>
      </w:pPr>
      <w:r>
        <w:rPr/>
        <w:t>Degree Offered</w:t>
      </w:r>
    </w:p>
    <w:p>
      <w:pPr>
        <w:pStyle w:val="BodyText"/>
        <w:spacing w:before="188"/>
      </w:pPr>
      <w:r>
        <w:rPr/>
        <w:t>MS</w:t>
      </w:r>
    </w:p>
    <w:p>
      <w:pPr>
        <w:pStyle w:val="Heading6"/>
        <w:spacing w:before="192"/>
      </w:pPr>
      <w:r>
        <w:rPr/>
        <w:t>Program Description</w:t>
      </w:r>
    </w:p>
    <w:p>
      <w:pPr>
        <w:pStyle w:val="BodyText"/>
        <w:spacing w:line="249" w:lineRule="auto" w:before="187"/>
        <w:ind w:left="199" w:right="22"/>
      </w:pPr>
      <w:r>
        <w:rPr/>
        <w:t>The objective of the Master of Science in Pharmacometrics program is to give current professionals the skills and knowledge to plan, perform, and interpret pharmacometric analyses with the goal of influencing key drug development, regulatory, and therapeutic decisions. The program offers theoretical and applied technical knowledge together with requisite business skills tailored for the pharmaceutical sector. All courses follow case-based study and teaching. All classes are held online.</w:t>
      </w:r>
    </w:p>
    <w:p>
      <w:pPr>
        <w:pStyle w:val="Heading6"/>
        <w:spacing w:before="189"/>
      </w:pPr>
      <w:r>
        <w:rPr/>
        <w:t>Program Admissions</w:t>
      </w:r>
    </w:p>
    <w:p>
      <w:pPr>
        <w:pStyle w:val="BodyText"/>
        <w:spacing w:line="249" w:lineRule="auto" w:before="188"/>
        <w:ind w:right="48"/>
      </w:pPr>
      <w:r>
        <w:rPr/>
        <w:t>Candidates for admission must meet the minimum qualifications and standards established by the Graduate School. Graduate Record Examinations scores are not required for admission. International students must provide current, official results of the Test of English as a Foreign Language (minimum score of 550 for the paper-based test, 80 for the internet-based test), or the International English Language Testing System exam (minimum Band 7).</w:t>
      </w:r>
    </w:p>
    <w:p>
      <w:pPr>
        <w:pStyle w:val="BodyText"/>
        <w:spacing w:line="249" w:lineRule="auto" w:before="6"/>
        <w:ind w:right="420"/>
      </w:pPr>
      <w:r>
        <w:rPr/>
        <w:t>Application deadlines and required credentials are regularly published by the Graduate School and by the pharmacometrics program.</w:t>
      </w:r>
    </w:p>
    <w:p>
      <w:pPr>
        <w:pStyle w:val="Heading6"/>
        <w:spacing w:before="184"/>
      </w:pPr>
      <w:r>
        <w:rPr/>
        <w:t>Degree Requirements</w:t>
      </w:r>
    </w:p>
    <w:p>
      <w:pPr>
        <w:pStyle w:val="BodyText"/>
        <w:spacing w:line="249" w:lineRule="auto" w:before="188"/>
        <w:ind w:right="291"/>
      </w:pPr>
      <w:r>
        <w:rPr/>
        <w:t>The master’s degree program requires a minimum of 30 credits. Students must maintain a minimum cumulative grade-point average of 3.0 to remain in good standing in the program. A complete description of progression guidelines and degree requirements is provided in the Degree Requirements section of this catalog.</w:t>
      </w:r>
    </w:p>
    <w:p>
      <w:pPr>
        <w:pStyle w:val="Heading5"/>
        <w:spacing w:before="180"/>
      </w:pPr>
      <w:r>
        <w:rPr/>
        <w:t>Required Courses</w:t>
      </w:r>
    </w:p>
    <w:p>
      <w:pPr>
        <w:pStyle w:val="BodyText"/>
        <w:spacing w:before="3"/>
        <w:ind w:left="0"/>
        <w:rPr>
          <w:sz w:val="9"/>
        </w:rPr>
      </w:pPr>
      <w:r>
        <w:rPr/>
        <w:br w:type="column"/>
      </w:r>
      <w:r>
        <w:rPr>
          <w:sz w:val="9"/>
        </w:rPr>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9"/>
        <w:gridCol w:w="2995"/>
        <w:gridCol w:w="924"/>
      </w:tblGrid>
      <w:tr>
        <w:trPr>
          <w:trHeight w:val="231" w:hRule="atLeast"/>
        </w:trPr>
        <w:tc>
          <w:tcPr>
            <w:tcW w:w="1239" w:type="dxa"/>
          </w:tcPr>
          <w:p>
            <w:pPr>
              <w:pStyle w:val="TableParagraph"/>
              <w:spacing w:before="0"/>
              <w:rPr>
                <w:sz w:val="16"/>
              </w:rPr>
            </w:pPr>
          </w:p>
        </w:tc>
        <w:tc>
          <w:tcPr>
            <w:tcW w:w="2995" w:type="dxa"/>
          </w:tcPr>
          <w:p>
            <w:pPr>
              <w:pStyle w:val="TableParagraph"/>
              <w:spacing w:line="212" w:lineRule="exact" w:before="0"/>
              <w:ind w:left="112"/>
              <w:rPr>
                <w:sz w:val="20"/>
              </w:rPr>
            </w:pPr>
            <w:r>
              <w:rPr>
                <w:sz w:val="20"/>
              </w:rPr>
              <w:t>NEGOTIATIONS</w:t>
            </w:r>
          </w:p>
        </w:tc>
        <w:tc>
          <w:tcPr>
            <w:tcW w:w="924" w:type="dxa"/>
          </w:tcPr>
          <w:p>
            <w:pPr>
              <w:pStyle w:val="TableParagraph"/>
              <w:spacing w:before="0"/>
              <w:rPr>
                <w:sz w:val="16"/>
              </w:rPr>
            </w:pPr>
          </w:p>
        </w:tc>
      </w:tr>
      <w:tr>
        <w:trPr>
          <w:trHeight w:val="480" w:hRule="atLeast"/>
        </w:trPr>
        <w:tc>
          <w:tcPr>
            <w:tcW w:w="1239" w:type="dxa"/>
          </w:tcPr>
          <w:p>
            <w:pPr>
              <w:pStyle w:val="TableParagraph"/>
              <w:ind w:left="179" w:right="92"/>
              <w:jc w:val="center"/>
              <w:rPr>
                <w:sz w:val="20"/>
              </w:rPr>
            </w:pPr>
            <w:r>
              <w:rPr>
                <w:sz w:val="20"/>
              </w:rPr>
              <w:t>PHMX 747</w:t>
            </w:r>
          </w:p>
        </w:tc>
        <w:tc>
          <w:tcPr>
            <w:tcW w:w="2995" w:type="dxa"/>
          </w:tcPr>
          <w:p>
            <w:pPr>
              <w:pStyle w:val="TableParagraph"/>
              <w:ind w:left="112"/>
              <w:rPr>
                <w:sz w:val="20"/>
              </w:rPr>
            </w:pPr>
            <w:r>
              <w:rPr>
                <w:sz w:val="20"/>
              </w:rPr>
              <w:t>INTERMEDIATE PKPD</w:t>
            </w:r>
          </w:p>
          <w:p>
            <w:pPr>
              <w:pStyle w:val="TableParagraph"/>
              <w:spacing w:line="219" w:lineRule="exact" w:before="10"/>
              <w:ind w:left="112"/>
              <w:rPr>
                <w:sz w:val="20"/>
              </w:rPr>
            </w:pPr>
            <w:r>
              <w:rPr>
                <w:sz w:val="20"/>
              </w:rPr>
              <w:t>MODELING II</w:t>
            </w:r>
          </w:p>
        </w:tc>
        <w:tc>
          <w:tcPr>
            <w:tcW w:w="924" w:type="dxa"/>
          </w:tcPr>
          <w:p>
            <w:pPr>
              <w:pStyle w:val="TableParagraph"/>
              <w:ind w:right="205"/>
              <w:jc w:val="right"/>
              <w:rPr>
                <w:sz w:val="20"/>
              </w:rPr>
            </w:pPr>
            <w:r>
              <w:rPr>
                <w:w w:val="100"/>
                <w:sz w:val="20"/>
              </w:rPr>
              <w:t>3</w:t>
            </w:r>
          </w:p>
        </w:tc>
      </w:tr>
      <w:tr>
        <w:trPr>
          <w:trHeight w:val="480" w:hRule="atLeast"/>
        </w:trPr>
        <w:tc>
          <w:tcPr>
            <w:tcW w:w="1239" w:type="dxa"/>
          </w:tcPr>
          <w:p>
            <w:pPr>
              <w:pStyle w:val="TableParagraph"/>
              <w:ind w:left="179" w:right="92"/>
              <w:jc w:val="center"/>
              <w:rPr>
                <w:sz w:val="20"/>
              </w:rPr>
            </w:pPr>
            <w:r>
              <w:rPr>
                <w:sz w:val="20"/>
              </w:rPr>
              <w:t>PHMX 759</w:t>
            </w:r>
          </w:p>
        </w:tc>
        <w:tc>
          <w:tcPr>
            <w:tcW w:w="2995" w:type="dxa"/>
          </w:tcPr>
          <w:p>
            <w:pPr>
              <w:pStyle w:val="TableParagraph"/>
              <w:ind w:left="112"/>
              <w:rPr>
                <w:sz w:val="20"/>
              </w:rPr>
            </w:pPr>
            <w:r>
              <w:rPr>
                <w:sz w:val="20"/>
              </w:rPr>
              <w:t>STATISTICS FOR</w:t>
            </w:r>
          </w:p>
          <w:p>
            <w:pPr>
              <w:pStyle w:val="TableParagraph"/>
              <w:spacing w:line="219" w:lineRule="exact" w:before="10"/>
              <w:ind w:left="112"/>
              <w:rPr>
                <w:sz w:val="20"/>
              </w:rPr>
            </w:pPr>
            <w:r>
              <w:rPr>
                <w:sz w:val="20"/>
              </w:rPr>
              <w:t>PHARMACOMETRICIANS II</w:t>
            </w:r>
          </w:p>
        </w:tc>
        <w:tc>
          <w:tcPr>
            <w:tcW w:w="924" w:type="dxa"/>
          </w:tcPr>
          <w:p>
            <w:pPr>
              <w:pStyle w:val="TableParagraph"/>
              <w:ind w:right="205"/>
              <w:jc w:val="right"/>
              <w:rPr>
                <w:sz w:val="20"/>
              </w:rPr>
            </w:pPr>
            <w:r>
              <w:rPr>
                <w:w w:val="100"/>
                <w:sz w:val="20"/>
              </w:rPr>
              <w:t>3</w:t>
            </w:r>
          </w:p>
        </w:tc>
      </w:tr>
      <w:tr>
        <w:trPr>
          <w:trHeight w:val="471" w:hRule="atLeast"/>
        </w:trPr>
        <w:tc>
          <w:tcPr>
            <w:tcW w:w="1239" w:type="dxa"/>
          </w:tcPr>
          <w:p>
            <w:pPr>
              <w:pStyle w:val="TableParagraph"/>
              <w:ind w:left="136" w:right="92"/>
              <w:jc w:val="center"/>
              <w:rPr>
                <w:sz w:val="20"/>
              </w:rPr>
            </w:pPr>
            <w:r>
              <w:rPr>
                <w:sz w:val="20"/>
              </w:rPr>
              <w:t>PHAR 758</w:t>
            </w:r>
          </w:p>
        </w:tc>
        <w:tc>
          <w:tcPr>
            <w:tcW w:w="2995" w:type="dxa"/>
          </w:tcPr>
          <w:p>
            <w:pPr>
              <w:pStyle w:val="TableParagraph"/>
              <w:ind w:left="112"/>
              <w:rPr>
                <w:sz w:val="20"/>
              </w:rPr>
            </w:pPr>
            <w:r>
              <w:rPr>
                <w:sz w:val="20"/>
              </w:rPr>
              <w:t>SPECIAL TOPICS (PROJECT)</w:t>
            </w:r>
          </w:p>
        </w:tc>
        <w:tc>
          <w:tcPr>
            <w:tcW w:w="924" w:type="dxa"/>
          </w:tcPr>
          <w:p>
            <w:pPr>
              <w:pStyle w:val="TableParagraph"/>
              <w:ind w:right="197"/>
              <w:jc w:val="right"/>
              <w:rPr>
                <w:sz w:val="20"/>
              </w:rPr>
            </w:pPr>
            <w:r>
              <w:rPr>
                <w:sz w:val="20"/>
              </w:rPr>
              <w:t>1 TO</w:t>
            </w:r>
          </w:p>
          <w:p>
            <w:pPr>
              <w:pStyle w:val="TableParagraph"/>
              <w:spacing w:line="210" w:lineRule="exact" w:before="10"/>
              <w:ind w:right="205"/>
              <w:jc w:val="right"/>
              <w:rPr>
                <w:sz w:val="20"/>
              </w:rPr>
            </w:pPr>
            <w:r>
              <w:rPr>
                <w:w w:val="100"/>
                <w:sz w:val="20"/>
              </w:rPr>
              <w:t>7</w:t>
            </w:r>
          </w:p>
        </w:tc>
      </w:tr>
    </w:tbl>
    <w:p>
      <w:pPr>
        <w:pStyle w:val="BodyText"/>
        <w:spacing w:line="249" w:lineRule="auto" w:before="187"/>
        <w:ind w:right="831"/>
      </w:pPr>
      <w:r>
        <w:rPr/>
        <w:t>Listings and details are given in the Course Descriptions part of this catalog.</w:t>
      </w:r>
    </w:p>
    <w:p>
      <w:pPr>
        <w:spacing w:after="0" w:line="249" w:lineRule="auto"/>
        <w:sectPr>
          <w:pgSz w:w="12240" w:h="15840"/>
          <w:pgMar w:header="746" w:footer="0" w:top="1320" w:bottom="280" w:left="880" w:right="300"/>
          <w:cols w:num="2" w:equalWidth="0">
            <w:col w:w="5006" w:space="481"/>
            <w:col w:w="5573"/>
          </w:cols>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9"/>
        <w:gridCol w:w="3127"/>
        <w:gridCol w:w="790"/>
      </w:tblGrid>
      <w:tr>
        <w:trPr>
          <w:trHeight w:val="471" w:hRule="atLeast"/>
        </w:trPr>
        <w:tc>
          <w:tcPr>
            <w:tcW w:w="1239" w:type="dxa"/>
          </w:tcPr>
          <w:p>
            <w:pPr>
              <w:pStyle w:val="TableParagraph"/>
              <w:spacing w:line="223" w:lineRule="exact" w:before="0"/>
              <w:ind w:right="110"/>
              <w:jc w:val="right"/>
              <w:rPr>
                <w:sz w:val="20"/>
              </w:rPr>
            </w:pPr>
            <w:r>
              <w:rPr>
                <w:sz w:val="20"/>
              </w:rPr>
              <w:t>PHMX 601</w:t>
            </w:r>
          </w:p>
        </w:tc>
        <w:tc>
          <w:tcPr>
            <w:tcW w:w="3127" w:type="dxa"/>
          </w:tcPr>
          <w:p>
            <w:pPr>
              <w:pStyle w:val="TableParagraph"/>
              <w:spacing w:line="223" w:lineRule="exact" w:before="0"/>
              <w:ind w:left="112"/>
              <w:rPr>
                <w:sz w:val="20"/>
              </w:rPr>
            </w:pPr>
            <w:r>
              <w:rPr>
                <w:sz w:val="20"/>
              </w:rPr>
              <w:t>BASIC PHARMACOMETRIC</w:t>
            </w:r>
          </w:p>
          <w:p>
            <w:pPr>
              <w:pStyle w:val="TableParagraph"/>
              <w:spacing w:line="219" w:lineRule="exact" w:before="10"/>
              <w:ind w:left="112"/>
              <w:rPr>
                <w:sz w:val="20"/>
              </w:rPr>
            </w:pPr>
            <w:r>
              <w:rPr>
                <w:sz w:val="20"/>
              </w:rPr>
              <w:t>TOOLS</w:t>
            </w:r>
          </w:p>
        </w:tc>
        <w:tc>
          <w:tcPr>
            <w:tcW w:w="790" w:type="dxa"/>
          </w:tcPr>
          <w:p>
            <w:pPr>
              <w:pStyle w:val="TableParagraph"/>
              <w:spacing w:line="223" w:lineRule="exact" w:before="0"/>
              <w:ind w:right="197"/>
              <w:jc w:val="right"/>
              <w:rPr>
                <w:sz w:val="20"/>
              </w:rPr>
            </w:pPr>
            <w:r>
              <w:rPr>
                <w:w w:val="100"/>
                <w:sz w:val="20"/>
              </w:rPr>
              <w:t>3</w:t>
            </w:r>
          </w:p>
        </w:tc>
      </w:tr>
      <w:tr>
        <w:trPr>
          <w:trHeight w:val="240" w:hRule="atLeast"/>
        </w:trPr>
        <w:tc>
          <w:tcPr>
            <w:tcW w:w="1239" w:type="dxa"/>
          </w:tcPr>
          <w:p>
            <w:pPr>
              <w:pStyle w:val="TableParagraph"/>
              <w:spacing w:line="219" w:lineRule="exact"/>
              <w:ind w:right="110"/>
              <w:jc w:val="right"/>
              <w:rPr>
                <w:sz w:val="20"/>
              </w:rPr>
            </w:pPr>
            <w:r>
              <w:rPr>
                <w:sz w:val="20"/>
              </w:rPr>
              <w:t>PHMX 602</w:t>
            </w:r>
          </w:p>
        </w:tc>
        <w:tc>
          <w:tcPr>
            <w:tcW w:w="3127" w:type="dxa"/>
          </w:tcPr>
          <w:p>
            <w:pPr>
              <w:pStyle w:val="TableParagraph"/>
              <w:spacing w:line="219" w:lineRule="exact"/>
              <w:ind w:left="112"/>
              <w:rPr>
                <w:sz w:val="20"/>
              </w:rPr>
            </w:pPr>
            <w:r>
              <w:rPr>
                <w:sz w:val="20"/>
              </w:rPr>
              <w:t>BASIC PKPD MODELING</w:t>
            </w:r>
          </w:p>
        </w:tc>
        <w:tc>
          <w:tcPr>
            <w:tcW w:w="790" w:type="dxa"/>
          </w:tcPr>
          <w:p>
            <w:pPr>
              <w:pStyle w:val="TableParagraph"/>
              <w:spacing w:line="219" w:lineRule="exact"/>
              <w:ind w:right="197"/>
              <w:jc w:val="right"/>
              <w:rPr>
                <w:sz w:val="20"/>
              </w:rPr>
            </w:pPr>
            <w:r>
              <w:rPr>
                <w:w w:val="100"/>
                <w:sz w:val="20"/>
              </w:rPr>
              <w:t>3</w:t>
            </w:r>
          </w:p>
        </w:tc>
      </w:tr>
      <w:tr>
        <w:trPr>
          <w:trHeight w:val="480" w:hRule="atLeast"/>
        </w:trPr>
        <w:tc>
          <w:tcPr>
            <w:tcW w:w="1239" w:type="dxa"/>
          </w:tcPr>
          <w:p>
            <w:pPr>
              <w:pStyle w:val="TableParagraph"/>
              <w:ind w:right="110"/>
              <w:jc w:val="right"/>
              <w:rPr>
                <w:sz w:val="20"/>
              </w:rPr>
            </w:pPr>
            <w:r>
              <w:rPr>
                <w:sz w:val="20"/>
              </w:rPr>
              <w:t>PHMX 638</w:t>
            </w:r>
          </w:p>
        </w:tc>
        <w:tc>
          <w:tcPr>
            <w:tcW w:w="3127" w:type="dxa"/>
          </w:tcPr>
          <w:p>
            <w:pPr>
              <w:pStyle w:val="TableParagraph"/>
              <w:ind w:left="112"/>
              <w:rPr>
                <w:sz w:val="20"/>
              </w:rPr>
            </w:pPr>
            <w:r>
              <w:rPr>
                <w:sz w:val="20"/>
              </w:rPr>
              <w:t>INTERMEDIATE</w:t>
            </w:r>
          </w:p>
          <w:p>
            <w:pPr>
              <w:pStyle w:val="TableParagraph"/>
              <w:spacing w:line="219" w:lineRule="exact" w:before="10"/>
              <w:ind w:left="112"/>
              <w:rPr>
                <w:sz w:val="20"/>
              </w:rPr>
            </w:pPr>
            <w:r>
              <w:rPr>
                <w:sz w:val="20"/>
              </w:rPr>
              <w:t>PKPDMODELING I</w:t>
            </w:r>
          </w:p>
        </w:tc>
        <w:tc>
          <w:tcPr>
            <w:tcW w:w="790" w:type="dxa"/>
          </w:tcPr>
          <w:p>
            <w:pPr>
              <w:pStyle w:val="TableParagraph"/>
              <w:ind w:right="197"/>
              <w:jc w:val="right"/>
              <w:rPr>
                <w:sz w:val="20"/>
              </w:rPr>
            </w:pPr>
            <w:r>
              <w:rPr>
                <w:w w:val="100"/>
                <w:sz w:val="20"/>
              </w:rPr>
              <w:t>3</w:t>
            </w:r>
          </w:p>
        </w:tc>
      </w:tr>
      <w:tr>
        <w:trPr>
          <w:trHeight w:val="480" w:hRule="atLeast"/>
        </w:trPr>
        <w:tc>
          <w:tcPr>
            <w:tcW w:w="1239" w:type="dxa"/>
          </w:tcPr>
          <w:p>
            <w:pPr>
              <w:pStyle w:val="TableParagraph"/>
              <w:ind w:right="110"/>
              <w:jc w:val="right"/>
              <w:rPr>
                <w:sz w:val="20"/>
              </w:rPr>
            </w:pPr>
            <w:r>
              <w:rPr>
                <w:sz w:val="20"/>
              </w:rPr>
              <w:t>PHMX 663</w:t>
            </w:r>
          </w:p>
        </w:tc>
        <w:tc>
          <w:tcPr>
            <w:tcW w:w="3127" w:type="dxa"/>
          </w:tcPr>
          <w:p>
            <w:pPr>
              <w:pStyle w:val="TableParagraph"/>
              <w:ind w:left="112"/>
              <w:rPr>
                <w:sz w:val="20"/>
              </w:rPr>
            </w:pPr>
            <w:r>
              <w:rPr>
                <w:sz w:val="20"/>
              </w:rPr>
              <w:t>STATISTICS FOR</w:t>
            </w:r>
          </w:p>
          <w:p>
            <w:pPr>
              <w:pStyle w:val="TableParagraph"/>
              <w:spacing w:line="219" w:lineRule="exact" w:before="10"/>
              <w:ind w:left="112"/>
              <w:rPr>
                <w:sz w:val="20"/>
              </w:rPr>
            </w:pPr>
            <w:r>
              <w:rPr>
                <w:sz w:val="20"/>
              </w:rPr>
              <w:t>PHARMACOMETRICIANS I</w:t>
            </w:r>
          </w:p>
        </w:tc>
        <w:tc>
          <w:tcPr>
            <w:tcW w:w="790" w:type="dxa"/>
          </w:tcPr>
          <w:p>
            <w:pPr>
              <w:pStyle w:val="TableParagraph"/>
              <w:ind w:right="197"/>
              <w:jc w:val="right"/>
              <w:rPr>
                <w:sz w:val="20"/>
              </w:rPr>
            </w:pPr>
            <w:r>
              <w:rPr>
                <w:w w:val="100"/>
                <w:sz w:val="20"/>
              </w:rPr>
              <w:t>3</w:t>
            </w:r>
          </w:p>
        </w:tc>
      </w:tr>
      <w:tr>
        <w:trPr>
          <w:trHeight w:val="240" w:hRule="atLeast"/>
        </w:trPr>
        <w:tc>
          <w:tcPr>
            <w:tcW w:w="1239" w:type="dxa"/>
          </w:tcPr>
          <w:p>
            <w:pPr>
              <w:pStyle w:val="TableParagraph"/>
              <w:spacing w:line="219" w:lineRule="exact"/>
              <w:ind w:right="110"/>
              <w:jc w:val="right"/>
              <w:rPr>
                <w:sz w:val="20"/>
              </w:rPr>
            </w:pPr>
            <w:r>
              <w:rPr>
                <w:sz w:val="20"/>
              </w:rPr>
              <w:t>PHMX 665</w:t>
            </w:r>
          </w:p>
        </w:tc>
        <w:tc>
          <w:tcPr>
            <w:tcW w:w="3127" w:type="dxa"/>
          </w:tcPr>
          <w:p>
            <w:pPr>
              <w:pStyle w:val="TableParagraph"/>
              <w:spacing w:line="219" w:lineRule="exact"/>
              <w:ind w:left="112"/>
              <w:rPr>
                <w:sz w:val="20"/>
              </w:rPr>
            </w:pPr>
            <w:r>
              <w:rPr>
                <w:sz w:val="20"/>
              </w:rPr>
              <w:t>DOSE-RESPONSE TRIALS</w:t>
            </w:r>
          </w:p>
        </w:tc>
        <w:tc>
          <w:tcPr>
            <w:tcW w:w="790" w:type="dxa"/>
          </w:tcPr>
          <w:p>
            <w:pPr>
              <w:pStyle w:val="TableParagraph"/>
              <w:spacing w:line="219" w:lineRule="exact"/>
              <w:ind w:right="197"/>
              <w:jc w:val="right"/>
              <w:rPr>
                <w:sz w:val="20"/>
              </w:rPr>
            </w:pPr>
            <w:r>
              <w:rPr>
                <w:w w:val="100"/>
                <w:sz w:val="20"/>
              </w:rPr>
              <w:t>3</w:t>
            </w:r>
          </w:p>
        </w:tc>
      </w:tr>
      <w:tr>
        <w:trPr>
          <w:trHeight w:val="471" w:hRule="atLeast"/>
        </w:trPr>
        <w:tc>
          <w:tcPr>
            <w:tcW w:w="1239" w:type="dxa"/>
          </w:tcPr>
          <w:p>
            <w:pPr>
              <w:pStyle w:val="TableParagraph"/>
              <w:ind w:right="110"/>
              <w:jc w:val="right"/>
              <w:rPr>
                <w:sz w:val="20"/>
              </w:rPr>
            </w:pPr>
            <w:r>
              <w:rPr>
                <w:sz w:val="20"/>
              </w:rPr>
              <w:t>PHMX 666</w:t>
            </w:r>
          </w:p>
        </w:tc>
        <w:tc>
          <w:tcPr>
            <w:tcW w:w="3127" w:type="dxa"/>
          </w:tcPr>
          <w:p>
            <w:pPr>
              <w:pStyle w:val="TableParagraph"/>
              <w:ind w:left="112"/>
              <w:rPr>
                <w:sz w:val="20"/>
              </w:rPr>
            </w:pPr>
            <w:r>
              <w:rPr>
                <w:sz w:val="20"/>
              </w:rPr>
              <w:t>STRATEGIC</w:t>
            </w:r>
          </w:p>
          <w:p>
            <w:pPr>
              <w:pStyle w:val="TableParagraph"/>
              <w:spacing w:line="210" w:lineRule="exact" w:before="10"/>
              <w:ind w:left="112"/>
              <w:rPr>
                <w:sz w:val="20"/>
              </w:rPr>
            </w:pPr>
            <w:r>
              <w:rPr>
                <w:sz w:val="20"/>
              </w:rPr>
              <w:t>COMMUNICATION AND</w:t>
            </w:r>
          </w:p>
        </w:tc>
        <w:tc>
          <w:tcPr>
            <w:tcW w:w="790" w:type="dxa"/>
          </w:tcPr>
          <w:p>
            <w:pPr>
              <w:pStyle w:val="TableParagraph"/>
              <w:ind w:right="197"/>
              <w:jc w:val="right"/>
              <w:rPr>
                <w:sz w:val="20"/>
              </w:rPr>
            </w:pPr>
            <w:r>
              <w:rPr>
                <w:w w:val="100"/>
                <w:sz w:val="20"/>
              </w:rPr>
              <w:t>2</w:t>
            </w:r>
          </w:p>
        </w:tc>
      </w:tr>
    </w:tbl>
    <w:p>
      <w:pPr>
        <w:spacing w:after="0"/>
        <w:jc w:val="right"/>
        <w:rPr>
          <w:sz w:val="20"/>
        </w:rPr>
        <w:sectPr>
          <w:type w:val="continuous"/>
          <w:pgSz w:w="12240" w:h="15840"/>
          <w:pgMar w:top="1500" w:bottom="280" w:left="880" w:right="300"/>
        </w:sectPr>
      </w:pPr>
    </w:p>
    <w:p>
      <w:pPr>
        <w:pStyle w:val="Heading3"/>
      </w:pPr>
      <w:bookmarkStart w:name="Principles and Practice of Hospice and P" w:id="81"/>
      <w:bookmarkEnd w:id="81"/>
      <w:r>
        <w:rPr/>
      </w:r>
      <w:bookmarkStart w:name="_bookmark40" w:id="82"/>
      <w:bookmarkEnd w:id="82"/>
      <w:r>
        <w:rPr/>
      </w:r>
      <w:r>
        <w:rPr/>
        <w:t>Principles and Practice of Hospice and Palliative Care</w:t>
      </w:r>
    </w:p>
    <w:p>
      <w:pPr>
        <w:pStyle w:val="BodyText"/>
        <w:spacing w:line="249" w:lineRule="auto" w:before="190"/>
        <w:ind w:right="58"/>
      </w:pPr>
      <w:hyperlink r:id="rId64">
        <w:r>
          <w:rPr>
            <w:color w:val="0000FF"/>
            <w:u w:val="single" w:color="0000FF"/>
          </w:rPr>
          <w:t>https://www.graduate.umaryland.edu/palliative/About-the-</w:t>
        </w:r>
      </w:hyperlink>
      <w:r>
        <w:rPr>
          <w:color w:val="0000FF"/>
        </w:rPr>
        <w:t> </w:t>
      </w:r>
      <w:hyperlink r:id="rId64">
        <w:r>
          <w:rPr>
            <w:color w:val="0000FF"/>
            <w:u w:val="single" w:color="0000FF"/>
          </w:rPr>
          <w:t>Program/</w:t>
        </w:r>
      </w:hyperlink>
    </w:p>
    <w:p>
      <w:pPr>
        <w:spacing w:line="439" w:lineRule="auto" w:before="179"/>
        <w:ind w:left="200" w:right="2436"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left="199" w:right="38"/>
      </w:pPr>
      <w:r>
        <w:rPr/>
        <w:t>Principles and Practice </w:t>
      </w:r>
      <w:r>
        <w:rPr>
          <w:spacing w:val="-3"/>
        </w:rPr>
        <w:t>of </w:t>
      </w:r>
      <w:r>
        <w:rPr/>
        <w:t>Hospice and Palliative Care is a 12-credit, online postbaccalaureate graduate certificate program designed to provide learners </w:t>
      </w:r>
      <w:r>
        <w:rPr>
          <w:spacing w:val="-3"/>
        </w:rPr>
        <w:t>with </w:t>
      </w:r>
      <w:r>
        <w:rPr/>
        <w:t>experiences designed to </w:t>
      </w:r>
      <w:r>
        <w:rPr>
          <w:spacing w:val="-3"/>
        </w:rPr>
        <w:t>foster </w:t>
      </w:r>
      <w:r>
        <w:rPr/>
        <w:t>a deeper knowledge and understanding of the field </w:t>
      </w:r>
      <w:r>
        <w:rPr>
          <w:spacing w:val="-3"/>
        </w:rPr>
        <w:t>of </w:t>
      </w:r>
      <w:r>
        <w:rPr/>
        <w:t>hospice and palliative care. Specifically, participants will learn about the patient/family-centric model </w:t>
      </w:r>
      <w:r>
        <w:rPr>
          <w:spacing w:val="-3"/>
        </w:rPr>
        <w:t>of </w:t>
      </w:r>
      <w:r>
        <w:rPr/>
        <w:t>hospice and palliative care and the interdisciplinary approach to care. Communication techniques such as delivering bad news, counseling techniques and introductory content </w:t>
      </w:r>
      <w:r>
        <w:rPr>
          <w:spacing w:val="-5"/>
        </w:rPr>
        <w:t>on </w:t>
      </w:r>
      <w:r>
        <w:rPr/>
        <w:t>ethical decision- making will </w:t>
      </w:r>
      <w:r>
        <w:rPr>
          <w:spacing w:val="-3"/>
        </w:rPr>
        <w:t>be </w:t>
      </w:r>
      <w:r>
        <w:rPr/>
        <w:t>addressed. Participants </w:t>
      </w:r>
      <w:r>
        <w:rPr>
          <w:spacing w:val="-3"/>
        </w:rPr>
        <w:t>will </w:t>
      </w:r>
      <w:r>
        <w:rPr/>
        <w:t>also learn how to assess and address psychological, psychiatric, cultural and spiritual aspects </w:t>
      </w:r>
      <w:r>
        <w:rPr>
          <w:spacing w:val="-3"/>
        </w:rPr>
        <w:t>of </w:t>
      </w:r>
      <w:r>
        <w:rPr/>
        <w:t>care in serious illness. Last, students will learn how to do a comprehensive assessment of pain and non-pain </w:t>
      </w:r>
      <w:r>
        <w:rPr>
          <w:spacing w:val="-3"/>
        </w:rPr>
        <w:t>symptom </w:t>
      </w:r>
      <w:r>
        <w:rPr/>
        <w:t>management, and evidence- based pharmacologic and non-pharmacologic treatment options.</w:t>
      </w:r>
    </w:p>
    <w:p>
      <w:pPr>
        <w:pStyle w:val="BodyText"/>
        <w:spacing w:before="0"/>
        <w:ind w:left="0"/>
        <w:rPr>
          <w:sz w:val="22"/>
        </w:rPr>
      </w:pPr>
    </w:p>
    <w:p>
      <w:pPr>
        <w:pStyle w:val="BodyText"/>
        <w:spacing w:before="2"/>
        <w:ind w:left="0"/>
        <w:rPr>
          <w:sz w:val="31"/>
        </w:rPr>
      </w:pPr>
    </w:p>
    <w:p>
      <w:pPr>
        <w:pStyle w:val="BodyText"/>
        <w:spacing w:line="249" w:lineRule="auto" w:before="0"/>
        <w:ind w:left="199" w:right="115"/>
      </w:pPr>
      <w:r>
        <w:rPr/>
        <w:t>Credits earned in this stand-alone certificate program may be applied toward the PALC-MS degree requirements.</w:t>
      </w:r>
    </w:p>
    <w:p>
      <w:pPr>
        <w:pStyle w:val="Heading6"/>
        <w:spacing w:before="179"/>
        <w:ind w:left="199"/>
      </w:pPr>
      <w:r>
        <w:rPr/>
        <w:t>Program Admission</w:t>
      </w:r>
    </w:p>
    <w:p>
      <w:pPr>
        <w:pStyle w:val="BodyText"/>
        <w:spacing w:line="249" w:lineRule="auto" w:before="193"/>
        <w:ind w:left="199" w:right="127"/>
      </w:pPr>
      <w:r>
        <w:rPr/>
        <w:t>The target learner audience includes practitioners who are working in hospice and palliative care or aspire to do so, including physicians, advance practice nurses, nurses, pharmacists, and physician assistants.</w:t>
      </w:r>
    </w:p>
    <w:p>
      <w:pPr>
        <w:pStyle w:val="BodyText"/>
        <w:spacing w:before="0"/>
        <w:ind w:left="0"/>
        <w:rPr>
          <w:sz w:val="22"/>
        </w:rPr>
      </w:pPr>
    </w:p>
    <w:p>
      <w:pPr>
        <w:pStyle w:val="BodyText"/>
        <w:spacing w:before="4"/>
        <w:ind w:left="0"/>
        <w:rPr>
          <w:sz w:val="30"/>
        </w:rPr>
      </w:pPr>
    </w:p>
    <w:p>
      <w:pPr>
        <w:pStyle w:val="BodyText"/>
        <w:spacing w:line="249" w:lineRule="auto" w:before="1"/>
        <w:ind w:left="199" w:right="54"/>
      </w:pPr>
      <w:r>
        <w:rPr/>
        <w:t>Candidates for admission must meet the minimum 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 Graduate Record Examinations are not required for admission.</w:t>
      </w:r>
    </w:p>
    <w:p>
      <w:pPr>
        <w:pStyle w:val="Heading6"/>
        <w:spacing w:before="97"/>
        <w:ind w:left="199"/>
      </w:pPr>
      <w:r>
        <w:rPr>
          <w:b w:val="0"/>
        </w:rPr>
        <w:br w:type="column"/>
      </w:r>
      <w:r>
        <w:rPr/>
        <w:t>Degree Requirements</w:t>
      </w:r>
    </w:p>
    <w:p>
      <w:pPr>
        <w:pStyle w:val="BodyText"/>
        <w:spacing w:line="249" w:lineRule="auto" w:before="187"/>
        <w:ind w:left="199" w:right="621"/>
      </w:pPr>
      <w:r>
        <w:rPr/>
        <w:t>Certificate candidates must complete a minimum </w:t>
      </w:r>
      <w:r>
        <w:rPr>
          <w:spacing w:val="-3"/>
        </w:rPr>
        <w:t>of </w:t>
      </w:r>
      <w:r>
        <w:rPr/>
        <w:t>12 credits. Students must maintain a minimum, cumulative 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courses </w:t>
      </w:r>
      <w:r>
        <w:rPr>
          <w:spacing w:val="-3"/>
        </w:rPr>
        <w:t>taken </w:t>
      </w:r>
      <w:r>
        <w:rPr/>
        <w:t>as Pass/Fail (P/F) </w:t>
      </w:r>
      <w:r>
        <w:rPr>
          <w:spacing w:val="-3"/>
        </w:rPr>
        <w:t>or </w:t>
      </w:r>
      <w:r>
        <w:rPr/>
        <w:t>Audit </w:t>
      </w:r>
      <w:r>
        <w:rPr>
          <w:spacing w:val="-3"/>
        </w:rPr>
        <w:t>(AU) </w:t>
      </w:r>
      <w:r>
        <w:rPr/>
        <w:t>do not count toward the certificate. </w:t>
      </w:r>
      <w:r>
        <w:rPr>
          <w:spacing w:val="-2"/>
        </w:rPr>
        <w:t>All </w:t>
      </w:r>
      <w:r>
        <w:rPr/>
        <w:t>requirements </w:t>
      </w:r>
      <w:r>
        <w:rPr>
          <w:spacing w:val="-4"/>
        </w:rPr>
        <w:t>for </w:t>
      </w:r>
      <w:r>
        <w:rPr/>
        <w:t>the certificate must </w:t>
      </w:r>
      <w:r>
        <w:rPr>
          <w:spacing w:val="-3"/>
        </w:rPr>
        <w:t>be </w:t>
      </w:r>
      <w:r>
        <w:rPr/>
        <w:t>completed within three years after admission and all credits </w:t>
      </w:r>
      <w:r>
        <w:rPr>
          <w:spacing w:val="-4"/>
        </w:rPr>
        <w:t>for </w:t>
      </w:r>
      <w:r>
        <w:rPr/>
        <w:t>the certificate must </w:t>
      </w:r>
      <w:r>
        <w:rPr>
          <w:spacing w:val="-3"/>
        </w:rPr>
        <w:t>be </w:t>
      </w:r>
      <w:r>
        <w:rPr/>
        <w:t>completed at the University of Maryland, Baltimore. Complete guideline and requirements </w:t>
      </w:r>
      <w:r>
        <w:rPr>
          <w:spacing w:val="-4"/>
        </w:rPr>
        <w:t>for </w:t>
      </w:r>
      <w:r>
        <w:rPr/>
        <w:t>progression and completion are outlined in the Academic Performance and Progress in a Postbaccalaureate Certificate Program section </w:t>
      </w:r>
      <w:r>
        <w:rPr>
          <w:spacing w:val="-3"/>
        </w:rPr>
        <w:t>of </w:t>
      </w:r>
      <w:r>
        <w:rPr/>
        <w:t>this catalog.</w:t>
      </w:r>
    </w:p>
    <w:p>
      <w:pPr>
        <w:pStyle w:val="Heading5"/>
        <w:spacing w:before="186"/>
        <w:ind w:left="199"/>
      </w:pPr>
      <w:r>
        <w:rPr/>
        <w:t>Required Courses</w:t>
      </w: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3035"/>
        <w:gridCol w:w="667"/>
      </w:tblGrid>
      <w:tr>
        <w:trPr>
          <w:trHeight w:val="711" w:hRule="atLeast"/>
        </w:trPr>
        <w:tc>
          <w:tcPr>
            <w:tcW w:w="1249" w:type="dxa"/>
          </w:tcPr>
          <w:p>
            <w:pPr>
              <w:pStyle w:val="TableParagraph"/>
              <w:spacing w:line="223" w:lineRule="exact" w:before="0"/>
              <w:ind w:left="200"/>
              <w:rPr>
                <w:sz w:val="20"/>
              </w:rPr>
            </w:pPr>
            <w:r>
              <w:rPr>
                <w:sz w:val="20"/>
              </w:rPr>
              <w:t>PALC 601</w:t>
            </w:r>
          </w:p>
        </w:tc>
        <w:tc>
          <w:tcPr>
            <w:tcW w:w="3035" w:type="dxa"/>
          </w:tcPr>
          <w:p>
            <w:pPr>
              <w:pStyle w:val="TableParagraph"/>
              <w:spacing w:line="249" w:lineRule="auto" w:before="0"/>
              <w:ind w:left="184" w:right="675"/>
              <w:rPr>
                <w:sz w:val="20"/>
              </w:rPr>
            </w:pPr>
            <w:r>
              <w:rPr>
                <w:sz w:val="20"/>
              </w:rPr>
              <w:t>PRINCLIPLES AND PRACTICE OF HOSPICE</w:t>
            </w:r>
          </w:p>
          <w:p>
            <w:pPr>
              <w:pStyle w:val="TableParagraph"/>
              <w:spacing w:line="219" w:lineRule="exact" w:before="0"/>
              <w:ind w:left="184"/>
              <w:rPr>
                <w:sz w:val="20"/>
              </w:rPr>
            </w:pPr>
            <w:r>
              <w:rPr>
                <w:sz w:val="20"/>
              </w:rPr>
              <w:t>AND PALLIATIVE CARE</w:t>
            </w:r>
          </w:p>
        </w:tc>
        <w:tc>
          <w:tcPr>
            <w:tcW w:w="667" w:type="dxa"/>
          </w:tcPr>
          <w:p>
            <w:pPr>
              <w:pStyle w:val="TableParagraph"/>
              <w:spacing w:line="223" w:lineRule="exact" w:before="0"/>
              <w:ind w:right="198"/>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603</w:t>
            </w:r>
          </w:p>
        </w:tc>
        <w:tc>
          <w:tcPr>
            <w:tcW w:w="3035" w:type="dxa"/>
          </w:tcPr>
          <w:p>
            <w:pPr>
              <w:pStyle w:val="TableParagraph"/>
              <w:spacing w:line="249" w:lineRule="auto"/>
              <w:ind w:left="184" w:right="514"/>
              <w:rPr>
                <w:sz w:val="20"/>
              </w:rPr>
            </w:pPr>
            <w:r>
              <w:rPr>
                <w:sz w:val="20"/>
              </w:rPr>
              <w:t>COMMUNICATION AND HEALTHCARE DECISION</w:t>
            </w:r>
          </w:p>
          <w:p>
            <w:pPr>
              <w:pStyle w:val="TableParagraph"/>
              <w:spacing w:line="219" w:lineRule="exact" w:before="2"/>
              <w:ind w:left="184"/>
              <w:rPr>
                <w:sz w:val="20"/>
              </w:rPr>
            </w:pPr>
            <w:r>
              <w:rPr>
                <w:sz w:val="20"/>
              </w:rPr>
              <w:t>MAKING</w:t>
            </w:r>
          </w:p>
        </w:tc>
        <w:tc>
          <w:tcPr>
            <w:tcW w:w="667" w:type="dxa"/>
          </w:tcPr>
          <w:p>
            <w:pPr>
              <w:pStyle w:val="TableParagraph"/>
              <w:ind w:right="198"/>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604</w:t>
            </w:r>
          </w:p>
        </w:tc>
        <w:tc>
          <w:tcPr>
            <w:tcW w:w="3035" w:type="dxa"/>
          </w:tcPr>
          <w:p>
            <w:pPr>
              <w:pStyle w:val="TableParagraph"/>
              <w:spacing w:line="249" w:lineRule="auto"/>
              <w:ind w:left="184" w:right="675"/>
              <w:rPr>
                <w:sz w:val="20"/>
              </w:rPr>
            </w:pPr>
            <w:r>
              <w:rPr>
                <w:sz w:val="20"/>
              </w:rPr>
              <w:t>PSYCHOSOCIAL, CULTURAL AND</w:t>
            </w:r>
          </w:p>
          <w:p>
            <w:pPr>
              <w:pStyle w:val="TableParagraph"/>
              <w:spacing w:line="219" w:lineRule="exact" w:before="2"/>
              <w:ind w:left="184"/>
              <w:rPr>
                <w:sz w:val="20"/>
              </w:rPr>
            </w:pPr>
            <w:r>
              <w:rPr>
                <w:sz w:val="20"/>
              </w:rPr>
              <w:t>SPIRITUAL CARE</w:t>
            </w:r>
          </w:p>
        </w:tc>
        <w:tc>
          <w:tcPr>
            <w:tcW w:w="667" w:type="dxa"/>
          </w:tcPr>
          <w:p>
            <w:pPr>
              <w:pStyle w:val="TableParagraph"/>
              <w:ind w:right="198"/>
              <w:jc w:val="right"/>
              <w:rPr>
                <w:sz w:val="20"/>
              </w:rPr>
            </w:pPr>
            <w:r>
              <w:rPr>
                <w:w w:val="100"/>
                <w:sz w:val="20"/>
              </w:rPr>
              <w:t>3</w:t>
            </w:r>
          </w:p>
        </w:tc>
      </w:tr>
      <w:tr>
        <w:trPr>
          <w:trHeight w:val="471" w:hRule="atLeast"/>
        </w:trPr>
        <w:tc>
          <w:tcPr>
            <w:tcW w:w="1249" w:type="dxa"/>
          </w:tcPr>
          <w:p>
            <w:pPr>
              <w:pStyle w:val="TableParagraph"/>
              <w:ind w:left="200"/>
              <w:rPr>
                <w:sz w:val="20"/>
              </w:rPr>
            </w:pPr>
            <w:r>
              <w:rPr>
                <w:sz w:val="20"/>
              </w:rPr>
              <w:t>PALC 605</w:t>
            </w:r>
          </w:p>
        </w:tc>
        <w:tc>
          <w:tcPr>
            <w:tcW w:w="3035" w:type="dxa"/>
          </w:tcPr>
          <w:p>
            <w:pPr>
              <w:pStyle w:val="TableParagraph"/>
              <w:ind w:left="184"/>
              <w:rPr>
                <w:sz w:val="20"/>
              </w:rPr>
            </w:pPr>
            <w:r>
              <w:rPr>
                <w:sz w:val="20"/>
              </w:rPr>
              <w:t>SYMPTOM MANAGEMENT</w:t>
            </w:r>
          </w:p>
          <w:p>
            <w:pPr>
              <w:pStyle w:val="TableParagraph"/>
              <w:spacing w:line="210" w:lineRule="exact" w:before="10"/>
              <w:ind w:left="184"/>
              <w:rPr>
                <w:sz w:val="20"/>
              </w:rPr>
            </w:pPr>
            <w:r>
              <w:rPr>
                <w:sz w:val="20"/>
              </w:rPr>
              <w:t>IN ADVANCED ILLNESS</w:t>
            </w:r>
          </w:p>
        </w:tc>
        <w:tc>
          <w:tcPr>
            <w:tcW w:w="667" w:type="dxa"/>
          </w:tcPr>
          <w:p>
            <w:pPr>
              <w:pStyle w:val="TableParagraph"/>
              <w:ind w:right="198"/>
              <w:jc w:val="right"/>
              <w:rPr>
                <w:sz w:val="20"/>
              </w:rPr>
            </w:pPr>
            <w:r>
              <w:rPr>
                <w:w w:val="100"/>
                <w:sz w:val="20"/>
              </w:rPr>
              <w:t>3</w:t>
            </w:r>
          </w:p>
        </w:tc>
      </w:tr>
    </w:tbl>
    <w:p>
      <w:pPr>
        <w:pStyle w:val="BodyText"/>
        <w:spacing w:before="7"/>
        <w:ind w:left="0"/>
        <w:rPr>
          <w:sz w:val="17"/>
        </w:rPr>
      </w:pPr>
    </w:p>
    <w:p>
      <w:pPr>
        <w:pStyle w:val="BodyText"/>
        <w:spacing w:line="249" w:lineRule="auto" w:before="0"/>
        <w:ind w:left="199" w:right="905"/>
      </w:pPr>
      <w:r>
        <w:rPr/>
        <w:t>Details are given in the Course Descriptions part of this catalog.</w:t>
      </w:r>
    </w:p>
    <w:p>
      <w:pPr>
        <w:spacing w:after="0" w:line="249" w:lineRule="auto"/>
        <w:sectPr>
          <w:pgSz w:w="12240" w:h="15840"/>
          <w:pgMar w:header="746" w:footer="0" w:top="1320" w:bottom="280" w:left="880" w:right="300"/>
          <w:cols w:num="2" w:equalWidth="0">
            <w:col w:w="4983" w:space="504"/>
            <w:col w:w="5573"/>
          </w:cols>
        </w:sectPr>
      </w:pPr>
    </w:p>
    <w:p>
      <w:pPr>
        <w:pStyle w:val="Heading3"/>
        <w:ind w:right="17"/>
      </w:pPr>
      <w:bookmarkStart w:name="Psychosocial/Spiritual Aspects of Hospic" w:id="83"/>
      <w:bookmarkEnd w:id="83"/>
      <w:r>
        <w:rPr/>
      </w:r>
      <w:bookmarkStart w:name="_bookmark41" w:id="84"/>
      <w:bookmarkEnd w:id="84"/>
      <w:r>
        <w:rPr/>
      </w:r>
      <w:r>
        <w:rPr/>
        <w:t>Psychosocial/Spiritual Aspects of Hospice and Palliative Care</w:t>
      </w:r>
    </w:p>
    <w:p>
      <w:pPr>
        <w:pStyle w:val="BodyText"/>
        <w:spacing w:line="249" w:lineRule="auto" w:before="190"/>
        <w:ind w:right="64"/>
      </w:pPr>
      <w:hyperlink r:id="rId64">
        <w:r>
          <w:rPr>
            <w:color w:val="0000FF"/>
            <w:u w:val="single" w:color="0000FF"/>
          </w:rPr>
          <w:t>https://www.graduate.umaryland.edu/palliative/About-the-</w:t>
        </w:r>
      </w:hyperlink>
      <w:r>
        <w:rPr>
          <w:color w:val="0000FF"/>
        </w:rPr>
        <w:t> </w:t>
      </w:r>
      <w:hyperlink r:id="rId64">
        <w:r>
          <w:rPr>
            <w:color w:val="0000FF"/>
            <w:u w:val="single" w:color="0000FF"/>
          </w:rPr>
          <w:t>Program/</w:t>
        </w:r>
      </w:hyperlink>
    </w:p>
    <w:p>
      <w:pPr>
        <w:spacing w:line="439" w:lineRule="auto" w:before="179"/>
        <w:ind w:left="200" w:right="2442"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right="147"/>
      </w:pPr>
      <w:r>
        <w:rPr/>
        <w:t>Psychosocial/Spiritual Aspects of Hospice and Palliative Care is a 12-credit, online postbaccalaureate graduate certificate program designed to provide learners with experiences designed to foster a deeper knowledge and understanding of the psychosocial and spiritual considerations in caring for patients with a serious illness. Specifically, participants will acquire skills necessary to elicit patient and/or family values and delineate goals of care regarding pain and symptom management, advanced life-sustaining therapies, and advanced communication techniques for delivering bad news, establishing goals of care, suspending therapies, and death notification.</w:t>
      </w:r>
    </w:p>
    <w:p>
      <w:pPr>
        <w:pStyle w:val="BodyText"/>
        <w:spacing w:line="249" w:lineRule="auto" w:before="8"/>
        <w:ind w:left="199" w:right="49"/>
      </w:pPr>
      <w:r>
        <w:rPr/>
        <w:t>Participants will also develop advanced skills in the assessment of patients and families to determine psychosocial needs, spiritual and cultural concerns, and address patient and family suffering, coping and healing within the emotional, psychological and social domains. Learners will also learn about common sources of personal stress that arise from working in this field, what self-care is, and why healthcare professionals should practice self- care. Last, participants will learn about the principles of adult learning and staff development, including principles of instructional design, and methods of informal learning (including social media).</w:t>
      </w:r>
    </w:p>
    <w:p>
      <w:pPr>
        <w:pStyle w:val="BodyText"/>
        <w:spacing w:line="249" w:lineRule="auto" w:before="186"/>
        <w:ind w:left="199" w:right="182"/>
      </w:pPr>
      <w:r>
        <w:rPr/>
        <w:t>Psychosocial/Spiritual Aspects of Hospice and Palliative Care is also a concentration of study within the Master of Science in Palliative Care (PALC-MS) program. Credits earned in the stand-alone certificate program may be applied toward the PALC-MS degree requirements.</w:t>
      </w:r>
    </w:p>
    <w:p>
      <w:pPr>
        <w:pStyle w:val="Heading6"/>
        <w:spacing w:before="187"/>
        <w:ind w:left="199"/>
      </w:pPr>
      <w:r>
        <w:rPr/>
        <w:t>Program Admission</w:t>
      </w:r>
    </w:p>
    <w:p>
      <w:pPr>
        <w:pStyle w:val="BodyText"/>
        <w:spacing w:line="249" w:lineRule="auto" w:before="187"/>
        <w:ind w:left="199" w:right="26"/>
      </w:pPr>
      <w:r>
        <w:rPr/>
        <w:t>The target learner audience includes practitioners who are working in hospice and palliative care or aspire to do so, including physicians, advance practice nurses, nurses, pharmacists, physician assistants, social workers, chaplains and grief/bereavement specialists.</w:t>
      </w:r>
    </w:p>
    <w:p>
      <w:pPr>
        <w:pStyle w:val="BodyText"/>
        <w:spacing w:line="249" w:lineRule="auto" w:before="186"/>
        <w:ind w:left="199" w:right="65"/>
      </w:pPr>
      <w:r>
        <w:rPr/>
        <w:t>Candidates for admission must meet the minimum standards of admission established by the Graduate School and provide the requisite credentials. Admission to the</w:t>
      </w:r>
    </w:p>
    <w:p>
      <w:pPr>
        <w:pStyle w:val="BodyText"/>
        <w:spacing w:line="249" w:lineRule="auto" w:before="96"/>
        <w:ind w:left="199" w:right="645"/>
      </w:pPr>
      <w:r>
        <w:rPr/>
        <w:br w:type="column"/>
      </w:r>
      <w:r>
        <w:rPr/>
        <w:t>certificate program is highly selective. A U.S. bachelor’s degree or its equivalent from a non-U.S. educational institution is required. No specific undergraduate course of study is required or recommended. Graduate Record Examinations are not required for admission.</w:t>
      </w:r>
    </w:p>
    <w:p>
      <w:pPr>
        <w:pStyle w:val="Heading6"/>
        <w:spacing w:before="181"/>
        <w:ind w:left="199"/>
      </w:pPr>
      <w:r>
        <w:rPr/>
        <w:t>Degree Requirements</w:t>
      </w:r>
    </w:p>
    <w:p>
      <w:pPr>
        <w:pStyle w:val="BodyText"/>
        <w:spacing w:line="249" w:lineRule="auto" w:before="193"/>
        <w:ind w:left="199" w:right="621"/>
      </w:pPr>
      <w:r>
        <w:rPr/>
        <w:t>Certificate candidates must complete a minimum </w:t>
      </w:r>
      <w:r>
        <w:rPr>
          <w:spacing w:val="-3"/>
        </w:rPr>
        <w:t>of </w:t>
      </w:r>
      <w:r>
        <w:rPr/>
        <w:t>12 credits. Students must maintain a minimum, cumulative 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courses </w:t>
      </w:r>
      <w:r>
        <w:rPr>
          <w:spacing w:val="-3"/>
        </w:rPr>
        <w:t>taken </w:t>
      </w:r>
      <w:r>
        <w:rPr/>
        <w:t>as Pass/Fail (P/F) </w:t>
      </w:r>
      <w:r>
        <w:rPr>
          <w:spacing w:val="-3"/>
        </w:rPr>
        <w:t>or </w:t>
      </w:r>
      <w:r>
        <w:rPr/>
        <w:t>Audit </w:t>
      </w:r>
      <w:r>
        <w:rPr>
          <w:spacing w:val="-3"/>
        </w:rPr>
        <w:t>(AU) </w:t>
      </w:r>
      <w:r>
        <w:rPr/>
        <w:t>do not count toward the certificate. </w:t>
      </w:r>
      <w:r>
        <w:rPr>
          <w:spacing w:val="-2"/>
        </w:rPr>
        <w:t>All </w:t>
      </w:r>
      <w:r>
        <w:rPr/>
        <w:t>requirements </w:t>
      </w:r>
      <w:r>
        <w:rPr>
          <w:spacing w:val="-4"/>
        </w:rPr>
        <w:t>for </w:t>
      </w:r>
      <w:r>
        <w:rPr/>
        <w:t>the certificate must </w:t>
      </w:r>
      <w:r>
        <w:rPr>
          <w:spacing w:val="-3"/>
        </w:rPr>
        <w:t>be </w:t>
      </w:r>
      <w:r>
        <w:rPr/>
        <w:t>completed within three years after admission and all credits </w:t>
      </w:r>
      <w:r>
        <w:rPr>
          <w:spacing w:val="-4"/>
        </w:rPr>
        <w:t>for </w:t>
      </w:r>
      <w:r>
        <w:rPr/>
        <w:t>the certificate must </w:t>
      </w:r>
      <w:r>
        <w:rPr>
          <w:spacing w:val="-3"/>
        </w:rPr>
        <w:t>be </w:t>
      </w:r>
      <w:r>
        <w:rPr/>
        <w:t>completed at the University of Maryland, Baltimore. Complete guideline and requirements </w:t>
      </w:r>
      <w:r>
        <w:rPr>
          <w:spacing w:val="-4"/>
        </w:rPr>
        <w:t>for </w:t>
      </w:r>
      <w:r>
        <w:rPr/>
        <w:t>progression and completion are outlined in the Academic Performance and Progress in a Postbaccalaureate Certificate Program section </w:t>
      </w:r>
      <w:r>
        <w:rPr>
          <w:spacing w:val="-3"/>
        </w:rPr>
        <w:t>of </w:t>
      </w:r>
      <w:r>
        <w:rPr/>
        <w:t>this catalog.</w:t>
      </w:r>
    </w:p>
    <w:p>
      <w:pPr>
        <w:pStyle w:val="Heading5"/>
        <w:spacing w:before="182"/>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3056"/>
        <w:gridCol w:w="646"/>
      </w:tblGrid>
      <w:tr>
        <w:trPr>
          <w:trHeight w:val="711" w:hRule="atLeast"/>
        </w:trPr>
        <w:tc>
          <w:tcPr>
            <w:tcW w:w="1249" w:type="dxa"/>
          </w:tcPr>
          <w:p>
            <w:pPr>
              <w:pStyle w:val="TableParagraph"/>
              <w:spacing w:line="223" w:lineRule="exact" w:before="0"/>
              <w:ind w:left="200"/>
              <w:rPr>
                <w:sz w:val="20"/>
              </w:rPr>
            </w:pPr>
            <w:r>
              <w:rPr>
                <w:sz w:val="20"/>
              </w:rPr>
              <w:t>PALC 613</w:t>
            </w:r>
          </w:p>
        </w:tc>
        <w:tc>
          <w:tcPr>
            <w:tcW w:w="3056" w:type="dxa"/>
          </w:tcPr>
          <w:p>
            <w:pPr>
              <w:pStyle w:val="TableParagraph"/>
              <w:spacing w:line="249" w:lineRule="auto" w:before="0"/>
              <w:ind w:left="184" w:right="679"/>
              <w:rPr>
                <w:sz w:val="20"/>
              </w:rPr>
            </w:pPr>
            <w:r>
              <w:rPr>
                <w:sz w:val="20"/>
              </w:rPr>
              <w:t>ADVANCED DECISION- MAKING AND</w:t>
            </w:r>
          </w:p>
          <w:p>
            <w:pPr>
              <w:pStyle w:val="TableParagraph"/>
              <w:spacing w:line="219" w:lineRule="exact" w:before="0"/>
              <w:ind w:left="184"/>
              <w:rPr>
                <w:sz w:val="20"/>
              </w:rPr>
            </w:pPr>
            <w:r>
              <w:rPr>
                <w:sz w:val="20"/>
              </w:rPr>
              <w:t>COMMUNICATION SKILLS</w:t>
            </w:r>
          </w:p>
        </w:tc>
        <w:tc>
          <w:tcPr>
            <w:tcW w:w="646" w:type="dxa"/>
          </w:tcPr>
          <w:p>
            <w:pPr>
              <w:pStyle w:val="TableParagraph"/>
              <w:spacing w:line="223" w:lineRule="exact" w:before="0"/>
              <w:ind w:right="198"/>
              <w:jc w:val="right"/>
              <w:rPr>
                <w:sz w:val="20"/>
              </w:rPr>
            </w:pPr>
            <w:r>
              <w:rPr>
                <w:w w:val="100"/>
                <w:sz w:val="20"/>
              </w:rPr>
              <w:t>3</w:t>
            </w:r>
          </w:p>
        </w:tc>
      </w:tr>
      <w:tr>
        <w:trPr>
          <w:trHeight w:val="720" w:hRule="atLeast"/>
        </w:trPr>
        <w:tc>
          <w:tcPr>
            <w:tcW w:w="1249" w:type="dxa"/>
          </w:tcPr>
          <w:p>
            <w:pPr>
              <w:pStyle w:val="TableParagraph"/>
              <w:ind w:left="200"/>
              <w:rPr>
                <w:sz w:val="20"/>
              </w:rPr>
            </w:pPr>
            <w:r>
              <w:rPr>
                <w:sz w:val="20"/>
              </w:rPr>
              <w:t>PALC 614</w:t>
            </w:r>
          </w:p>
        </w:tc>
        <w:tc>
          <w:tcPr>
            <w:tcW w:w="3056" w:type="dxa"/>
          </w:tcPr>
          <w:p>
            <w:pPr>
              <w:pStyle w:val="TableParagraph"/>
              <w:spacing w:line="249" w:lineRule="auto"/>
              <w:ind w:left="184" w:right="324"/>
              <w:rPr>
                <w:sz w:val="20"/>
              </w:rPr>
            </w:pPr>
            <w:r>
              <w:rPr>
                <w:sz w:val="20"/>
              </w:rPr>
              <w:t>ADVANCED SPIRITUALITY AND PSYCHOSOCIAL</w:t>
            </w:r>
          </w:p>
          <w:p>
            <w:pPr>
              <w:pStyle w:val="TableParagraph"/>
              <w:spacing w:line="219" w:lineRule="exact" w:before="2"/>
              <w:ind w:left="184"/>
              <w:rPr>
                <w:sz w:val="20"/>
              </w:rPr>
            </w:pPr>
            <w:r>
              <w:rPr>
                <w:sz w:val="20"/>
              </w:rPr>
              <w:t>SKILLS</w:t>
            </w:r>
          </w:p>
        </w:tc>
        <w:tc>
          <w:tcPr>
            <w:tcW w:w="646" w:type="dxa"/>
          </w:tcPr>
          <w:p>
            <w:pPr>
              <w:pStyle w:val="TableParagraph"/>
              <w:ind w:right="198"/>
              <w:jc w:val="right"/>
              <w:rPr>
                <w:sz w:val="20"/>
              </w:rPr>
            </w:pPr>
            <w:r>
              <w:rPr>
                <w:w w:val="100"/>
                <w:sz w:val="20"/>
              </w:rPr>
              <w:t>3</w:t>
            </w:r>
          </w:p>
        </w:tc>
      </w:tr>
      <w:tr>
        <w:trPr>
          <w:trHeight w:val="480" w:hRule="atLeast"/>
        </w:trPr>
        <w:tc>
          <w:tcPr>
            <w:tcW w:w="1249" w:type="dxa"/>
          </w:tcPr>
          <w:p>
            <w:pPr>
              <w:pStyle w:val="TableParagraph"/>
              <w:ind w:left="200"/>
              <w:rPr>
                <w:sz w:val="20"/>
              </w:rPr>
            </w:pPr>
            <w:r>
              <w:rPr>
                <w:sz w:val="20"/>
              </w:rPr>
              <w:t>PALC 606</w:t>
            </w:r>
          </w:p>
        </w:tc>
        <w:tc>
          <w:tcPr>
            <w:tcW w:w="3056" w:type="dxa"/>
          </w:tcPr>
          <w:p>
            <w:pPr>
              <w:pStyle w:val="TableParagraph"/>
              <w:ind w:left="184"/>
              <w:rPr>
                <w:sz w:val="20"/>
              </w:rPr>
            </w:pPr>
            <w:r>
              <w:rPr>
                <w:sz w:val="20"/>
              </w:rPr>
              <w:t>SELF-CARE FOR HEALTH</w:t>
            </w:r>
          </w:p>
          <w:p>
            <w:pPr>
              <w:pStyle w:val="TableParagraph"/>
              <w:spacing w:line="219" w:lineRule="exact" w:before="10"/>
              <w:ind w:left="184"/>
              <w:rPr>
                <w:sz w:val="20"/>
              </w:rPr>
            </w:pPr>
            <w:r>
              <w:rPr>
                <w:sz w:val="20"/>
              </w:rPr>
              <w:t>CARE PROFESSIONALS</w:t>
            </w:r>
          </w:p>
        </w:tc>
        <w:tc>
          <w:tcPr>
            <w:tcW w:w="646" w:type="dxa"/>
          </w:tcPr>
          <w:p>
            <w:pPr>
              <w:pStyle w:val="TableParagraph"/>
              <w:ind w:right="198"/>
              <w:jc w:val="right"/>
              <w:rPr>
                <w:sz w:val="20"/>
              </w:rPr>
            </w:pPr>
            <w:r>
              <w:rPr>
                <w:w w:val="100"/>
                <w:sz w:val="20"/>
              </w:rPr>
              <w:t>3</w:t>
            </w:r>
          </w:p>
        </w:tc>
      </w:tr>
      <w:tr>
        <w:trPr>
          <w:trHeight w:val="951" w:hRule="atLeast"/>
        </w:trPr>
        <w:tc>
          <w:tcPr>
            <w:tcW w:w="1249" w:type="dxa"/>
          </w:tcPr>
          <w:p>
            <w:pPr>
              <w:pStyle w:val="TableParagraph"/>
              <w:ind w:left="200"/>
              <w:rPr>
                <w:sz w:val="20"/>
              </w:rPr>
            </w:pPr>
            <w:r>
              <w:rPr>
                <w:sz w:val="20"/>
              </w:rPr>
              <w:t>PALC 602</w:t>
            </w:r>
          </w:p>
        </w:tc>
        <w:tc>
          <w:tcPr>
            <w:tcW w:w="3056" w:type="dxa"/>
          </w:tcPr>
          <w:p>
            <w:pPr>
              <w:pStyle w:val="TableParagraph"/>
              <w:spacing w:line="249" w:lineRule="auto"/>
              <w:ind w:left="184" w:right="1102"/>
              <w:rPr>
                <w:sz w:val="20"/>
              </w:rPr>
            </w:pPr>
            <w:r>
              <w:rPr>
                <w:sz w:val="20"/>
              </w:rPr>
              <w:t>PRINCIPLES AND PRACTICES OF PALLIATIVE CARE</w:t>
            </w:r>
          </w:p>
          <w:p>
            <w:pPr>
              <w:pStyle w:val="TableParagraph"/>
              <w:spacing w:line="210" w:lineRule="exact" w:before="2"/>
              <w:ind w:left="184"/>
              <w:rPr>
                <w:sz w:val="20"/>
              </w:rPr>
            </w:pPr>
            <w:r>
              <w:rPr>
                <w:sz w:val="20"/>
              </w:rPr>
              <w:t>EDUCATION</w:t>
            </w:r>
          </w:p>
        </w:tc>
        <w:tc>
          <w:tcPr>
            <w:tcW w:w="646" w:type="dxa"/>
          </w:tcPr>
          <w:p>
            <w:pPr>
              <w:pStyle w:val="TableParagraph"/>
              <w:ind w:right="198"/>
              <w:jc w:val="right"/>
              <w:rPr>
                <w:sz w:val="20"/>
              </w:rPr>
            </w:pPr>
            <w:r>
              <w:rPr>
                <w:w w:val="100"/>
                <w:sz w:val="20"/>
              </w:rPr>
              <w:t>3</w:t>
            </w:r>
          </w:p>
        </w:tc>
      </w:tr>
    </w:tbl>
    <w:p>
      <w:pPr>
        <w:pStyle w:val="BodyText"/>
        <w:spacing w:before="0"/>
        <w:ind w:left="0"/>
        <w:rPr>
          <w:sz w:val="18"/>
        </w:rPr>
      </w:pPr>
    </w:p>
    <w:p>
      <w:pPr>
        <w:pStyle w:val="BodyText"/>
        <w:spacing w:line="249" w:lineRule="auto" w:before="0"/>
        <w:ind w:right="905"/>
      </w:pPr>
      <w:r>
        <w:rPr/>
        <w:t>Details are given in the Course Descriptions part of this catalog.</w:t>
      </w:r>
    </w:p>
    <w:p>
      <w:pPr>
        <w:spacing w:after="0" w:line="249" w:lineRule="auto"/>
        <w:sectPr>
          <w:pgSz w:w="12240" w:h="15840"/>
          <w:pgMar w:header="746" w:footer="0" w:top="1320" w:bottom="280" w:left="880" w:right="300"/>
          <w:cols w:num="2" w:equalWidth="0">
            <w:col w:w="4989" w:space="497"/>
            <w:col w:w="5574"/>
          </w:cols>
        </w:sectPr>
      </w:pPr>
    </w:p>
    <w:p>
      <w:pPr>
        <w:pStyle w:val="Heading3"/>
      </w:pPr>
      <w:bookmarkStart w:name="Regulatory Science" w:id="85"/>
      <w:bookmarkEnd w:id="85"/>
      <w:r>
        <w:rPr/>
      </w:r>
      <w:bookmarkStart w:name="_bookmark42" w:id="86"/>
      <w:bookmarkEnd w:id="86"/>
      <w:r>
        <w:rPr/>
      </w:r>
      <w:r>
        <w:rPr/>
        <w:t>Regulatory Science</w:t>
      </w:r>
    </w:p>
    <w:p>
      <w:pPr>
        <w:pStyle w:val="BodyText"/>
        <w:spacing w:line="249" w:lineRule="auto" w:before="190"/>
        <w:ind w:right="27"/>
      </w:pPr>
      <w:hyperlink r:id="rId79">
        <w:r>
          <w:rPr>
            <w:color w:val="0000FF"/>
            <w:u w:val="single" w:color="0000FF"/>
          </w:rPr>
          <w:t>www.pharmacy.umaryland.edu/academics/regulatoryscien</w:t>
        </w:r>
      </w:hyperlink>
      <w:r>
        <w:rPr>
          <w:color w:val="0000FF"/>
        </w:rPr>
        <w:t> </w:t>
      </w:r>
      <w:hyperlink r:id="rId79">
        <w:r>
          <w:rPr>
            <w:color w:val="0000FF"/>
            <w:u w:val="single" w:color="0000FF"/>
          </w:rPr>
          <w:t>ce/</w:t>
        </w:r>
      </w:hyperlink>
    </w:p>
    <w:p>
      <w:pPr>
        <w:pStyle w:val="Heading6"/>
        <w:spacing w:before="184"/>
      </w:pPr>
      <w:r>
        <w:rPr/>
        <w:t>Degree Offered</w:t>
      </w:r>
    </w:p>
    <w:p>
      <w:pPr>
        <w:pStyle w:val="BodyText"/>
        <w:spacing w:before="188"/>
      </w:pPr>
      <w:r>
        <w:rPr/>
        <w:t>MS, Post-Baccalaureate Certificate</w:t>
      </w:r>
    </w:p>
    <w:p>
      <w:pPr>
        <w:pStyle w:val="Heading6"/>
        <w:spacing w:before="192"/>
      </w:pPr>
      <w:r>
        <w:rPr/>
        <w:t>Program Description</w:t>
      </w:r>
    </w:p>
    <w:p>
      <w:pPr>
        <w:pStyle w:val="BodyText"/>
        <w:spacing w:line="249" w:lineRule="auto" w:before="187"/>
        <w:ind w:right="99"/>
      </w:pPr>
      <w:r>
        <w:rPr/>
        <w:t>The Master of Science in Regulatory Science is designed to provide graduates with the knowledge and skills necessary to contribute to drug regulation and pharmaceutical product life cycles. The program primarily focuses on drugs, although aspects of biologics, diagnostics, devices, and nutritional products also are addressed. The program covers all major areas of drug product regulatory science, including:</w:t>
      </w:r>
    </w:p>
    <w:p>
      <w:pPr>
        <w:pStyle w:val="ListParagraph"/>
        <w:numPr>
          <w:ilvl w:val="1"/>
          <w:numId w:val="14"/>
        </w:numPr>
        <w:tabs>
          <w:tab w:pos="633" w:val="left" w:leader="none"/>
        </w:tabs>
        <w:spacing w:line="240" w:lineRule="auto" w:before="189" w:after="0"/>
        <w:ind w:left="632" w:right="0" w:hanging="216"/>
        <w:jc w:val="left"/>
        <w:rPr>
          <w:sz w:val="20"/>
        </w:rPr>
      </w:pPr>
      <w:r>
        <w:rPr>
          <w:sz w:val="20"/>
        </w:rPr>
        <w:t>Chemistry, manufacturing, and controls</w:t>
      </w:r>
      <w:r>
        <w:rPr>
          <w:spacing w:val="2"/>
          <w:sz w:val="20"/>
        </w:rPr>
        <w:t> </w:t>
      </w:r>
      <w:r>
        <w:rPr>
          <w:sz w:val="20"/>
        </w:rPr>
        <w:t>(CMC)</w:t>
      </w:r>
    </w:p>
    <w:p>
      <w:pPr>
        <w:pStyle w:val="ListParagraph"/>
        <w:numPr>
          <w:ilvl w:val="1"/>
          <w:numId w:val="14"/>
        </w:numPr>
        <w:tabs>
          <w:tab w:pos="633" w:val="left" w:leader="none"/>
        </w:tabs>
        <w:spacing w:line="240" w:lineRule="auto" w:before="187" w:after="0"/>
        <w:ind w:left="632" w:right="0" w:hanging="216"/>
        <w:jc w:val="left"/>
        <w:rPr>
          <w:sz w:val="20"/>
        </w:rPr>
      </w:pPr>
      <w:r>
        <w:rPr>
          <w:sz w:val="20"/>
        </w:rPr>
        <w:t>Clinical</w:t>
      </w:r>
      <w:r>
        <w:rPr>
          <w:spacing w:val="-7"/>
          <w:sz w:val="20"/>
        </w:rPr>
        <w:t> </w:t>
      </w:r>
      <w:r>
        <w:rPr>
          <w:sz w:val="20"/>
        </w:rPr>
        <w:t>research</w:t>
      </w:r>
    </w:p>
    <w:p>
      <w:pPr>
        <w:pStyle w:val="ListParagraph"/>
        <w:numPr>
          <w:ilvl w:val="1"/>
          <w:numId w:val="14"/>
        </w:numPr>
        <w:tabs>
          <w:tab w:pos="633" w:val="left" w:leader="none"/>
        </w:tabs>
        <w:spacing w:line="240" w:lineRule="auto" w:before="193" w:after="0"/>
        <w:ind w:left="632" w:right="0" w:hanging="216"/>
        <w:jc w:val="left"/>
        <w:rPr>
          <w:sz w:val="20"/>
        </w:rPr>
      </w:pPr>
      <w:r>
        <w:rPr>
          <w:sz w:val="20"/>
        </w:rPr>
        <w:t>Pharmacovigilance</w:t>
      </w:r>
    </w:p>
    <w:p>
      <w:pPr>
        <w:pStyle w:val="ListParagraph"/>
        <w:numPr>
          <w:ilvl w:val="1"/>
          <w:numId w:val="14"/>
        </w:numPr>
        <w:tabs>
          <w:tab w:pos="632" w:val="left" w:leader="none"/>
        </w:tabs>
        <w:spacing w:line="240" w:lineRule="auto" w:before="187" w:after="0"/>
        <w:ind w:left="631" w:right="0" w:hanging="216"/>
        <w:jc w:val="left"/>
        <w:rPr>
          <w:sz w:val="20"/>
        </w:rPr>
      </w:pPr>
      <w:r>
        <w:rPr>
          <w:sz w:val="20"/>
        </w:rPr>
        <w:t>Phase IV research (e.g.,</w:t>
      </w:r>
      <w:r>
        <w:rPr>
          <w:spacing w:val="-8"/>
          <w:sz w:val="20"/>
        </w:rPr>
        <w:t> </w:t>
      </w:r>
      <w:r>
        <w:rPr>
          <w:sz w:val="20"/>
        </w:rPr>
        <w:t>pharmacoepidemiology)</w:t>
      </w:r>
    </w:p>
    <w:p>
      <w:pPr>
        <w:pStyle w:val="ListParagraph"/>
        <w:numPr>
          <w:ilvl w:val="1"/>
          <w:numId w:val="14"/>
        </w:numPr>
        <w:tabs>
          <w:tab w:pos="632" w:val="left" w:leader="none"/>
        </w:tabs>
        <w:spacing w:line="240" w:lineRule="auto" w:before="192" w:after="0"/>
        <w:ind w:left="631" w:right="0" w:hanging="216"/>
        <w:jc w:val="left"/>
        <w:rPr>
          <w:sz w:val="20"/>
        </w:rPr>
      </w:pPr>
      <w:r>
        <w:rPr>
          <w:sz w:val="20"/>
        </w:rPr>
        <w:t>Drug</w:t>
      </w:r>
      <w:r>
        <w:rPr>
          <w:spacing w:val="-3"/>
          <w:sz w:val="20"/>
        </w:rPr>
        <w:t> </w:t>
      </w:r>
      <w:r>
        <w:rPr>
          <w:sz w:val="20"/>
        </w:rPr>
        <w:t>discovery</w:t>
      </w:r>
    </w:p>
    <w:p>
      <w:pPr>
        <w:pStyle w:val="BodyText"/>
        <w:spacing w:line="249" w:lineRule="auto" w:before="188"/>
        <w:ind w:left="199" w:right="38"/>
      </w:pPr>
      <w:r>
        <w:rPr/>
        <w:t>The strength </w:t>
      </w:r>
      <w:r>
        <w:rPr>
          <w:spacing w:val="-3"/>
        </w:rPr>
        <w:t>of </w:t>
      </w:r>
      <w:r>
        <w:rPr/>
        <w:t>the program is its science-driven understanding </w:t>
      </w:r>
      <w:r>
        <w:rPr>
          <w:spacing w:val="-3"/>
        </w:rPr>
        <w:t>of </w:t>
      </w:r>
      <w:r>
        <w:rPr/>
        <w:t>drug product development and regulation. The program </w:t>
      </w:r>
      <w:r>
        <w:rPr>
          <w:spacing w:val="-3"/>
        </w:rPr>
        <w:t>covers </w:t>
      </w:r>
      <w:r>
        <w:rPr/>
        <w:t>regulatory affairs in a </w:t>
      </w:r>
      <w:r>
        <w:rPr>
          <w:spacing w:val="-3"/>
        </w:rPr>
        <w:t>global </w:t>
      </w:r>
      <w:r>
        <w:rPr/>
        <w:t>manner, including the application </w:t>
      </w:r>
      <w:r>
        <w:rPr>
          <w:spacing w:val="-3"/>
        </w:rPr>
        <w:t>of </w:t>
      </w:r>
      <w:r>
        <w:rPr/>
        <w:t>regulatory principles worldwide. Graduates </w:t>
      </w:r>
      <w:r>
        <w:rPr>
          <w:spacing w:val="-3"/>
        </w:rPr>
        <w:t>of </w:t>
      </w:r>
      <w:r>
        <w:rPr/>
        <w:t>this program </w:t>
      </w:r>
      <w:r>
        <w:rPr>
          <w:spacing w:val="-3"/>
        </w:rPr>
        <w:t>will be </w:t>
      </w:r>
      <w:r>
        <w:rPr/>
        <w:t>fluent in the science of developing new tools, standards, and approaches to assess the safety, </w:t>
      </w:r>
      <w:r>
        <w:rPr>
          <w:spacing w:val="-3"/>
        </w:rPr>
        <w:t>efficacy, </w:t>
      </w:r>
      <w:r>
        <w:rPr/>
        <w:t>quality, and performance </w:t>
      </w:r>
      <w:r>
        <w:rPr>
          <w:spacing w:val="-3"/>
        </w:rPr>
        <w:t>of </w:t>
      </w:r>
      <w:r>
        <w:rPr/>
        <w:t>products regulated by the U.S. </w:t>
      </w:r>
      <w:r>
        <w:rPr>
          <w:spacing w:val="-3"/>
        </w:rPr>
        <w:t>Food </w:t>
      </w:r>
      <w:r>
        <w:rPr/>
        <w:t>and Drug Administration. They will </w:t>
      </w:r>
      <w:r>
        <w:rPr>
          <w:spacing w:val="-3"/>
        </w:rPr>
        <w:t>possess  </w:t>
      </w:r>
      <w:r>
        <w:rPr/>
        <w:t>the knowledge and skills needed</w:t>
      </w:r>
      <w:r>
        <w:rPr>
          <w:spacing w:val="-8"/>
        </w:rPr>
        <w:t> </w:t>
      </w:r>
      <w:r>
        <w:rPr/>
        <w:t>to:</w:t>
      </w:r>
    </w:p>
    <w:p>
      <w:pPr>
        <w:pStyle w:val="ListParagraph"/>
        <w:numPr>
          <w:ilvl w:val="1"/>
          <w:numId w:val="14"/>
        </w:numPr>
        <w:tabs>
          <w:tab w:pos="632" w:val="left" w:leader="none"/>
        </w:tabs>
        <w:spacing w:line="249" w:lineRule="auto" w:before="190" w:after="0"/>
        <w:ind w:left="631" w:right="394" w:hanging="216"/>
        <w:jc w:val="left"/>
        <w:rPr>
          <w:sz w:val="20"/>
        </w:rPr>
      </w:pPr>
      <w:r>
        <w:rPr>
          <w:sz w:val="20"/>
        </w:rPr>
        <w:t>Devise and implement global strategies </w:t>
      </w:r>
      <w:r>
        <w:rPr>
          <w:spacing w:val="-4"/>
          <w:sz w:val="20"/>
        </w:rPr>
        <w:t>for </w:t>
      </w:r>
      <w:r>
        <w:rPr>
          <w:sz w:val="20"/>
        </w:rPr>
        <w:t>drug, biologic, and device development and</w:t>
      </w:r>
      <w:r>
        <w:rPr>
          <w:spacing w:val="-14"/>
          <w:sz w:val="20"/>
        </w:rPr>
        <w:t> </w:t>
      </w:r>
      <w:r>
        <w:rPr>
          <w:sz w:val="20"/>
        </w:rPr>
        <w:t>evaluation.</w:t>
      </w:r>
    </w:p>
    <w:p>
      <w:pPr>
        <w:pStyle w:val="ListParagraph"/>
        <w:numPr>
          <w:ilvl w:val="1"/>
          <w:numId w:val="14"/>
        </w:numPr>
        <w:tabs>
          <w:tab w:pos="632" w:val="left" w:leader="none"/>
        </w:tabs>
        <w:spacing w:line="249" w:lineRule="auto" w:before="179" w:after="0"/>
        <w:ind w:left="631" w:right="61" w:hanging="216"/>
        <w:jc w:val="left"/>
        <w:rPr>
          <w:sz w:val="20"/>
        </w:rPr>
      </w:pPr>
      <w:r>
        <w:rPr>
          <w:sz w:val="20"/>
        </w:rPr>
        <w:t>Differentiate U.S. and other regional requirements </w:t>
      </w:r>
      <w:r>
        <w:rPr>
          <w:spacing w:val="-4"/>
          <w:sz w:val="20"/>
        </w:rPr>
        <w:t>for </w:t>
      </w:r>
      <w:r>
        <w:rPr>
          <w:sz w:val="20"/>
        </w:rPr>
        <w:t>drug product development and</w:t>
      </w:r>
      <w:r>
        <w:rPr>
          <w:spacing w:val="-1"/>
          <w:sz w:val="20"/>
        </w:rPr>
        <w:t> </w:t>
      </w:r>
      <w:r>
        <w:rPr>
          <w:sz w:val="20"/>
        </w:rPr>
        <w:t>registration.</w:t>
      </w:r>
    </w:p>
    <w:p>
      <w:pPr>
        <w:pStyle w:val="ListParagraph"/>
        <w:numPr>
          <w:ilvl w:val="1"/>
          <w:numId w:val="14"/>
        </w:numPr>
        <w:tabs>
          <w:tab w:pos="632" w:val="left" w:leader="none"/>
        </w:tabs>
        <w:spacing w:line="249" w:lineRule="auto" w:before="184" w:after="0"/>
        <w:ind w:left="631" w:right="104" w:hanging="216"/>
        <w:jc w:val="left"/>
        <w:rPr>
          <w:sz w:val="20"/>
        </w:rPr>
      </w:pPr>
      <w:r>
        <w:rPr>
          <w:sz w:val="20"/>
        </w:rPr>
        <w:t>Apply principles </w:t>
      </w:r>
      <w:r>
        <w:rPr>
          <w:spacing w:val="-3"/>
          <w:sz w:val="20"/>
        </w:rPr>
        <w:t>of </w:t>
      </w:r>
      <w:r>
        <w:rPr>
          <w:sz w:val="20"/>
        </w:rPr>
        <w:t>basic and applied pharmaceutical sciences in drug discovery and</w:t>
      </w:r>
      <w:r>
        <w:rPr>
          <w:spacing w:val="-4"/>
          <w:sz w:val="20"/>
        </w:rPr>
        <w:t> </w:t>
      </w:r>
      <w:r>
        <w:rPr>
          <w:sz w:val="20"/>
        </w:rPr>
        <w:t>development.</w:t>
      </w:r>
    </w:p>
    <w:p>
      <w:pPr>
        <w:pStyle w:val="ListParagraph"/>
        <w:numPr>
          <w:ilvl w:val="1"/>
          <w:numId w:val="14"/>
        </w:numPr>
        <w:tabs>
          <w:tab w:pos="632" w:val="left" w:leader="none"/>
        </w:tabs>
        <w:spacing w:line="249" w:lineRule="auto" w:before="179" w:after="0"/>
        <w:ind w:left="631" w:right="838" w:hanging="216"/>
        <w:jc w:val="left"/>
        <w:rPr>
          <w:sz w:val="20"/>
        </w:rPr>
      </w:pPr>
      <w:r>
        <w:rPr>
          <w:sz w:val="20"/>
        </w:rPr>
        <w:t>Formulate critical elements </w:t>
      </w:r>
      <w:r>
        <w:rPr>
          <w:spacing w:val="-3"/>
          <w:sz w:val="20"/>
        </w:rPr>
        <w:t>of </w:t>
      </w:r>
      <w:r>
        <w:rPr>
          <w:sz w:val="20"/>
        </w:rPr>
        <w:t>CMC to drug development.</w:t>
      </w:r>
    </w:p>
    <w:p>
      <w:pPr>
        <w:pStyle w:val="ListParagraph"/>
        <w:numPr>
          <w:ilvl w:val="1"/>
          <w:numId w:val="14"/>
        </w:numPr>
        <w:tabs>
          <w:tab w:pos="632" w:val="left" w:leader="none"/>
        </w:tabs>
        <w:spacing w:line="249" w:lineRule="auto" w:before="184" w:after="0"/>
        <w:ind w:left="631" w:right="660" w:hanging="216"/>
        <w:jc w:val="left"/>
        <w:rPr>
          <w:sz w:val="20"/>
        </w:rPr>
      </w:pPr>
      <w:r>
        <w:rPr>
          <w:sz w:val="20"/>
        </w:rPr>
        <w:t>Relate principles </w:t>
      </w:r>
      <w:r>
        <w:rPr>
          <w:spacing w:val="-3"/>
          <w:sz w:val="20"/>
        </w:rPr>
        <w:t>of </w:t>
      </w:r>
      <w:r>
        <w:rPr>
          <w:sz w:val="20"/>
        </w:rPr>
        <w:t>clinical research design to practices in clinical trial</w:t>
      </w:r>
      <w:r>
        <w:rPr>
          <w:spacing w:val="-2"/>
          <w:sz w:val="20"/>
        </w:rPr>
        <w:t> </w:t>
      </w:r>
      <w:r>
        <w:rPr>
          <w:sz w:val="20"/>
        </w:rPr>
        <w:t>management.</w:t>
      </w:r>
    </w:p>
    <w:p>
      <w:pPr>
        <w:pStyle w:val="ListParagraph"/>
        <w:numPr>
          <w:ilvl w:val="1"/>
          <w:numId w:val="14"/>
        </w:numPr>
        <w:tabs>
          <w:tab w:pos="632" w:val="left" w:leader="none"/>
        </w:tabs>
        <w:spacing w:line="240" w:lineRule="auto" w:before="179" w:after="0"/>
        <w:ind w:left="631" w:right="0" w:hanging="216"/>
        <w:jc w:val="left"/>
        <w:rPr>
          <w:sz w:val="20"/>
        </w:rPr>
      </w:pPr>
      <w:r>
        <w:rPr>
          <w:sz w:val="20"/>
        </w:rPr>
        <w:t>Apply critical methods </w:t>
      </w:r>
      <w:r>
        <w:rPr>
          <w:spacing w:val="-3"/>
          <w:sz w:val="20"/>
        </w:rPr>
        <w:t>of </w:t>
      </w:r>
      <w:r>
        <w:rPr>
          <w:sz w:val="20"/>
        </w:rPr>
        <w:t>risk assessment and</w:t>
      </w:r>
      <w:r>
        <w:rPr>
          <w:spacing w:val="-9"/>
          <w:sz w:val="20"/>
        </w:rPr>
        <w:t> </w:t>
      </w:r>
      <w:r>
        <w:rPr>
          <w:sz w:val="20"/>
        </w:rPr>
        <w:t>drug</w:t>
      </w:r>
    </w:p>
    <w:p>
      <w:pPr>
        <w:pStyle w:val="BodyText"/>
        <w:spacing w:line="249" w:lineRule="auto" w:before="97"/>
        <w:ind w:left="631" w:right="596"/>
      </w:pPr>
      <w:r>
        <w:rPr/>
        <w:br w:type="column"/>
      </w:r>
      <w:r>
        <w:rPr/>
        <w:t>utilization from pharmacoepidemiology and postmarketing surveillance, and evaluate economic and sociodemographic factors that influence drug use.</w:t>
      </w:r>
    </w:p>
    <w:p>
      <w:pPr>
        <w:pStyle w:val="BodyText"/>
        <w:spacing w:line="249" w:lineRule="auto" w:before="179"/>
        <w:ind w:left="199" w:right="689"/>
      </w:pPr>
      <w:r>
        <w:rPr/>
        <w:t>This is an online program designed for working professionals who would like to obtain a formal degree in regulatory science. The program primarily focuses on drugs and drug development. Each of the program’s 6- credit courses consists of about 70 hours of prerecorded lectures, seven hours of live web conferencing, and 13 hours of active-learning instruction. In addition, there are individual projects, team presentations, and mini-reviews.</w:t>
      </w:r>
    </w:p>
    <w:p>
      <w:pPr>
        <w:pStyle w:val="Heading6"/>
        <w:spacing w:before="189"/>
        <w:ind w:left="199"/>
      </w:pPr>
      <w:r>
        <w:rPr/>
        <w:t>Post-Baccalaureate Certificate</w:t>
      </w:r>
    </w:p>
    <w:p>
      <w:pPr>
        <w:pStyle w:val="BodyText"/>
        <w:spacing w:line="249" w:lineRule="auto" w:before="187"/>
        <w:ind w:left="199" w:right="604"/>
      </w:pPr>
      <w:r>
        <w:rPr/>
        <w:t>The Post-Baccalaureate Certificate (PBC) requires successful completion of the first two six-credit courses (i.e. 12 credits total) of the MS degree program, with the aim of completion in two semesters. The course are PHAR 603 Drug, Biologic, and Device and Regulation (6 credits) and PHAR 614 Drug and Biologics Discovery (6 credits). By completing these two courses, students will understand critical steps in the development and approval of drugs, biologics, and devices; and b) know approaches to discover new drugs. Students would also be well suited to subsequently complete the MS in Regulatory Science credential.</w:t>
      </w:r>
    </w:p>
    <w:p>
      <w:pPr>
        <w:pStyle w:val="Heading6"/>
        <w:spacing w:before="191"/>
        <w:ind w:left="199"/>
      </w:pPr>
      <w:r>
        <w:rPr/>
        <w:t>Program Admissions</w:t>
      </w:r>
    </w:p>
    <w:p>
      <w:pPr>
        <w:pStyle w:val="BodyText"/>
        <w:spacing w:line="249" w:lineRule="auto" w:before="188"/>
        <w:ind w:left="199" w:right="672"/>
      </w:pPr>
      <w:r>
        <w:rPr/>
        <w:t>Candidates for admission must meet the minimum qualifications and standards established by the Graduate School. Graduate Record Examinations scores are not required for admission if the applicant has five years or more of related work experience. International students must provide current, official results of the Test of English as a Foreign Language (minimum score of 550 for the paper-based test, 80 for the internet-based test) or the International English Language Testing System exam (minimum Band 7). Application deadlines and required credentials are regularly published by the Graduate School and the Regulatory Science program.</w:t>
      </w:r>
    </w:p>
    <w:p>
      <w:pPr>
        <w:pStyle w:val="Heading6"/>
        <w:spacing w:before="191"/>
        <w:ind w:left="199"/>
      </w:pPr>
      <w:r>
        <w:rPr/>
        <w:t>Degree Requirements</w:t>
      </w:r>
    </w:p>
    <w:p>
      <w:pPr>
        <w:pStyle w:val="BodyText"/>
        <w:spacing w:line="249" w:lineRule="auto" w:before="188"/>
        <w:ind w:left="199" w:right="860"/>
      </w:pPr>
      <w:r>
        <w:rPr/>
        <w:t>The master’s degree program requires a minimum of 30 credits. Students must maintain a minimum cumulative grade-point average of 3.0 to remain in good standing in the program. A complete description of progression guidelines and degree requirements is provided in the Degree Requirements section of this catalog.</w:t>
      </w:r>
    </w:p>
    <w:p>
      <w:pPr>
        <w:pStyle w:val="Heading5"/>
        <w:spacing w:before="184"/>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0"/>
        <w:gridCol w:w="2870"/>
        <w:gridCol w:w="810"/>
      </w:tblGrid>
      <w:tr>
        <w:trPr>
          <w:trHeight w:val="463" w:hRule="atLeast"/>
        </w:trPr>
        <w:tc>
          <w:tcPr>
            <w:tcW w:w="1270" w:type="dxa"/>
          </w:tcPr>
          <w:p>
            <w:pPr>
              <w:pStyle w:val="TableParagraph"/>
              <w:spacing w:line="223" w:lineRule="exact" w:before="0"/>
              <w:ind w:left="200"/>
              <w:rPr>
                <w:sz w:val="20"/>
              </w:rPr>
            </w:pPr>
            <w:r>
              <w:rPr>
                <w:sz w:val="20"/>
              </w:rPr>
              <w:t>REGS 603</w:t>
            </w:r>
          </w:p>
        </w:tc>
        <w:tc>
          <w:tcPr>
            <w:tcW w:w="2870" w:type="dxa"/>
          </w:tcPr>
          <w:p>
            <w:pPr>
              <w:pStyle w:val="TableParagraph"/>
              <w:spacing w:line="223" w:lineRule="exact" w:before="0"/>
              <w:ind w:left="206"/>
              <w:rPr>
                <w:sz w:val="20"/>
              </w:rPr>
            </w:pPr>
            <w:r>
              <w:rPr>
                <w:sz w:val="20"/>
              </w:rPr>
              <w:t>DRUG, BIOLOGIC, AND</w:t>
            </w:r>
          </w:p>
          <w:p>
            <w:pPr>
              <w:pStyle w:val="TableParagraph"/>
              <w:spacing w:line="210" w:lineRule="exact" w:before="10"/>
              <w:ind w:left="206"/>
              <w:rPr>
                <w:sz w:val="20"/>
              </w:rPr>
            </w:pPr>
            <w:r>
              <w:rPr>
                <w:sz w:val="20"/>
              </w:rPr>
              <w:t>DEVICE REGULATION</w:t>
            </w:r>
          </w:p>
        </w:tc>
        <w:tc>
          <w:tcPr>
            <w:tcW w:w="810" w:type="dxa"/>
          </w:tcPr>
          <w:p>
            <w:pPr>
              <w:pStyle w:val="TableParagraph"/>
              <w:spacing w:line="223" w:lineRule="exact" w:before="0"/>
              <w:ind w:left="509"/>
              <w:rPr>
                <w:sz w:val="20"/>
              </w:rPr>
            </w:pPr>
            <w:r>
              <w:rPr>
                <w:w w:val="100"/>
                <w:sz w:val="20"/>
              </w:rPr>
              <w:t>6</w:t>
            </w:r>
          </w:p>
        </w:tc>
      </w:tr>
    </w:tbl>
    <w:p>
      <w:pPr>
        <w:spacing w:after="0" w:line="223" w:lineRule="exact"/>
        <w:rPr>
          <w:sz w:val="20"/>
        </w:rPr>
        <w:sectPr>
          <w:pgSz w:w="12240" w:h="15840"/>
          <w:pgMar w:header="746" w:footer="0" w:top="1320" w:bottom="280" w:left="880" w:right="300"/>
          <w:cols w:num="2" w:equalWidth="0">
            <w:col w:w="5001" w:space="485"/>
            <w:col w:w="5574"/>
          </w:cols>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0"/>
        <w:gridCol w:w="2940"/>
        <w:gridCol w:w="739"/>
      </w:tblGrid>
      <w:tr>
        <w:trPr>
          <w:trHeight w:val="231" w:hRule="atLeast"/>
        </w:trPr>
        <w:tc>
          <w:tcPr>
            <w:tcW w:w="1270" w:type="dxa"/>
          </w:tcPr>
          <w:p>
            <w:pPr>
              <w:pStyle w:val="TableParagraph"/>
              <w:spacing w:line="212" w:lineRule="exact" w:before="0"/>
              <w:ind w:right="203"/>
              <w:jc w:val="right"/>
              <w:rPr>
                <w:sz w:val="20"/>
              </w:rPr>
            </w:pPr>
            <w:r>
              <w:rPr>
                <w:sz w:val="20"/>
              </w:rPr>
              <w:t>REGS 614</w:t>
            </w:r>
          </w:p>
        </w:tc>
        <w:tc>
          <w:tcPr>
            <w:tcW w:w="2940" w:type="dxa"/>
          </w:tcPr>
          <w:p>
            <w:pPr>
              <w:pStyle w:val="TableParagraph"/>
              <w:spacing w:line="212" w:lineRule="exact" w:before="0"/>
              <w:ind w:left="206"/>
              <w:rPr>
                <w:sz w:val="20"/>
              </w:rPr>
            </w:pPr>
            <w:r>
              <w:rPr>
                <w:sz w:val="20"/>
              </w:rPr>
              <w:t>DRUG DISCOVERY</w:t>
            </w:r>
          </w:p>
        </w:tc>
        <w:tc>
          <w:tcPr>
            <w:tcW w:w="739" w:type="dxa"/>
          </w:tcPr>
          <w:p>
            <w:pPr>
              <w:pStyle w:val="TableParagraph"/>
              <w:spacing w:line="212" w:lineRule="exact" w:before="0"/>
              <w:ind w:right="196"/>
              <w:jc w:val="right"/>
              <w:rPr>
                <w:sz w:val="20"/>
              </w:rPr>
            </w:pPr>
            <w:r>
              <w:rPr>
                <w:w w:val="100"/>
                <w:sz w:val="20"/>
              </w:rPr>
              <w:t>6</w:t>
            </w:r>
          </w:p>
        </w:tc>
      </w:tr>
      <w:tr>
        <w:trPr>
          <w:trHeight w:val="240" w:hRule="atLeast"/>
        </w:trPr>
        <w:tc>
          <w:tcPr>
            <w:tcW w:w="1270" w:type="dxa"/>
          </w:tcPr>
          <w:p>
            <w:pPr>
              <w:pStyle w:val="TableParagraph"/>
              <w:spacing w:line="219" w:lineRule="exact"/>
              <w:ind w:right="203"/>
              <w:jc w:val="right"/>
              <w:rPr>
                <w:sz w:val="20"/>
              </w:rPr>
            </w:pPr>
            <w:r>
              <w:rPr>
                <w:sz w:val="20"/>
              </w:rPr>
              <w:t>REGS 621</w:t>
            </w:r>
          </w:p>
        </w:tc>
        <w:tc>
          <w:tcPr>
            <w:tcW w:w="2940" w:type="dxa"/>
          </w:tcPr>
          <w:p>
            <w:pPr>
              <w:pStyle w:val="TableParagraph"/>
              <w:spacing w:line="219" w:lineRule="exact"/>
              <w:ind w:left="206"/>
              <w:rPr>
                <w:sz w:val="20"/>
              </w:rPr>
            </w:pPr>
            <w:r>
              <w:rPr>
                <w:sz w:val="20"/>
              </w:rPr>
              <w:t>CLINICAL RESEARCH</w:t>
            </w:r>
          </w:p>
        </w:tc>
        <w:tc>
          <w:tcPr>
            <w:tcW w:w="739" w:type="dxa"/>
          </w:tcPr>
          <w:p>
            <w:pPr>
              <w:pStyle w:val="TableParagraph"/>
              <w:spacing w:line="219" w:lineRule="exact"/>
              <w:ind w:right="196"/>
              <w:jc w:val="right"/>
              <w:rPr>
                <w:sz w:val="20"/>
              </w:rPr>
            </w:pPr>
            <w:r>
              <w:rPr>
                <w:w w:val="100"/>
                <w:sz w:val="20"/>
              </w:rPr>
              <w:t>6</w:t>
            </w:r>
          </w:p>
        </w:tc>
      </w:tr>
      <w:tr>
        <w:trPr>
          <w:trHeight w:val="480" w:hRule="atLeast"/>
        </w:trPr>
        <w:tc>
          <w:tcPr>
            <w:tcW w:w="1270" w:type="dxa"/>
          </w:tcPr>
          <w:p>
            <w:pPr>
              <w:pStyle w:val="TableParagraph"/>
              <w:ind w:right="203"/>
              <w:jc w:val="right"/>
              <w:rPr>
                <w:sz w:val="20"/>
              </w:rPr>
            </w:pPr>
            <w:r>
              <w:rPr>
                <w:sz w:val="20"/>
              </w:rPr>
              <w:t>REGS 631</w:t>
            </w:r>
          </w:p>
        </w:tc>
        <w:tc>
          <w:tcPr>
            <w:tcW w:w="2940" w:type="dxa"/>
          </w:tcPr>
          <w:p>
            <w:pPr>
              <w:pStyle w:val="TableParagraph"/>
              <w:ind w:left="206"/>
              <w:rPr>
                <w:sz w:val="20"/>
              </w:rPr>
            </w:pPr>
            <w:r>
              <w:rPr>
                <w:sz w:val="20"/>
              </w:rPr>
              <w:t>DRUG AND BIOLOGICS</w:t>
            </w:r>
          </w:p>
          <w:p>
            <w:pPr>
              <w:pStyle w:val="TableParagraph"/>
              <w:spacing w:line="219" w:lineRule="exact" w:before="10"/>
              <w:ind w:left="206"/>
              <w:rPr>
                <w:sz w:val="20"/>
              </w:rPr>
            </w:pPr>
            <w:r>
              <w:rPr>
                <w:sz w:val="20"/>
              </w:rPr>
              <w:t>DEVELOPMENT</w:t>
            </w:r>
          </w:p>
        </w:tc>
        <w:tc>
          <w:tcPr>
            <w:tcW w:w="739" w:type="dxa"/>
          </w:tcPr>
          <w:p>
            <w:pPr>
              <w:pStyle w:val="TableParagraph"/>
              <w:ind w:right="196"/>
              <w:jc w:val="right"/>
              <w:rPr>
                <w:sz w:val="20"/>
              </w:rPr>
            </w:pPr>
            <w:r>
              <w:rPr>
                <w:w w:val="100"/>
                <w:sz w:val="20"/>
              </w:rPr>
              <w:t>6</w:t>
            </w:r>
          </w:p>
        </w:tc>
      </w:tr>
      <w:tr>
        <w:trPr>
          <w:trHeight w:val="471" w:hRule="atLeast"/>
        </w:trPr>
        <w:tc>
          <w:tcPr>
            <w:tcW w:w="1270" w:type="dxa"/>
          </w:tcPr>
          <w:p>
            <w:pPr>
              <w:pStyle w:val="TableParagraph"/>
              <w:ind w:right="203"/>
              <w:jc w:val="right"/>
              <w:rPr>
                <w:sz w:val="20"/>
              </w:rPr>
            </w:pPr>
            <w:r>
              <w:rPr>
                <w:sz w:val="20"/>
              </w:rPr>
              <w:t>REGS 641</w:t>
            </w:r>
          </w:p>
        </w:tc>
        <w:tc>
          <w:tcPr>
            <w:tcW w:w="2940" w:type="dxa"/>
          </w:tcPr>
          <w:p>
            <w:pPr>
              <w:pStyle w:val="TableParagraph"/>
              <w:ind w:left="206"/>
              <w:rPr>
                <w:sz w:val="20"/>
              </w:rPr>
            </w:pPr>
            <w:r>
              <w:rPr>
                <w:sz w:val="20"/>
              </w:rPr>
              <w:t>REGULATED PRODUCTS</w:t>
            </w:r>
          </w:p>
          <w:p>
            <w:pPr>
              <w:pStyle w:val="TableParagraph"/>
              <w:spacing w:line="210" w:lineRule="exact" w:before="10"/>
              <w:ind w:left="206"/>
              <w:rPr>
                <w:sz w:val="20"/>
              </w:rPr>
            </w:pPr>
            <w:r>
              <w:rPr>
                <w:sz w:val="20"/>
              </w:rPr>
              <w:t>IN THE MARKETPLACE</w:t>
            </w:r>
          </w:p>
        </w:tc>
        <w:tc>
          <w:tcPr>
            <w:tcW w:w="739" w:type="dxa"/>
          </w:tcPr>
          <w:p>
            <w:pPr>
              <w:pStyle w:val="TableParagraph"/>
              <w:ind w:right="196"/>
              <w:jc w:val="right"/>
              <w:rPr>
                <w:sz w:val="20"/>
              </w:rPr>
            </w:pPr>
            <w:r>
              <w:rPr>
                <w:w w:val="100"/>
                <w:sz w:val="20"/>
              </w:rPr>
              <w:t>6</w:t>
            </w:r>
          </w:p>
        </w:tc>
      </w:tr>
    </w:tbl>
    <w:p>
      <w:pPr>
        <w:pStyle w:val="BodyText"/>
        <w:spacing w:before="2"/>
        <w:ind w:left="0"/>
        <w:rPr>
          <w:sz w:val="8"/>
        </w:rPr>
      </w:pPr>
    </w:p>
    <w:p>
      <w:pPr>
        <w:pStyle w:val="BodyText"/>
        <w:spacing w:line="249" w:lineRule="auto" w:before="93"/>
        <w:ind w:right="6391"/>
      </w:pPr>
      <w:r>
        <w:rPr/>
        <w:t>Details are given in the Course Descriptions part of this catalog.</w:t>
      </w:r>
    </w:p>
    <w:p>
      <w:pPr>
        <w:spacing w:after="0" w:line="249" w:lineRule="auto"/>
        <w:sectPr>
          <w:pgSz w:w="12240" w:h="15840"/>
          <w:pgMar w:header="746" w:footer="0" w:top="1320" w:bottom="280" w:left="880" w:right="300"/>
        </w:sectPr>
      </w:pPr>
    </w:p>
    <w:p>
      <w:pPr>
        <w:pStyle w:val="Heading3"/>
      </w:pPr>
      <w:bookmarkStart w:name="Research Administration" w:id="87"/>
      <w:bookmarkEnd w:id="87"/>
      <w:r>
        <w:rPr/>
      </w:r>
      <w:bookmarkStart w:name="_bookmark43" w:id="88"/>
      <w:bookmarkEnd w:id="88"/>
      <w:r>
        <w:rPr/>
      </w:r>
      <w:r>
        <w:rPr/>
        <w:t>Research Administration</w:t>
      </w:r>
    </w:p>
    <w:p>
      <w:pPr>
        <w:pStyle w:val="BodyText"/>
        <w:spacing w:before="190"/>
      </w:pPr>
      <w:hyperlink r:id="rId80">
        <w:r>
          <w:rPr>
            <w:color w:val="0000FF"/>
            <w:u w:val="single" w:color="0000FF"/>
          </w:rPr>
          <w:t>http://graduate.umaryland.edu/researchadmin/</w:t>
        </w:r>
      </w:hyperlink>
    </w:p>
    <w:p>
      <w:pPr>
        <w:spacing w:line="439" w:lineRule="auto" w:before="192"/>
        <w:ind w:left="200" w:right="2455"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left="199" w:right="23"/>
      </w:pPr>
      <w:r>
        <w:rPr/>
        <w:t>Research Administration is a 12-credit, online postbaccalaureate graduate certificate program designed to ensure that students have a greater understanding of the many behind-the-scenes aspects of research so they can successfully manage grants, understand legalities in research administration, and become familiar with the transfer of intellectual properties. Students in this track will gain advanced knowledge and practical training to ensure that learning is relevant and applicable to each student’s professional goals.</w:t>
      </w:r>
    </w:p>
    <w:p>
      <w:pPr>
        <w:pStyle w:val="BodyText"/>
        <w:spacing w:line="249" w:lineRule="auto"/>
        <w:ind w:left="199" w:right="18"/>
      </w:pPr>
      <w:r>
        <w:rPr/>
        <w:t>This program provides students with the opportunity to learn about the complex environment that supports academic research. This includes topics such as historical and evolutionary perspectives, legal issues in research, contract management, and safeguarding confidential information. Students in this program typically work in the following fields: data analysis, grant writing, clinical research, patient care, mental health, epidemiology, clinical trials, collaborations, personnel management, and related areas.</w:t>
      </w:r>
    </w:p>
    <w:p>
      <w:pPr>
        <w:pStyle w:val="BodyText"/>
        <w:spacing w:line="249" w:lineRule="auto"/>
        <w:ind w:left="199" w:right="117"/>
      </w:pPr>
      <w:r>
        <w:rPr/>
        <w:t>Research Administration also is a concentration of study within the Master of Science in Health Science (MSHS) program. Credits earned in the stand-alone Research Administration certificate program may be applied toward the MSHS degree requirements.</w:t>
      </w:r>
    </w:p>
    <w:p>
      <w:pPr>
        <w:pStyle w:val="Heading6"/>
        <w:spacing w:before="186"/>
        <w:ind w:left="199"/>
      </w:pPr>
      <w:r>
        <w:rPr/>
        <w:t>Program Admission</w:t>
      </w:r>
    </w:p>
    <w:p>
      <w:pPr>
        <w:pStyle w:val="BodyText"/>
        <w:spacing w:line="249" w:lineRule="auto" w:before="187"/>
        <w:ind w:left="199" w:right="73"/>
      </w:pPr>
      <w:r>
        <w:rPr/>
        <w:t>Candidates for admission must meet the minimum standards of admission established by the Graduate School and provide the requisite credentials. Admission to the certificate program is highly selective. A U.S. bachelor’s degree or its equivalent from a non-U.S. educational institution is required. No specific undergraduate course of study is required or recommended.</w:t>
      </w:r>
    </w:p>
    <w:p>
      <w:pPr>
        <w:pStyle w:val="BodyText"/>
        <w:spacing w:line="249" w:lineRule="auto" w:before="188"/>
        <w:ind w:left="199" w:right="127"/>
      </w:pPr>
      <w:r>
        <w:rPr/>
        <w:t>Graduate Record Examinations are not required for admission.</w:t>
      </w:r>
    </w:p>
    <w:p>
      <w:pPr>
        <w:pStyle w:val="Heading6"/>
        <w:spacing w:before="179"/>
        <w:ind w:left="199"/>
      </w:pPr>
      <w:r>
        <w:rPr/>
        <w:t>Degree Requirements</w:t>
      </w:r>
    </w:p>
    <w:p>
      <w:pPr>
        <w:pStyle w:val="BodyText"/>
        <w:spacing w:line="249" w:lineRule="auto" w:before="192"/>
        <w:ind w:left="199" w:right="316"/>
      </w:pPr>
      <w:r>
        <w:rPr/>
        <w:t>Certificate candidates must complete a minimum of 12 credits. Students must maintain a minimum, cumulative</w:t>
      </w:r>
    </w:p>
    <w:p>
      <w:pPr>
        <w:pStyle w:val="BodyText"/>
        <w:spacing w:line="249" w:lineRule="auto" w:before="96"/>
        <w:ind w:left="199" w:right="621"/>
      </w:pPr>
      <w:r>
        <w:rPr/>
        <w:br w:type="column"/>
      </w:r>
      <w:r>
        <w:rPr/>
        <w:t>grade-point average </w:t>
      </w:r>
      <w:r>
        <w:rPr>
          <w:spacing w:val="-3"/>
        </w:rPr>
        <w:t>of </w:t>
      </w:r>
      <w:r>
        <w:rPr/>
        <w:t>3.0 </w:t>
      </w:r>
      <w:r>
        <w:rPr>
          <w:spacing w:val="-3"/>
        </w:rPr>
        <w:t>on </w:t>
      </w:r>
      <w:r>
        <w:rPr/>
        <w:t>a 4.0 scale. All courses must </w:t>
      </w:r>
      <w:r>
        <w:rPr>
          <w:spacing w:val="-3"/>
        </w:rPr>
        <w:t>be </w:t>
      </w:r>
      <w:r>
        <w:rPr/>
        <w:t>taken </w:t>
      </w:r>
      <w:r>
        <w:rPr>
          <w:spacing w:val="-4"/>
        </w:rPr>
        <w:t>for  </w:t>
      </w:r>
      <w:r>
        <w:rPr/>
        <w:t>letter grade; courses </w:t>
      </w:r>
      <w:r>
        <w:rPr>
          <w:spacing w:val="-3"/>
        </w:rPr>
        <w:t>taken </w:t>
      </w:r>
      <w:r>
        <w:rPr/>
        <w:t>as Pass/Fail (P/F) </w:t>
      </w:r>
      <w:r>
        <w:rPr>
          <w:spacing w:val="-3"/>
        </w:rPr>
        <w:t>or </w:t>
      </w:r>
      <w:r>
        <w:rPr/>
        <w:t>Audit </w:t>
      </w:r>
      <w:r>
        <w:rPr>
          <w:spacing w:val="-3"/>
        </w:rPr>
        <w:t>(AU) </w:t>
      </w:r>
      <w:r>
        <w:rPr/>
        <w:t>do not count toward the certificate. </w:t>
      </w:r>
      <w:r>
        <w:rPr>
          <w:spacing w:val="-2"/>
        </w:rPr>
        <w:t>All </w:t>
      </w:r>
      <w:r>
        <w:rPr/>
        <w:t>requirements </w:t>
      </w:r>
      <w:r>
        <w:rPr>
          <w:spacing w:val="-4"/>
        </w:rPr>
        <w:t>for </w:t>
      </w:r>
      <w:r>
        <w:rPr/>
        <w:t>the certificate must </w:t>
      </w:r>
      <w:r>
        <w:rPr>
          <w:spacing w:val="-3"/>
        </w:rPr>
        <w:t>be </w:t>
      </w:r>
      <w:r>
        <w:rPr/>
        <w:t>completed within three years after admission and all credits </w:t>
      </w:r>
      <w:r>
        <w:rPr>
          <w:spacing w:val="-4"/>
        </w:rPr>
        <w:t>for </w:t>
      </w:r>
      <w:r>
        <w:rPr/>
        <w:t>the certificate must </w:t>
      </w:r>
      <w:r>
        <w:rPr>
          <w:spacing w:val="-3"/>
        </w:rPr>
        <w:t>be </w:t>
      </w:r>
      <w:r>
        <w:rPr/>
        <w:t>completed at the University of Maryland, Baltimore. Complete guideline and requirements </w:t>
      </w:r>
      <w:r>
        <w:rPr>
          <w:spacing w:val="-4"/>
        </w:rPr>
        <w:t>for </w:t>
      </w:r>
      <w:r>
        <w:rPr/>
        <w:t>progression and completion are outlined in the Academic Performance and Progress in a Postbaccalaureate Certificate Program section </w:t>
      </w:r>
      <w:r>
        <w:rPr>
          <w:spacing w:val="-3"/>
        </w:rPr>
        <w:t>of </w:t>
      </w:r>
      <w:r>
        <w:rPr/>
        <w:t>this catalog.</w:t>
      </w:r>
    </w:p>
    <w:p>
      <w:pPr>
        <w:pStyle w:val="Heading5"/>
        <w:spacing w:before="180"/>
      </w:pPr>
      <w:r>
        <w:rPr/>
        <w:t>Required Courses</w:t>
      </w:r>
    </w:p>
    <w:p>
      <w:pPr>
        <w:pStyle w:val="BodyText"/>
        <w:spacing w:line="249" w:lineRule="auto" w:before="190"/>
        <w:ind w:right="1150"/>
      </w:pPr>
      <w:r>
        <w:rPr/>
        <w:t>These courses are required to complete the Research Administration program:</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4"/>
        <w:gridCol w:w="3051"/>
        <w:gridCol w:w="703"/>
      </w:tblGrid>
      <w:tr>
        <w:trPr>
          <w:trHeight w:val="711" w:hRule="atLeast"/>
        </w:trPr>
        <w:tc>
          <w:tcPr>
            <w:tcW w:w="1194" w:type="dxa"/>
          </w:tcPr>
          <w:p>
            <w:pPr>
              <w:pStyle w:val="TableParagraph"/>
              <w:spacing w:line="223" w:lineRule="exact" w:before="0"/>
              <w:ind w:left="200"/>
              <w:rPr>
                <w:sz w:val="20"/>
              </w:rPr>
            </w:pPr>
            <w:r>
              <w:rPr>
                <w:sz w:val="20"/>
              </w:rPr>
              <w:t>MHS 601</w:t>
            </w:r>
          </w:p>
        </w:tc>
        <w:tc>
          <w:tcPr>
            <w:tcW w:w="3051" w:type="dxa"/>
          </w:tcPr>
          <w:p>
            <w:pPr>
              <w:pStyle w:val="TableParagraph"/>
              <w:spacing w:line="249" w:lineRule="auto" w:before="0"/>
              <w:ind w:left="210" w:right="993"/>
              <w:rPr>
                <w:sz w:val="20"/>
              </w:rPr>
            </w:pPr>
            <w:r>
              <w:rPr>
                <w:sz w:val="20"/>
              </w:rPr>
              <w:t>INTRODUCTION TO RESEARCH</w:t>
            </w:r>
          </w:p>
          <w:p>
            <w:pPr>
              <w:pStyle w:val="TableParagraph"/>
              <w:spacing w:line="219" w:lineRule="exact" w:before="0"/>
              <w:ind w:left="210"/>
              <w:rPr>
                <w:sz w:val="20"/>
              </w:rPr>
            </w:pPr>
            <w:r>
              <w:rPr>
                <w:sz w:val="20"/>
              </w:rPr>
              <w:t>ADMINISTRATION</w:t>
            </w:r>
          </w:p>
        </w:tc>
        <w:tc>
          <w:tcPr>
            <w:tcW w:w="703" w:type="dxa"/>
          </w:tcPr>
          <w:p>
            <w:pPr>
              <w:pStyle w:val="TableParagraph"/>
              <w:spacing w:line="223" w:lineRule="exact" w:before="0"/>
              <w:ind w:right="200"/>
              <w:jc w:val="right"/>
              <w:rPr>
                <w:sz w:val="20"/>
              </w:rPr>
            </w:pPr>
            <w:r>
              <w:rPr>
                <w:w w:val="100"/>
                <w:sz w:val="20"/>
              </w:rPr>
              <w:t>3</w:t>
            </w:r>
          </w:p>
        </w:tc>
      </w:tr>
      <w:tr>
        <w:trPr>
          <w:trHeight w:val="480" w:hRule="atLeast"/>
        </w:trPr>
        <w:tc>
          <w:tcPr>
            <w:tcW w:w="1194" w:type="dxa"/>
          </w:tcPr>
          <w:p>
            <w:pPr>
              <w:pStyle w:val="TableParagraph"/>
              <w:ind w:left="200"/>
              <w:rPr>
                <w:sz w:val="20"/>
              </w:rPr>
            </w:pPr>
            <w:r>
              <w:rPr>
                <w:sz w:val="20"/>
              </w:rPr>
              <w:t>MHS 618</w:t>
            </w:r>
          </w:p>
        </w:tc>
        <w:tc>
          <w:tcPr>
            <w:tcW w:w="3051" w:type="dxa"/>
          </w:tcPr>
          <w:p>
            <w:pPr>
              <w:pStyle w:val="TableParagraph"/>
              <w:ind w:left="210"/>
              <w:rPr>
                <w:sz w:val="20"/>
              </w:rPr>
            </w:pPr>
            <w:r>
              <w:rPr>
                <w:sz w:val="20"/>
              </w:rPr>
              <w:t>REGULATORY &amp; LEGAL</w:t>
            </w:r>
          </w:p>
          <w:p>
            <w:pPr>
              <w:pStyle w:val="TableParagraph"/>
              <w:spacing w:line="219" w:lineRule="exact" w:before="10"/>
              <w:ind w:left="210"/>
              <w:rPr>
                <w:sz w:val="20"/>
              </w:rPr>
            </w:pPr>
            <w:r>
              <w:rPr>
                <w:sz w:val="20"/>
              </w:rPr>
              <w:t>ISSUES IN RESEARCH</w:t>
            </w:r>
          </w:p>
        </w:tc>
        <w:tc>
          <w:tcPr>
            <w:tcW w:w="703" w:type="dxa"/>
          </w:tcPr>
          <w:p>
            <w:pPr>
              <w:pStyle w:val="TableParagraph"/>
              <w:ind w:right="200"/>
              <w:jc w:val="right"/>
              <w:rPr>
                <w:sz w:val="20"/>
              </w:rPr>
            </w:pPr>
            <w:r>
              <w:rPr>
                <w:w w:val="100"/>
                <w:sz w:val="20"/>
              </w:rPr>
              <w:t>3</w:t>
            </w:r>
          </w:p>
        </w:tc>
      </w:tr>
      <w:tr>
        <w:trPr>
          <w:trHeight w:val="720" w:hRule="atLeast"/>
        </w:trPr>
        <w:tc>
          <w:tcPr>
            <w:tcW w:w="1194" w:type="dxa"/>
          </w:tcPr>
          <w:p>
            <w:pPr>
              <w:pStyle w:val="TableParagraph"/>
              <w:ind w:left="200"/>
              <w:rPr>
                <w:sz w:val="20"/>
              </w:rPr>
            </w:pPr>
            <w:r>
              <w:rPr>
                <w:sz w:val="20"/>
              </w:rPr>
              <w:t>MHS 635</w:t>
            </w:r>
          </w:p>
        </w:tc>
        <w:tc>
          <w:tcPr>
            <w:tcW w:w="3051" w:type="dxa"/>
          </w:tcPr>
          <w:p>
            <w:pPr>
              <w:pStyle w:val="TableParagraph"/>
              <w:spacing w:line="249" w:lineRule="auto"/>
              <w:ind w:left="210" w:right="521"/>
              <w:rPr>
                <w:sz w:val="20"/>
              </w:rPr>
            </w:pPr>
            <w:r>
              <w:rPr>
                <w:sz w:val="20"/>
              </w:rPr>
              <w:t>GRANT AND CONTRACT MANAGEMENT IN</w:t>
            </w:r>
          </w:p>
          <w:p>
            <w:pPr>
              <w:pStyle w:val="TableParagraph"/>
              <w:spacing w:line="219" w:lineRule="exact" w:before="2"/>
              <w:ind w:left="210"/>
              <w:rPr>
                <w:sz w:val="20"/>
              </w:rPr>
            </w:pPr>
            <w:r>
              <w:rPr>
                <w:sz w:val="20"/>
              </w:rPr>
              <w:t>RESEARCH</w:t>
            </w:r>
          </w:p>
        </w:tc>
        <w:tc>
          <w:tcPr>
            <w:tcW w:w="703" w:type="dxa"/>
          </w:tcPr>
          <w:p>
            <w:pPr>
              <w:pStyle w:val="TableParagraph"/>
              <w:ind w:right="200"/>
              <w:jc w:val="right"/>
              <w:rPr>
                <w:sz w:val="20"/>
              </w:rPr>
            </w:pPr>
            <w:r>
              <w:rPr>
                <w:w w:val="100"/>
                <w:sz w:val="20"/>
              </w:rPr>
              <w:t>3</w:t>
            </w:r>
          </w:p>
        </w:tc>
      </w:tr>
      <w:tr>
        <w:trPr>
          <w:trHeight w:val="231" w:hRule="atLeast"/>
        </w:trPr>
        <w:tc>
          <w:tcPr>
            <w:tcW w:w="1194" w:type="dxa"/>
          </w:tcPr>
          <w:p>
            <w:pPr>
              <w:pStyle w:val="TableParagraph"/>
              <w:spacing w:line="210" w:lineRule="exact"/>
              <w:ind w:left="200"/>
              <w:rPr>
                <w:sz w:val="20"/>
              </w:rPr>
            </w:pPr>
            <w:r>
              <w:rPr>
                <w:sz w:val="20"/>
              </w:rPr>
              <w:t>MHS 640</w:t>
            </w:r>
          </w:p>
        </w:tc>
        <w:tc>
          <w:tcPr>
            <w:tcW w:w="3051" w:type="dxa"/>
          </w:tcPr>
          <w:p>
            <w:pPr>
              <w:pStyle w:val="TableParagraph"/>
              <w:spacing w:line="210" w:lineRule="exact"/>
              <w:ind w:left="210"/>
              <w:rPr>
                <w:sz w:val="20"/>
              </w:rPr>
            </w:pPr>
            <w:r>
              <w:rPr>
                <w:sz w:val="20"/>
              </w:rPr>
              <w:t>TECHNOLOGY TRANSFER</w:t>
            </w:r>
          </w:p>
        </w:tc>
        <w:tc>
          <w:tcPr>
            <w:tcW w:w="703" w:type="dxa"/>
          </w:tcPr>
          <w:p>
            <w:pPr>
              <w:pStyle w:val="TableParagraph"/>
              <w:spacing w:line="210" w:lineRule="exact"/>
              <w:ind w:right="200"/>
              <w:jc w:val="right"/>
              <w:rPr>
                <w:sz w:val="20"/>
              </w:rPr>
            </w:pPr>
            <w:r>
              <w:rPr>
                <w:w w:val="100"/>
                <w:sz w:val="20"/>
              </w:rPr>
              <w:t>3</w:t>
            </w:r>
          </w:p>
        </w:tc>
      </w:tr>
    </w:tbl>
    <w:p>
      <w:pPr>
        <w:spacing w:after="0" w:line="210" w:lineRule="exact"/>
        <w:jc w:val="right"/>
        <w:rPr>
          <w:sz w:val="20"/>
        </w:rPr>
        <w:sectPr>
          <w:pgSz w:w="12240" w:h="15840"/>
          <w:pgMar w:header="746" w:footer="0" w:top="1320" w:bottom="280" w:left="880" w:right="300"/>
          <w:cols w:num="2" w:equalWidth="0">
            <w:col w:w="5002" w:space="484"/>
            <w:col w:w="5574"/>
          </w:cols>
        </w:sectPr>
      </w:pPr>
    </w:p>
    <w:p>
      <w:pPr>
        <w:pStyle w:val="Heading3"/>
      </w:pPr>
      <w:bookmarkStart w:name="Research Ethics" w:id="89"/>
      <w:bookmarkEnd w:id="89"/>
      <w:r>
        <w:rPr/>
      </w:r>
      <w:bookmarkStart w:name="_bookmark44" w:id="90"/>
      <w:bookmarkEnd w:id="90"/>
      <w:r>
        <w:rPr/>
      </w:r>
      <w:r>
        <w:rPr/>
        <w:t>Research Ethics</w:t>
      </w:r>
    </w:p>
    <w:p>
      <w:pPr>
        <w:pStyle w:val="BodyText"/>
        <w:spacing w:before="190"/>
      </w:pPr>
      <w:hyperlink r:id="rId81">
        <w:r>
          <w:rPr>
            <w:color w:val="0000FF"/>
            <w:u w:val="single" w:color="0000FF"/>
          </w:rPr>
          <w:t>http://www.graduate.umaryland.edu/research-ethics/</w:t>
        </w:r>
      </w:hyperlink>
    </w:p>
    <w:p>
      <w:pPr>
        <w:spacing w:line="439" w:lineRule="auto" w:before="192"/>
        <w:ind w:left="200" w:right="2717" w:firstLine="0"/>
        <w:jc w:val="left"/>
        <w:rPr>
          <w:b/>
          <w:sz w:val="20"/>
        </w:rPr>
      </w:pPr>
      <w:r>
        <w:rPr>
          <w:b/>
          <w:sz w:val="20"/>
        </w:rPr>
        <w:t>Degree Offered </w:t>
      </w:r>
      <w:r>
        <w:rPr>
          <w:sz w:val="20"/>
        </w:rPr>
        <w:t>Postbachelor’s Certificate </w:t>
      </w:r>
      <w:r>
        <w:rPr>
          <w:b/>
          <w:sz w:val="20"/>
        </w:rPr>
        <w:t>Program Description</w:t>
      </w:r>
    </w:p>
    <w:p>
      <w:pPr>
        <w:pStyle w:val="BodyText"/>
        <w:spacing w:line="249" w:lineRule="auto" w:before="0"/>
        <w:ind w:right="67"/>
      </w:pPr>
      <w:r>
        <w:rPr/>
        <w:t>The goal of this 12-credit, six-course online certificate program is to provide individuals with an understanding of the ethical and regulatory aspects of human subjects research and give them the skills needed to analyze ethical issues that arise in the conduct of research in domestic and international arenas. The certificate program interrelates with the Fogarty International Center/National Institutes of Health training program that is focused in the Middle East (MERETI). The inclusion of these targeted audiences will ensure an interprofessional and global experience for all enrolled students. The program is particularly designed for investigators, clinical research coordinators, nurses, individuals from institutional review boards, contract research organizations, pharmaceutical industry representatives, and others involved in research. The exclusive use of distance learning technologies meets the needs of professionals worldwide who may have few opportunities to enroll in an on-site program.</w:t>
      </w:r>
    </w:p>
    <w:p>
      <w:pPr>
        <w:pStyle w:val="BodyText"/>
        <w:spacing w:line="249" w:lineRule="auto" w:before="191"/>
        <w:ind w:right="74"/>
      </w:pPr>
      <w:r>
        <w:rPr/>
        <w:t>All six courses are offered throughout the fall, spring, and summer semesters to enable individuals to complete the program within an academic year. However, since all courses stand alone (i.e., are not dependent on each other), one may take these courses in any order and at one’s own pace; in these instances, the program may take more than a year to complete.</w:t>
      </w:r>
    </w:p>
    <w:p>
      <w:pPr>
        <w:pStyle w:val="Heading6"/>
        <w:spacing w:before="182"/>
      </w:pPr>
      <w:r>
        <w:rPr/>
        <w:t>Program Admission</w:t>
      </w:r>
    </w:p>
    <w:p>
      <w:pPr>
        <w:pStyle w:val="BodyText"/>
        <w:spacing w:line="249" w:lineRule="auto" w:before="193"/>
        <w:ind w:right="38"/>
      </w:pPr>
      <w:r>
        <w:rPr/>
        <w:t>Candidates </w:t>
      </w:r>
      <w:r>
        <w:rPr>
          <w:spacing w:val="-4"/>
        </w:rPr>
        <w:t>for </w:t>
      </w:r>
      <w:r>
        <w:rPr/>
        <w:t>admission must meet the minimum standards </w:t>
      </w:r>
      <w:r>
        <w:rPr>
          <w:spacing w:val="-3"/>
        </w:rPr>
        <w:t>of </w:t>
      </w:r>
      <w:r>
        <w:rPr/>
        <w:t>admission established </w:t>
      </w:r>
      <w:r>
        <w:rPr>
          <w:spacing w:val="-3"/>
        </w:rPr>
        <w:t>by </w:t>
      </w:r>
      <w:r>
        <w:rPr/>
        <w:t>the Graduate </w:t>
      </w:r>
      <w:r>
        <w:rPr>
          <w:spacing w:val="-2"/>
        </w:rPr>
        <w:t>School </w:t>
      </w:r>
      <w:r>
        <w:rPr/>
        <w:t>and must provide the requisite credentials. Admission to the certificate program is highly selective. A U.S. bachelor’s degree </w:t>
      </w:r>
      <w:r>
        <w:rPr>
          <w:spacing w:val="-3"/>
        </w:rPr>
        <w:t>or </w:t>
      </w:r>
      <w:r>
        <w:rPr/>
        <w:t>its equivalent from a non-U.S. educational institution is required. No specific undergraduate course </w:t>
      </w:r>
      <w:r>
        <w:rPr>
          <w:spacing w:val="-3"/>
        </w:rPr>
        <w:t>of </w:t>
      </w:r>
      <w:r>
        <w:rPr/>
        <w:t>study is required </w:t>
      </w:r>
      <w:r>
        <w:rPr>
          <w:spacing w:val="-3"/>
        </w:rPr>
        <w:t>or </w:t>
      </w:r>
      <w:r>
        <w:rPr/>
        <w:t>recommended. Graduate Record Examinations are not required </w:t>
      </w:r>
      <w:r>
        <w:rPr>
          <w:spacing w:val="-4"/>
        </w:rPr>
        <w:t>for </w:t>
      </w:r>
      <w:r>
        <w:rPr/>
        <w:t>admission.</w:t>
      </w:r>
    </w:p>
    <w:p>
      <w:pPr>
        <w:pStyle w:val="Heading6"/>
        <w:spacing w:before="184"/>
      </w:pPr>
      <w:r>
        <w:rPr/>
        <w:t>Certificate Requirements</w:t>
      </w:r>
    </w:p>
    <w:p>
      <w:pPr>
        <w:pStyle w:val="BodyText"/>
        <w:spacing w:line="249" w:lineRule="auto" w:before="192"/>
        <w:ind w:left="199" w:right="61"/>
      </w:pPr>
      <w:r>
        <w:rPr/>
        <w:t>Certificate candidates must complete a minimum of 12 credits. Students must maintain a minimum, cumulative grade- point average of 3.0 on a 4.0 scale. All courses must be taken for letter grade; courses taken as Pass/Fail (P/F)</w:t>
      </w:r>
    </w:p>
    <w:p>
      <w:pPr>
        <w:pStyle w:val="BodyText"/>
        <w:spacing w:line="249" w:lineRule="auto" w:before="96"/>
        <w:ind w:right="606"/>
      </w:pPr>
      <w:r>
        <w:rPr/>
        <w:br w:type="column"/>
      </w:r>
      <w:r>
        <w:rPr/>
        <w:t>or Audit (AU) do not count toward the certificate. All requirements for the certificate must be completed within three years after admission and all credits for the certificate must be completed at the University of Maryland, Baltimore. Complete guidelines/requirements for progression and completion are outlined in the Academic Performance and Progress in a Postbaccalaureate Certificate Program section of this catalog.</w:t>
      </w:r>
    </w:p>
    <w:p>
      <w:pPr>
        <w:pStyle w:val="Heading5"/>
        <w:spacing w:before="179"/>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8"/>
        <w:gridCol w:w="3032"/>
        <w:gridCol w:w="651"/>
      </w:tblGrid>
      <w:tr>
        <w:trPr>
          <w:trHeight w:val="471" w:hRule="atLeast"/>
        </w:trPr>
        <w:tc>
          <w:tcPr>
            <w:tcW w:w="1268" w:type="dxa"/>
          </w:tcPr>
          <w:p>
            <w:pPr>
              <w:pStyle w:val="TableParagraph"/>
              <w:spacing w:line="223" w:lineRule="exact" w:before="0"/>
              <w:ind w:left="200"/>
              <w:rPr>
                <w:sz w:val="20"/>
              </w:rPr>
            </w:pPr>
            <w:r>
              <w:rPr>
                <w:sz w:val="20"/>
              </w:rPr>
              <w:t>ETHC 629</w:t>
            </w:r>
          </w:p>
        </w:tc>
        <w:tc>
          <w:tcPr>
            <w:tcW w:w="3032" w:type="dxa"/>
          </w:tcPr>
          <w:p>
            <w:pPr>
              <w:pStyle w:val="TableParagraph"/>
              <w:spacing w:line="223" w:lineRule="exact" w:before="0"/>
              <w:ind w:left="189"/>
              <w:rPr>
                <w:sz w:val="20"/>
              </w:rPr>
            </w:pPr>
            <w:r>
              <w:rPr>
                <w:sz w:val="20"/>
              </w:rPr>
              <w:t>INTRODUCTION TO</w:t>
            </w:r>
          </w:p>
          <w:p>
            <w:pPr>
              <w:pStyle w:val="TableParagraph"/>
              <w:spacing w:line="219" w:lineRule="exact" w:before="10"/>
              <w:ind w:left="189"/>
              <w:rPr>
                <w:sz w:val="20"/>
              </w:rPr>
            </w:pPr>
            <w:r>
              <w:rPr>
                <w:sz w:val="20"/>
              </w:rPr>
              <w:t>ETHICAL THEORY</w:t>
            </w:r>
          </w:p>
        </w:tc>
        <w:tc>
          <w:tcPr>
            <w:tcW w:w="651" w:type="dxa"/>
          </w:tcPr>
          <w:p>
            <w:pPr>
              <w:pStyle w:val="TableParagraph"/>
              <w:spacing w:line="223" w:lineRule="exact" w:before="0"/>
              <w:ind w:right="198"/>
              <w:jc w:val="right"/>
              <w:rPr>
                <w:sz w:val="20"/>
              </w:rPr>
            </w:pPr>
            <w:r>
              <w:rPr>
                <w:w w:val="100"/>
                <w:sz w:val="20"/>
              </w:rPr>
              <w:t>2</w:t>
            </w:r>
          </w:p>
        </w:tc>
      </w:tr>
      <w:tr>
        <w:trPr>
          <w:trHeight w:val="480" w:hRule="atLeast"/>
        </w:trPr>
        <w:tc>
          <w:tcPr>
            <w:tcW w:w="1268" w:type="dxa"/>
          </w:tcPr>
          <w:p>
            <w:pPr>
              <w:pStyle w:val="TableParagraph"/>
              <w:ind w:left="200"/>
              <w:rPr>
                <w:sz w:val="20"/>
              </w:rPr>
            </w:pPr>
            <w:r>
              <w:rPr>
                <w:sz w:val="20"/>
              </w:rPr>
              <w:t>ETHC 637</w:t>
            </w:r>
          </w:p>
        </w:tc>
        <w:tc>
          <w:tcPr>
            <w:tcW w:w="3032" w:type="dxa"/>
          </w:tcPr>
          <w:p>
            <w:pPr>
              <w:pStyle w:val="TableParagraph"/>
              <w:ind w:left="189"/>
              <w:rPr>
                <w:sz w:val="20"/>
              </w:rPr>
            </w:pPr>
            <w:r>
              <w:rPr>
                <w:sz w:val="20"/>
              </w:rPr>
              <w:t>INTRODUCTION</w:t>
            </w:r>
            <w:r>
              <w:rPr>
                <w:spacing w:val="-4"/>
                <w:sz w:val="20"/>
              </w:rPr>
              <w:t> </w:t>
            </w:r>
            <w:r>
              <w:rPr>
                <w:sz w:val="20"/>
              </w:rPr>
              <w:t>TO</w:t>
            </w:r>
          </w:p>
          <w:p>
            <w:pPr>
              <w:pStyle w:val="TableParagraph"/>
              <w:spacing w:line="219" w:lineRule="exact" w:before="10"/>
              <w:ind w:left="189"/>
              <w:rPr>
                <w:sz w:val="20"/>
              </w:rPr>
            </w:pPr>
            <w:r>
              <w:rPr>
                <w:sz w:val="20"/>
              </w:rPr>
              <w:t>RESEARCH</w:t>
            </w:r>
            <w:r>
              <w:rPr>
                <w:spacing w:val="-5"/>
                <w:sz w:val="20"/>
              </w:rPr>
              <w:t> </w:t>
            </w:r>
            <w:r>
              <w:rPr>
                <w:sz w:val="20"/>
              </w:rPr>
              <w:t>ETHICS</w:t>
            </w:r>
          </w:p>
        </w:tc>
        <w:tc>
          <w:tcPr>
            <w:tcW w:w="651" w:type="dxa"/>
          </w:tcPr>
          <w:p>
            <w:pPr>
              <w:pStyle w:val="TableParagraph"/>
              <w:ind w:right="198"/>
              <w:jc w:val="right"/>
              <w:rPr>
                <w:sz w:val="20"/>
              </w:rPr>
            </w:pPr>
            <w:r>
              <w:rPr>
                <w:w w:val="100"/>
                <w:sz w:val="20"/>
              </w:rPr>
              <w:t>3</w:t>
            </w:r>
          </w:p>
        </w:tc>
      </w:tr>
      <w:tr>
        <w:trPr>
          <w:trHeight w:val="720" w:hRule="atLeast"/>
        </w:trPr>
        <w:tc>
          <w:tcPr>
            <w:tcW w:w="1268" w:type="dxa"/>
          </w:tcPr>
          <w:p>
            <w:pPr>
              <w:pStyle w:val="TableParagraph"/>
              <w:ind w:left="200"/>
              <w:rPr>
                <w:sz w:val="20"/>
              </w:rPr>
            </w:pPr>
            <w:r>
              <w:rPr>
                <w:sz w:val="20"/>
              </w:rPr>
              <w:t>ETHC 638</w:t>
            </w:r>
          </w:p>
        </w:tc>
        <w:tc>
          <w:tcPr>
            <w:tcW w:w="3032" w:type="dxa"/>
          </w:tcPr>
          <w:p>
            <w:pPr>
              <w:pStyle w:val="TableParagraph"/>
              <w:spacing w:line="249" w:lineRule="auto"/>
              <w:ind w:left="189" w:right="1201"/>
              <w:rPr>
                <w:sz w:val="20"/>
              </w:rPr>
            </w:pPr>
            <w:r>
              <w:rPr>
                <w:sz w:val="20"/>
              </w:rPr>
              <w:t>ISSUES IN INTERNATIONAL</w:t>
            </w:r>
          </w:p>
          <w:p>
            <w:pPr>
              <w:pStyle w:val="TableParagraph"/>
              <w:spacing w:line="219" w:lineRule="exact" w:before="2"/>
              <w:ind w:left="189"/>
              <w:rPr>
                <w:sz w:val="20"/>
              </w:rPr>
            </w:pPr>
            <w:r>
              <w:rPr>
                <w:sz w:val="20"/>
              </w:rPr>
              <w:t>RESEARCH ETHICS</w:t>
            </w:r>
          </w:p>
        </w:tc>
        <w:tc>
          <w:tcPr>
            <w:tcW w:w="651" w:type="dxa"/>
          </w:tcPr>
          <w:p>
            <w:pPr>
              <w:pStyle w:val="TableParagraph"/>
              <w:ind w:right="198"/>
              <w:jc w:val="right"/>
              <w:rPr>
                <w:sz w:val="20"/>
              </w:rPr>
            </w:pPr>
            <w:r>
              <w:rPr>
                <w:w w:val="100"/>
                <w:sz w:val="20"/>
              </w:rPr>
              <w:t>3</w:t>
            </w:r>
          </w:p>
        </w:tc>
      </w:tr>
      <w:tr>
        <w:trPr>
          <w:trHeight w:val="960" w:hRule="atLeast"/>
        </w:trPr>
        <w:tc>
          <w:tcPr>
            <w:tcW w:w="1268" w:type="dxa"/>
          </w:tcPr>
          <w:p>
            <w:pPr>
              <w:pStyle w:val="TableParagraph"/>
              <w:ind w:left="200"/>
              <w:rPr>
                <w:sz w:val="20"/>
              </w:rPr>
            </w:pPr>
            <w:r>
              <w:rPr>
                <w:sz w:val="20"/>
              </w:rPr>
              <w:t>ETHC 639</w:t>
            </w:r>
          </w:p>
        </w:tc>
        <w:tc>
          <w:tcPr>
            <w:tcW w:w="3032" w:type="dxa"/>
          </w:tcPr>
          <w:p>
            <w:pPr>
              <w:pStyle w:val="TableParagraph"/>
              <w:spacing w:line="249" w:lineRule="auto"/>
              <w:ind w:left="189" w:right="473"/>
              <w:rPr>
                <w:sz w:val="20"/>
              </w:rPr>
            </w:pPr>
            <w:r>
              <w:rPr>
                <w:sz w:val="20"/>
              </w:rPr>
              <w:t>REGULATORY AND LEGAL ASPECTS OF INSTITUTIONAL REVIEW</w:t>
            </w:r>
          </w:p>
          <w:p>
            <w:pPr>
              <w:pStyle w:val="TableParagraph"/>
              <w:spacing w:line="219" w:lineRule="exact" w:before="2"/>
              <w:ind w:left="189"/>
              <w:rPr>
                <w:sz w:val="20"/>
              </w:rPr>
            </w:pPr>
            <w:r>
              <w:rPr>
                <w:sz w:val="20"/>
              </w:rPr>
              <w:t>BOARDS</w:t>
            </w:r>
          </w:p>
        </w:tc>
        <w:tc>
          <w:tcPr>
            <w:tcW w:w="651" w:type="dxa"/>
          </w:tcPr>
          <w:p>
            <w:pPr>
              <w:pStyle w:val="TableParagraph"/>
              <w:ind w:right="198"/>
              <w:jc w:val="right"/>
              <w:rPr>
                <w:sz w:val="20"/>
              </w:rPr>
            </w:pPr>
            <w:r>
              <w:rPr>
                <w:w w:val="100"/>
                <w:sz w:val="20"/>
              </w:rPr>
              <w:t>2</w:t>
            </w:r>
          </w:p>
        </w:tc>
      </w:tr>
      <w:tr>
        <w:trPr>
          <w:trHeight w:val="480" w:hRule="atLeast"/>
        </w:trPr>
        <w:tc>
          <w:tcPr>
            <w:tcW w:w="1268" w:type="dxa"/>
          </w:tcPr>
          <w:p>
            <w:pPr>
              <w:pStyle w:val="TableParagraph"/>
              <w:ind w:left="200"/>
              <w:rPr>
                <w:sz w:val="20"/>
              </w:rPr>
            </w:pPr>
            <w:r>
              <w:rPr>
                <w:sz w:val="20"/>
              </w:rPr>
              <w:t>ETHC 640</w:t>
            </w:r>
          </w:p>
        </w:tc>
        <w:tc>
          <w:tcPr>
            <w:tcW w:w="3032" w:type="dxa"/>
          </w:tcPr>
          <w:p>
            <w:pPr>
              <w:pStyle w:val="TableParagraph"/>
              <w:ind w:left="189"/>
              <w:rPr>
                <w:sz w:val="20"/>
              </w:rPr>
            </w:pPr>
            <w:r>
              <w:rPr>
                <w:sz w:val="20"/>
              </w:rPr>
              <w:t>ETHICS OF</w:t>
            </w:r>
          </w:p>
          <w:p>
            <w:pPr>
              <w:pStyle w:val="TableParagraph"/>
              <w:spacing w:line="219" w:lineRule="exact" w:before="10"/>
              <w:ind w:left="189"/>
              <w:rPr>
                <w:sz w:val="20"/>
              </w:rPr>
            </w:pPr>
            <w:r>
              <w:rPr>
                <w:sz w:val="20"/>
              </w:rPr>
              <w:t>GLOBALIZATION</w:t>
            </w:r>
          </w:p>
        </w:tc>
        <w:tc>
          <w:tcPr>
            <w:tcW w:w="651" w:type="dxa"/>
          </w:tcPr>
          <w:p>
            <w:pPr>
              <w:pStyle w:val="TableParagraph"/>
              <w:ind w:right="198"/>
              <w:jc w:val="right"/>
              <w:rPr>
                <w:sz w:val="20"/>
              </w:rPr>
            </w:pPr>
            <w:r>
              <w:rPr>
                <w:w w:val="100"/>
                <w:sz w:val="20"/>
              </w:rPr>
              <w:t>1</w:t>
            </w:r>
          </w:p>
        </w:tc>
      </w:tr>
      <w:tr>
        <w:trPr>
          <w:trHeight w:val="711" w:hRule="atLeast"/>
        </w:trPr>
        <w:tc>
          <w:tcPr>
            <w:tcW w:w="1268" w:type="dxa"/>
          </w:tcPr>
          <w:p>
            <w:pPr>
              <w:pStyle w:val="TableParagraph"/>
              <w:ind w:left="200"/>
              <w:rPr>
                <w:sz w:val="20"/>
              </w:rPr>
            </w:pPr>
            <w:r>
              <w:rPr>
                <w:sz w:val="20"/>
              </w:rPr>
              <w:t>ETHC 665</w:t>
            </w:r>
          </w:p>
        </w:tc>
        <w:tc>
          <w:tcPr>
            <w:tcW w:w="3032" w:type="dxa"/>
          </w:tcPr>
          <w:p>
            <w:pPr>
              <w:pStyle w:val="TableParagraph"/>
              <w:spacing w:line="249" w:lineRule="auto"/>
              <w:ind w:left="189" w:right="268"/>
              <w:rPr>
                <w:sz w:val="20"/>
              </w:rPr>
            </w:pPr>
            <w:r>
              <w:rPr>
                <w:sz w:val="20"/>
              </w:rPr>
              <w:t>RESPONSIBLE CONDUCT OF RESEARCH</w:t>
            </w:r>
          </w:p>
          <w:p>
            <w:pPr>
              <w:pStyle w:val="TableParagraph"/>
              <w:spacing w:line="210" w:lineRule="exact" w:before="2"/>
              <w:ind w:left="189"/>
              <w:rPr>
                <w:sz w:val="20"/>
              </w:rPr>
            </w:pPr>
            <w:r>
              <w:rPr>
                <w:sz w:val="20"/>
              </w:rPr>
              <w:t>INTERNATIONAL AFFAIRS</w:t>
            </w:r>
          </w:p>
        </w:tc>
        <w:tc>
          <w:tcPr>
            <w:tcW w:w="651" w:type="dxa"/>
          </w:tcPr>
          <w:p>
            <w:pPr>
              <w:pStyle w:val="TableParagraph"/>
              <w:ind w:right="198"/>
              <w:jc w:val="right"/>
              <w:rPr>
                <w:sz w:val="20"/>
              </w:rPr>
            </w:pPr>
            <w:r>
              <w:rPr>
                <w:w w:val="100"/>
                <w:sz w:val="20"/>
              </w:rPr>
              <w:t>1</w:t>
            </w:r>
          </w:p>
        </w:tc>
      </w:tr>
    </w:tbl>
    <w:p>
      <w:pPr>
        <w:spacing w:after="0"/>
        <w:jc w:val="right"/>
        <w:rPr>
          <w:sz w:val="20"/>
        </w:rPr>
        <w:sectPr>
          <w:pgSz w:w="12240" w:h="15840"/>
          <w:pgMar w:header="746" w:footer="0" w:top="1320" w:bottom="280" w:left="880" w:right="300"/>
          <w:cols w:num="2" w:equalWidth="0">
            <w:col w:w="5009" w:space="477"/>
            <w:col w:w="5574"/>
          </w:cols>
        </w:sectPr>
      </w:pPr>
    </w:p>
    <w:p>
      <w:pPr>
        <w:pStyle w:val="Heading3"/>
      </w:pPr>
      <w:bookmarkStart w:name="Science Communication" w:id="91"/>
      <w:bookmarkEnd w:id="91"/>
      <w:r>
        <w:rPr/>
      </w:r>
      <w:bookmarkStart w:name="_bookmark45" w:id="92"/>
      <w:bookmarkEnd w:id="92"/>
      <w:r>
        <w:rPr/>
      </w:r>
      <w:r>
        <w:rPr/>
        <w:t>Science Communication</w:t>
      </w:r>
    </w:p>
    <w:p>
      <w:pPr>
        <w:pStyle w:val="BodyText"/>
        <w:spacing w:before="190"/>
      </w:pPr>
      <w:hyperlink r:id="rId82">
        <w:r>
          <w:rPr>
            <w:color w:val="0000FF"/>
            <w:u w:val="single" w:color="0000FF"/>
          </w:rPr>
          <w:t>http://www.graduate.umaryland.edu/scicomm/</w:t>
        </w:r>
      </w:hyperlink>
    </w:p>
    <w:p>
      <w:pPr>
        <w:spacing w:line="439" w:lineRule="auto" w:before="192"/>
        <w:ind w:left="200" w:right="2459" w:firstLine="0"/>
        <w:jc w:val="left"/>
        <w:rPr>
          <w:b/>
          <w:sz w:val="20"/>
        </w:rPr>
      </w:pPr>
      <w:r>
        <w:rPr>
          <w:b/>
          <w:sz w:val="20"/>
        </w:rPr>
        <w:t>Degree Offered </w:t>
      </w:r>
      <w:r>
        <w:rPr>
          <w:sz w:val="20"/>
        </w:rPr>
        <w:t>Postbaccalaureate Certificate </w:t>
      </w:r>
      <w:r>
        <w:rPr>
          <w:b/>
          <w:sz w:val="20"/>
        </w:rPr>
        <w:t>Program Description</w:t>
      </w:r>
    </w:p>
    <w:p>
      <w:pPr>
        <w:pStyle w:val="BodyText"/>
        <w:spacing w:line="249" w:lineRule="auto" w:before="0"/>
        <w:ind w:right="40"/>
      </w:pPr>
      <w:r>
        <w:rPr/>
        <w:t>Students in the Science Communication certificate program </w:t>
      </w:r>
      <w:r>
        <w:rPr>
          <w:spacing w:val="-3"/>
        </w:rPr>
        <w:t>will </w:t>
      </w:r>
      <w:r>
        <w:rPr/>
        <w:t>have the opportunity to strengthen their skills in writing and communication </w:t>
      </w:r>
      <w:r>
        <w:rPr>
          <w:spacing w:val="-4"/>
        </w:rPr>
        <w:t>for </w:t>
      </w:r>
      <w:r>
        <w:rPr/>
        <w:t>academia and the  general public. </w:t>
      </w:r>
      <w:r>
        <w:rPr>
          <w:spacing w:val="-3"/>
        </w:rPr>
        <w:t>In </w:t>
      </w:r>
      <w:r>
        <w:rPr/>
        <w:t>this one-year, 12-credit postbaccalaureate certificate program, students study</w:t>
      </w:r>
      <w:r>
        <w:rPr>
          <w:spacing w:val="-28"/>
        </w:rPr>
        <w:t> </w:t>
      </w:r>
      <w:r>
        <w:rPr/>
        <w:t>topics such as science writing, technical writing skills, writing </w:t>
      </w:r>
      <w:r>
        <w:rPr>
          <w:spacing w:val="-4"/>
        </w:rPr>
        <w:t>for </w:t>
      </w:r>
      <w:r>
        <w:rPr/>
        <w:t>scholarly journals, writing proposals and grants, and writing </w:t>
      </w:r>
      <w:r>
        <w:rPr>
          <w:spacing w:val="-4"/>
        </w:rPr>
        <w:t>for </w:t>
      </w:r>
      <w:r>
        <w:rPr/>
        <w:t>the public. Students learn the principles </w:t>
      </w:r>
      <w:r>
        <w:rPr>
          <w:spacing w:val="-3"/>
        </w:rPr>
        <w:t>of </w:t>
      </w:r>
      <w:r>
        <w:rPr/>
        <w:t>scientific writing and gain exposure to a wide variety of scientific writing genres. Students also learn how to write a journal article editors want to publish and how to use the key principles </w:t>
      </w:r>
      <w:r>
        <w:rPr>
          <w:spacing w:val="-4"/>
        </w:rPr>
        <w:t>for </w:t>
      </w:r>
      <w:r>
        <w:rPr/>
        <w:t>writing, submitting, and revising grants and proposals. The program also provides students </w:t>
      </w:r>
      <w:r>
        <w:rPr>
          <w:spacing w:val="-3"/>
        </w:rPr>
        <w:t>with </w:t>
      </w:r>
      <w:r>
        <w:rPr/>
        <w:t>opportunities to draft pieces </w:t>
      </w:r>
      <w:r>
        <w:rPr>
          <w:spacing w:val="-4"/>
        </w:rPr>
        <w:t>for </w:t>
      </w:r>
      <w:r>
        <w:rPr/>
        <w:t>publication, allowing them to add to their writing portfolio and academic </w:t>
      </w:r>
      <w:r>
        <w:rPr>
          <w:spacing w:val="-3"/>
        </w:rPr>
        <w:t>CV. </w:t>
      </w:r>
      <w:r>
        <w:rPr/>
        <w:t>Each student receives frequent and detailed individual </w:t>
      </w:r>
      <w:r>
        <w:rPr>
          <w:spacing w:val="-3"/>
        </w:rPr>
        <w:t>feedback </w:t>
      </w:r>
      <w:r>
        <w:rPr/>
        <w:t>to improve their writing </w:t>
      </w:r>
      <w:r>
        <w:rPr>
          <w:spacing w:val="-4"/>
        </w:rPr>
        <w:t>over </w:t>
      </w:r>
      <w:r>
        <w:rPr/>
        <w:t>the course </w:t>
      </w:r>
      <w:r>
        <w:rPr>
          <w:spacing w:val="-3"/>
        </w:rPr>
        <w:t>of </w:t>
      </w:r>
      <w:r>
        <w:rPr/>
        <w:t>the</w:t>
      </w:r>
      <w:r>
        <w:rPr>
          <w:spacing w:val="4"/>
        </w:rPr>
        <w:t> </w:t>
      </w:r>
      <w:r>
        <w:rPr/>
        <w:t>program.</w:t>
      </w:r>
    </w:p>
    <w:p>
      <w:pPr>
        <w:pStyle w:val="BodyText"/>
        <w:spacing w:line="249" w:lineRule="auto" w:before="7"/>
      </w:pPr>
      <w:r>
        <w:rPr/>
        <w:t>No specific undergraduate course of study is required or recommended.</w:t>
      </w:r>
    </w:p>
    <w:p>
      <w:pPr>
        <w:pStyle w:val="BodyText"/>
        <w:spacing w:line="249" w:lineRule="auto" w:before="184"/>
        <w:ind w:right="43"/>
      </w:pPr>
      <w:r>
        <w:rPr/>
        <w:t>Science Communication also is a concentration of study within the Master of Science in Health Science (MSHS) program. Credits earned in the stand-alone Science Communication certificate program may be applied toward MSHS degree requirements.</w:t>
      </w:r>
    </w:p>
    <w:p>
      <w:pPr>
        <w:pStyle w:val="Heading6"/>
        <w:spacing w:before="182"/>
      </w:pPr>
      <w:r>
        <w:rPr/>
        <w:t>Certificate Objectives</w:t>
      </w:r>
    </w:p>
    <w:p>
      <w:pPr>
        <w:pStyle w:val="BodyText"/>
        <w:spacing w:line="249" w:lineRule="auto" w:before="192"/>
        <w:ind w:right="38"/>
      </w:pPr>
      <w:r>
        <w:rPr/>
        <w:t>This program is designed to equip students to  communicate effectively with a variety of audiences using different forms and </w:t>
      </w:r>
      <w:r>
        <w:rPr>
          <w:spacing w:val="-3"/>
        </w:rPr>
        <w:t>styles </w:t>
      </w:r>
      <w:r>
        <w:rPr/>
        <w:t>of writing. </w:t>
      </w:r>
      <w:r>
        <w:rPr>
          <w:spacing w:val="-3"/>
        </w:rPr>
        <w:t>By </w:t>
      </w:r>
      <w:r>
        <w:rPr/>
        <w:t>providing students with advanced knowledge and practical training, this program strives to ensure that learning is relevant and applicable to each student’s professional goals. Students learn how to strategically plan, craft, edit, and execute their writing to communicate in an engaging, scientifically informed </w:t>
      </w:r>
      <w:r>
        <w:rPr>
          <w:spacing w:val="-2"/>
        </w:rPr>
        <w:t>manner </w:t>
      </w:r>
      <w:r>
        <w:rPr/>
        <w:t>about health-related topics.</w:t>
      </w:r>
    </w:p>
    <w:p>
      <w:pPr>
        <w:pStyle w:val="Heading6"/>
        <w:spacing w:before="184"/>
      </w:pPr>
      <w:r>
        <w:rPr/>
        <w:t>Learning Outcomes</w:t>
      </w:r>
    </w:p>
    <w:p>
      <w:pPr>
        <w:pStyle w:val="BodyText"/>
        <w:spacing w:before="192"/>
      </w:pPr>
      <w:r>
        <w:rPr/>
        <w:t>Upon completion of this program, students will be able to:</w:t>
      </w:r>
    </w:p>
    <w:p>
      <w:pPr>
        <w:pStyle w:val="ListParagraph"/>
        <w:numPr>
          <w:ilvl w:val="1"/>
          <w:numId w:val="14"/>
        </w:numPr>
        <w:tabs>
          <w:tab w:pos="632" w:val="left" w:leader="none"/>
        </w:tabs>
        <w:spacing w:line="249" w:lineRule="auto" w:before="188" w:after="0"/>
        <w:ind w:left="631" w:right="189" w:hanging="216"/>
        <w:jc w:val="left"/>
        <w:rPr>
          <w:sz w:val="20"/>
        </w:rPr>
      </w:pPr>
      <w:r>
        <w:rPr>
          <w:sz w:val="20"/>
        </w:rPr>
        <w:t>Develop proficiency in technical writing (including proper sentence and paragraph structure, transitions, punctuation, coherence, and</w:t>
      </w:r>
      <w:r>
        <w:rPr>
          <w:spacing w:val="8"/>
          <w:sz w:val="20"/>
        </w:rPr>
        <w:t> </w:t>
      </w:r>
      <w:r>
        <w:rPr>
          <w:sz w:val="20"/>
        </w:rPr>
        <w:t>grammar).</w:t>
      </w:r>
    </w:p>
    <w:p>
      <w:pPr>
        <w:pStyle w:val="ListParagraph"/>
        <w:numPr>
          <w:ilvl w:val="1"/>
          <w:numId w:val="14"/>
        </w:numPr>
        <w:tabs>
          <w:tab w:pos="633" w:val="left" w:leader="none"/>
        </w:tabs>
        <w:spacing w:line="249" w:lineRule="auto" w:before="96" w:after="0"/>
        <w:ind w:left="632" w:right="693" w:hanging="216"/>
        <w:jc w:val="left"/>
        <w:rPr>
          <w:sz w:val="20"/>
        </w:rPr>
      </w:pPr>
      <w:r>
        <w:rPr>
          <w:spacing w:val="-5"/>
          <w:w w:val="100"/>
          <w:sz w:val="20"/>
        </w:rPr>
        <w:br w:type="column"/>
      </w:r>
      <w:r>
        <w:rPr>
          <w:sz w:val="20"/>
        </w:rPr>
        <w:t>Rigorously analyze scientific writing </w:t>
      </w:r>
      <w:r>
        <w:rPr>
          <w:spacing w:val="-3"/>
          <w:sz w:val="20"/>
        </w:rPr>
        <w:t>on </w:t>
      </w:r>
      <w:r>
        <w:rPr>
          <w:sz w:val="20"/>
        </w:rPr>
        <w:t>the sentence and paragraph</w:t>
      </w:r>
      <w:r>
        <w:rPr>
          <w:spacing w:val="-2"/>
          <w:sz w:val="20"/>
        </w:rPr>
        <w:t> </w:t>
      </w:r>
      <w:r>
        <w:rPr>
          <w:sz w:val="20"/>
        </w:rPr>
        <w:t>level.</w:t>
      </w:r>
    </w:p>
    <w:p>
      <w:pPr>
        <w:pStyle w:val="ListParagraph"/>
        <w:numPr>
          <w:ilvl w:val="1"/>
          <w:numId w:val="14"/>
        </w:numPr>
        <w:tabs>
          <w:tab w:pos="633" w:val="left" w:leader="none"/>
        </w:tabs>
        <w:spacing w:line="249" w:lineRule="auto" w:before="179" w:after="0"/>
        <w:ind w:left="632" w:right="792" w:hanging="216"/>
        <w:jc w:val="left"/>
        <w:rPr>
          <w:sz w:val="20"/>
        </w:rPr>
      </w:pPr>
      <w:r>
        <w:rPr>
          <w:sz w:val="20"/>
        </w:rPr>
        <w:t>Describe the form and content </w:t>
      </w:r>
      <w:r>
        <w:rPr>
          <w:spacing w:val="-3"/>
          <w:sz w:val="20"/>
        </w:rPr>
        <w:t>of </w:t>
      </w:r>
      <w:r>
        <w:rPr>
          <w:sz w:val="20"/>
        </w:rPr>
        <w:t>research articles, case studies, meta-analyses, theoretical articles, and </w:t>
      </w:r>
      <w:r>
        <w:rPr>
          <w:spacing w:val="-3"/>
          <w:sz w:val="20"/>
        </w:rPr>
        <w:t>book</w:t>
      </w:r>
      <w:r>
        <w:rPr>
          <w:spacing w:val="1"/>
          <w:sz w:val="20"/>
        </w:rPr>
        <w:t> </w:t>
      </w:r>
      <w:r>
        <w:rPr>
          <w:sz w:val="20"/>
        </w:rPr>
        <w:t>reviews.</w:t>
      </w:r>
    </w:p>
    <w:p>
      <w:pPr>
        <w:pStyle w:val="ListParagraph"/>
        <w:numPr>
          <w:ilvl w:val="1"/>
          <w:numId w:val="14"/>
        </w:numPr>
        <w:tabs>
          <w:tab w:pos="633" w:val="left" w:leader="none"/>
        </w:tabs>
        <w:spacing w:line="249" w:lineRule="auto" w:before="185" w:after="0"/>
        <w:ind w:left="632" w:right="913" w:hanging="216"/>
        <w:jc w:val="left"/>
        <w:rPr>
          <w:sz w:val="20"/>
        </w:rPr>
      </w:pPr>
      <w:r>
        <w:rPr>
          <w:sz w:val="20"/>
        </w:rPr>
        <w:t>State the requirements and expectations </w:t>
      </w:r>
      <w:r>
        <w:rPr>
          <w:spacing w:val="-3"/>
          <w:sz w:val="20"/>
        </w:rPr>
        <w:t>of </w:t>
      </w:r>
      <w:r>
        <w:rPr>
          <w:sz w:val="20"/>
        </w:rPr>
        <w:t>writing and submitting scholarly research</w:t>
      </w:r>
      <w:r>
        <w:rPr>
          <w:spacing w:val="-8"/>
          <w:sz w:val="20"/>
        </w:rPr>
        <w:t> </w:t>
      </w:r>
      <w:r>
        <w:rPr>
          <w:sz w:val="20"/>
        </w:rPr>
        <w:t>articles.</w:t>
      </w:r>
    </w:p>
    <w:p>
      <w:pPr>
        <w:pStyle w:val="ListParagraph"/>
        <w:numPr>
          <w:ilvl w:val="1"/>
          <w:numId w:val="14"/>
        </w:numPr>
        <w:tabs>
          <w:tab w:pos="633" w:val="left" w:leader="none"/>
        </w:tabs>
        <w:spacing w:line="249" w:lineRule="auto" w:before="179" w:after="0"/>
        <w:ind w:left="632" w:right="1231" w:hanging="216"/>
        <w:jc w:val="left"/>
        <w:rPr>
          <w:sz w:val="20"/>
        </w:rPr>
      </w:pPr>
      <w:r>
        <w:rPr>
          <w:sz w:val="20"/>
        </w:rPr>
        <w:t>Apply the principles </w:t>
      </w:r>
      <w:r>
        <w:rPr>
          <w:spacing w:val="-3"/>
          <w:sz w:val="20"/>
        </w:rPr>
        <w:t>of </w:t>
      </w:r>
      <w:r>
        <w:rPr>
          <w:sz w:val="20"/>
        </w:rPr>
        <w:t>planning and writing a research</w:t>
      </w:r>
      <w:r>
        <w:rPr>
          <w:spacing w:val="1"/>
          <w:sz w:val="20"/>
        </w:rPr>
        <w:t> </w:t>
      </w:r>
      <w:r>
        <w:rPr>
          <w:sz w:val="20"/>
        </w:rPr>
        <w:t>paper.</w:t>
      </w:r>
    </w:p>
    <w:p>
      <w:pPr>
        <w:pStyle w:val="ListParagraph"/>
        <w:numPr>
          <w:ilvl w:val="1"/>
          <w:numId w:val="14"/>
        </w:numPr>
        <w:tabs>
          <w:tab w:pos="633" w:val="left" w:leader="none"/>
        </w:tabs>
        <w:spacing w:line="249" w:lineRule="auto" w:before="184" w:after="0"/>
        <w:ind w:left="632" w:right="940" w:hanging="216"/>
        <w:jc w:val="left"/>
        <w:rPr>
          <w:sz w:val="20"/>
        </w:rPr>
      </w:pPr>
      <w:r>
        <w:rPr>
          <w:sz w:val="20"/>
        </w:rPr>
        <w:t>Summarize research findings in a clear, engaging, and concise</w:t>
      </w:r>
      <w:r>
        <w:rPr>
          <w:spacing w:val="-5"/>
          <w:sz w:val="20"/>
        </w:rPr>
        <w:t> </w:t>
      </w:r>
      <w:r>
        <w:rPr>
          <w:sz w:val="20"/>
        </w:rPr>
        <w:t>manner.</w:t>
      </w:r>
    </w:p>
    <w:p>
      <w:pPr>
        <w:pStyle w:val="ListParagraph"/>
        <w:numPr>
          <w:ilvl w:val="1"/>
          <w:numId w:val="14"/>
        </w:numPr>
        <w:tabs>
          <w:tab w:pos="633" w:val="left" w:leader="none"/>
        </w:tabs>
        <w:spacing w:line="249" w:lineRule="auto" w:before="179" w:after="0"/>
        <w:ind w:left="632" w:right="928" w:hanging="216"/>
        <w:jc w:val="left"/>
        <w:rPr>
          <w:sz w:val="20"/>
        </w:rPr>
      </w:pPr>
      <w:r>
        <w:rPr>
          <w:sz w:val="20"/>
        </w:rPr>
        <w:t>Describe the purpose of grant writing in academic and nonacademic</w:t>
      </w:r>
      <w:r>
        <w:rPr>
          <w:spacing w:val="-5"/>
          <w:sz w:val="20"/>
        </w:rPr>
        <w:t> </w:t>
      </w:r>
      <w:r>
        <w:rPr>
          <w:sz w:val="20"/>
        </w:rPr>
        <w:t>careers.</w:t>
      </w:r>
    </w:p>
    <w:p>
      <w:pPr>
        <w:pStyle w:val="ListParagraph"/>
        <w:numPr>
          <w:ilvl w:val="1"/>
          <w:numId w:val="14"/>
        </w:numPr>
        <w:tabs>
          <w:tab w:pos="633" w:val="left" w:leader="none"/>
        </w:tabs>
        <w:spacing w:line="249" w:lineRule="auto" w:before="184" w:after="0"/>
        <w:ind w:left="632" w:right="1393" w:hanging="216"/>
        <w:jc w:val="left"/>
        <w:rPr>
          <w:sz w:val="20"/>
        </w:rPr>
      </w:pPr>
      <w:r>
        <w:rPr>
          <w:sz w:val="20"/>
        </w:rPr>
        <w:t>Critique the essential elements </w:t>
      </w:r>
      <w:r>
        <w:rPr>
          <w:spacing w:val="-3"/>
          <w:sz w:val="20"/>
        </w:rPr>
        <w:t>of </w:t>
      </w:r>
      <w:r>
        <w:rPr>
          <w:sz w:val="20"/>
        </w:rPr>
        <w:t>grants and proposals.</w:t>
      </w:r>
    </w:p>
    <w:p>
      <w:pPr>
        <w:pStyle w:val="ListParagraph"/>
        <w:numPr>
          <w:ilvl w:val="1"/>
          <w:numId w:val="14"/>
        </w:numPr>
        <w:tabs>
          <w:tab w:pos="633" w:val="left" w:leader="none"/>
        </w:tabs>
        <w:spacing w:line="249" w:lineRule="auto" w:before="179" w:after="0"/>
        <w:ind w:left="632" w:right="759" w:hanging="216"/>
        <w:jc w:val="left"/>
        <w:rPr>
          <w:sz w:val="20"/>
        </w:rPr>
      </w:pPr>
      <w:r>
        <w:rPr>
          <w:sz w:val="20"/>
        </w:rPr>
        <w:t>Draft a grant </w:t>
      </w:r>
      <w:r>
        <w:rPr>
          <w:spacing w:val="-3"/>
          <w:sz w:val="20"/>
        </w:rPr>
        <w:t>or </w:t>
      </w:r>
      <w:r>
        <w:rPr>
          <w:sz w:val="20"/>
        </w:rPr>
        <w:t>proposal </w:t>
      </w:r>
      <w:r>
        <w:rPr>
          <w:spacing w:val="-3"/>
          <w:sz w:val="20"/>
        </w:rPr>
        <w:t>on </w:t>
      </w:r>
      <w:r>
        <w:rPr>
          <w:sz w:val="20"/>
        </w:rPr>
        <w:t>a health-related topic </w:t>
      </w:r>
      <w:r>
        <w:rPr>
          <w:spacing w:val="-3"/>
          <w:sz w:val="20"/>
        </w:rPr>
        <w:t>of </w:t>
      </w:r>
      <w:r>
        <w:rPr>
          <w:sz w:val="20"/>
        </w:rPr>
        <w:t>interest.</w:t>
      </w:r>
    </w:p>
    <w:p>
      <w:pPr>
        <w:pStyle w:val="ListParagraph"/>
        <w:numPr>
          <w:ilvl w:val="1"/>
          <w:numId w:val="14"/>
        </w:numPr>
        <w:tabs>
          <w:tab w:pos="633" w:val="left" w:leader="none"/>
        </w:tabs>
        <w:spacing w:line="249" w:lineRule="auto" w:before="184" w:after="0"/>
        <w:ind w:left="632" w:right="745" w:hanging="216"/>
        <w:jc w:val="left"/>
        <w:rPr>
          <w:sz w:val="20"/>
        </w:rPr>
      </w:pPr>
      <w:r>
        <w:rPr>
          <w:sz w:val="20"/>
        </w:rPr>
        <w:t>Demonstrate basic proficiency in various writing forms and techniques </w:t>
      </w:r>
      <w:r>
        <w:rPr>
          <w:spacing w:val="-4"/>
          <w:sz w:val="20"/>
        </w:rPr>
        <w:t>for </w:t>
      </w:r>
      <w:r>
        <w:rPr>
          <w:sz w:val="20"/>
        </w:rPr>
        <w:t>communicating effectively with general, nonacademic</w:t>
      </w:r>
      <w:r>
        <w:rPr>
          <w:spacing w:val="-1"/>
          <w:sz w:val="20"/>
        </w:rPr>
        <w:t> </w:t>
      </w:r>
      <w:r>
        <w:rPr>
          <w:sz w:val="20"/>
        </w:rPr>
        <w:t>audiences.</w:t>
      </w:r>
    </w:p>
    <w:p>
      <w:pPr>
        <w:pStyle w:val="ListParagraph"/>
        <w:numPr>
          <w:ilvl w:val="1"/>
          <w:numId w:val="14"/>
        </w:numPr>
        <w:tabs>
          <w:tab w:pos="633" w:val="left" w:leader="none"/>
        </w:tabs>
        <w:spacing w:line="249" w:lineRule="auto" w:before="179" w:after="0"/>
        <w:ind w:left="632" w:right="1163" w:hanging="216"/>
        <w:jc w:val="left"/>
        <w:rPr>
          <w:sz w:val="20"/>
        </w:rPr>
      </w:pPr>
      <w:r>
        <w:rPr>
          <w:sz w:val="20"/>
        </w:rPr>
        <w:t>Identify and avoid common mistakes academic writers make </w:t>
      </w:r>
      <w:r>
        <w:rPr>
          <w:spacing w:val="-3"/>
          <w:sz w:val="20"/>
        </w:rPr>
        <w:t>when </w:t>
      </w:r>
      <w:r>
        <w:rPr>
          <w:sz w:val="20"/>
        </w:rPr>
        <w:t>writing </w:t>
      </w:r>
      <w:r>
        <w:rPr>
          <w:spacing w:val="-4"/>
          <w:sz w:val="20"/>
        </w:rPr>
        <w:t>for </w:t>
      </w:r>
      <w:r>
        <w:rPr>
          <w:sz w:val="20"/>
        </w:rPr>
        <w:t>the</w:t>
      </w:r>
      <w:r>
        <w:rPr>
          <w:spacing w:val="10"/>
          <w:sz w:val="20"/>
        </w:rPr>
        <w:t> </w:t>
      </w:r>
      <w:r>
        <w:rPr>
          <w:sz w:val="20"/>
        </w:rPr>
        <w:t>public.</w:t>
      </w:r>
    </w:p>
    <w:p>
      <w:pPr>
        <w:pStyle w:val="ListParagraph"/>
        <w:numPr>
          <w:ilvl w:val="1"/>
          <w:numId w:val="14"/>
        </w:numPr>
        <w:tabs>
          <w:tab w:pos="633" w:val="left" w:leader="none"/>
        </w:tabs>
        <w:spacing w:line="249" w:lineRule="auto" w:before="184" w:after="0"/>
        <w:ind w:left="632" w:right="737" w:hanging="216"/>
        <w:jc w:val="left"/>
        <w:rPr>
          <w:sz w:val="20"/>
        </w:rPr>
      </w:pPr>
      <w:r>
        <w:rPr>
          <w:sz w:val="20"/>
        </w:rPr>
        <w:t>Produce a writing product </w:t>
      </w:r>
      <w:r>
        <w:rPr>
          <w:spacing w:val="-4"/>
          <w:sz w:val="20"/>
        </w:rPr>
        <w:t>for </w:t>
      </w:r>
      <w:r>
        <w:rPr>
          <w:sz w:val="20"/>
        </w:rPr>
        <w:t>the general public that is ready to submit </w:t>
      </w:r>
      <w:r>
        <w:rPr>
          <w:spacing w:val="-4"/>
          <w:sz w:val="20"/>
        </w:rPr>
        <w:t>for</w:t>
      </w:r>
      <w:r>
        <w:rPr>
          <w:spacing w:val="-2"/>
          <w:sz w:val="20"/>
        </w:rPr>
        <w:t> </w:t>
      </w:r>
      <w:r>
        <w:rPr>
          <w:sz w:val="20"/>
        </w:rPr>
        <w:t>publication.</w:t>
      </w:r>
    </w:p>
    <w:p>
      <w:pPr>
        <w:pStyle w:val="Heading6"/>
        <w:spacing w:before="179"/>
      </w:pPr>
      <w:r>
        <w:rPr/>
        <w:t>Program Admission</w:t>
      </w:r>
    </w:p>
    <w:p>
      <w:pPr>
        <w:pStyle w:val="BodyText"/>
        <w:spacing w:line="249" w:lineRule="auto" w:before="193"/>
        <w:ind w:right="645"/>
      </w:pPr>
      <w:r>
        <w:rPr/>
        <w:t>General application requirements for admission to postbaccalaureate certificate programs are outlined in the Admissions section of this catalog. Admission to this online certificate program is selective. A U.S. bachelor’s degree or its equivalent from a non-U.S. educational institution is required. No specific undergraduate course of study is required or recommended.</w:t>
      </w:r>
    </w:p>
    <w:p>
      <w:pPr>
        <w:pStyle w:val="Heading6"/>
        <w:spacing w:before="182"/>
      </w:pPr>
      <w:r>
        <w:rPr/>
        <w:t>Degree Requirements</w:t>
      </w:r>
    </w:p>
    <w:p>
      <w:pPr>
        <w:pStyle w:val="BodyText"/>
        <w:spacing w:line="249" w:lineRule="auto" w:before="193"/>
        <w:ind w:right="617"/>
      </w:pPr>
      <w:r>
        <w:rPr/>
        <w:t>Students must maintain a minimum cumulative grade-point average </w:t>
      </w:r>
      <w:r>
        <w:rPr>
          <w:spacing w:val="-3"/>
        </w:rPr>
        <w:t>of </w:t>
      </w:r>
      <w:r>
        <w:rPr/>
        <w:t>3.0 to remain in </w:t>
      </w:r>
      <w:r>
        <w:rPr>
          <w:spacing w:val="-3"/>
        </w:rPr>
        <w:t>good </w:t>
      </w:r>
      <w:r>
        <w:rPr/>
        <w:t>standing in the program. A complete description </w:t>
      </w:r>
      <w:r>
        <w:rPr>
          <w:spacing w:val="-3"/>
        </w:rPr>
        <w:t>of </w:t>
      </w:r>
      <w:r>
        <w:rPr/>
        <w:t>progression guidelines and degree requirements is provided in the Degree Requirements section </w:t>
      </w:r>
      <w:r>
        <w:rPr>
          <w:spacing w:val="-3"/>
        </w:rPr>
        <w:t>of </w:t>
      </w:r>
      <w:r>
        <w:rPr/>
        <w:t>this catalog. Students must successfully complete a minimum </w:t>
      </w:r>
      <w:r>
        <w:rPr>
          <w:spacing w:val="-3"/>
        </w:rPr>
        <w:t>of </w:t>
      </w:r>
      <w:r>
        <w:rPr/>
        <w:t>12 credit hours to earn the</w:t>
      </w:r>
      <w:r>
        <w:rPr>
          <w:spacing w:val="-5"/>
        </w:rPr>
        <w:t> </w:t>
      </w:r>
      <w:r>
        <w:rPr/>
        <w:t>certificate.</w:t>
      </w:r>
    </w:p>
    <w:p>
      <w:pPr>
        <w:spacing w:after="0" w:line="249" w:lineRule="auto"/>
        <w:sectPr>
          <w:pgSz w:w="12240" w:h="15840"/>
          <w:pgMar w:header="746" w:footer="0" w:top="1320" w:bottom="280" w:left="880" w:right="300"/>
          <w:cols w:num="2" w:equalWidth="0">
            <w:col w:w="5006" w:space="479"/>
            <w:col w:w="5575"/>
          </w:cols>
        </w:sectPr>
      </w:pPr>
    </w:p>
    <w:p>
      <w:pPr>
        <w:pStyle w:val="Heading5"/>
        <w:spacing w:before="90" w:after="16"/>
      </w:pPr>
      <w:r>
        <w:rPr/>
        <w:t>Required 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2967"/>
        <w:gridCol w:w="749"/>
      </w:tblGrid>
      <w:tr>
        <w:trPr>
          <w:trHeight w:val="471" w:hRule="atLeast"/>
        </w:trPr>
        <w:tc>
          <w:tcPr>
            <w:tcW w:w="1234" w:type="dxa"/>
          </w:tcPr>
          <w:p>
            <w:pPr>
              <w:pStyle w:val="TableParagraph"/>
              <w:spacing w:line="223" w:lineRule="exact" w:before="0"/>
              <w:ind w:left="180" w:right="229"/>
              <w:jc w:val="center"/>
              <w:rPr>
                <w:sz w:val="20"/>
              </w:rPr>
            </w:pPr>
            <w:r>
              <w:rPr>
                <w:sz w:val="20"/>
              </w:rPr>
              <w:t>MHS 603</w:t>
            </w:r>
          </w:p>
        </w:tc>
        <w:tc>
          <w:tcPr>
            <w:tcW w:w="2967" w:type="dxa"/>
          </w:tcPr>
          <w:p>
            <w:pPr>
              <w:pStyle w:val="TableParagraph"/>
              <w:spacing w:line="223" w:lineRule="exact" w:before="0"/>
              <w:ind w:left="252"/>
              <w:rPr>
                <w:sz w:val="20"/>
              </w:rPr>
            </w:pPr>
            <w:r>
              <w:rPr>
                <w:sz w:val="20"/>
              </w:rPr>
              <w:t>SCIENCE WRITING</w:t>
            </w:r>
          </w:p>
          <w:p>
            <w:pPr>
              <w:pStyle w:val="TableParagraph"/>
              <w:spacing w:line="219" w:lineRule="exact" w:before="10"/>
              <w:ind w:left="252"/>
              <w:rPr>
                <w:sz w:val="20"/>
              </w:rPr>
            </w:pPr>
            <w:r>
              <w:rPr>
                <w:sz w:val="20"/>
              </w:rPr>
              <w:t>PRINCIPLES</w:t>
            </w:r>
          </w:p>
        </w:tc>
        <w:tc>
          <w:tcPr>
            <w:tcW w:w="749" w:type="dxa"/>
          </w:tcPr>
          <w:p>
            <w:pPr>
              <w:pStyle w:val="TableParagraph"/>
              <w:spacing w:line="223" w:lineRule="exact" w:before="0"/>
              <w:ind w:right="197"/>
              <w:jc w:val="right"/>
              <w:rPr>
                <w:sz w:val="20"/>
              </w:rPr>
            </w:pPr>
            <w:r>
              <w:rPr>
                <w:w w:val="100"/>
                <w:sz w:val="20"/>
              </w:rPr>
              <w:t>3</w:t>
            </w:r>
          </w:p>
        </w:tc>
      </w:tr>
      <w:tr>
        <w:trPr>
          <w:trHeight w:val="480" w:hRule="atLeast"/>
        </w:trPr>
        <w:tc>
          <w:tcPr>
            <w:tcW w:w="1234" w:type="dxa"/>
          </w:tcPr>
          <w:p>
            <w:pPr>
              <w:pStyle w:val="TableParagraph"/>
              <w:ind w:left="180" w:right="229"/>
              <w:jc w:val="center"/>
              <w:rPr>
                <w:sz w:val="20"/>
              </w:rPr>
            </w:pPr>
            <w:r>
              <w:rPr>
                <w:sz w:val="20"/>
              </w:rPr>
              <w:t>MHS 607</w:t>
            </w:r>
          </w:p>
        </w:tc>
        <w:tc>
          <w:tcPr>
            <w:tcW w:w="2967" w:type="dxa"/>
          </w:tcPr>
          <w:p>
            <w:pPr>
              <w:pStyle w:val="TableParagraph"/>
              <w:ind w:left="252"/>
              <w:rPr>
                <w:sz w:val="20"/>
              </w:rPr>
            </w:pPr>
            <w:r>
              <w:rPr>
                <w:sz w:val="20"/>
              </w:rPr>
              <w:t>WRITING FOR</w:t>
            </w:r>
          </w:p>
          <w:p>
            <w:pPr>
              <w:pStyle w:val="TableParagraph"/>
              <w:spacing w:line="219" w:lineRule="exact" w:before="10"/>
              <w:ind w:left="252"/>
              <w:rPr>
                <w:sz w:val="20"/>
              </w:rPr>
            </w:pPr>
            <w:r>
              <w:rPr>
                <w:sz w:val="20"/>
              </w:rPr>
              <w:t>SCHOLARLY JOURNALS</w:t>
            </w:r>
          </w:p>
        </w:tc>
        <w:tc>
          <w:tcPr>
            <w:tcW w:w="749" w:type="dxa"/>
          </w:tcPr>
          <w:p>
            <w:pPr>
              <w:pStyle w:val="TableParagraph"/>
              <w:ind w:right="197"/>
              <w:jc w:val="right"/>
              <w:rPr>
                <w:sz w:val="20"/>
              </w:rPr>
            </w:pPr>
            <w:r>
              <w:rPr>
                <w:w w:val="100"/>
                <w:sz w:val="20"/>
              </w:rPr>
              <w:t>3</w:t>
            </w:r>
          </w:p>
        </w:tc>
      </w:tr>
      <w:tr>
        <w:trPr>
          <w:trHeight w:val="480" w:hRule="atLeast"/>
        </w:trPr>
        <w:tc>
          <w:tcPr>
            <w:tcW w:w="1234" w:type="dxa"/>
          </w:tcPr>
          <w:p>
            <w:pPr>
              <w:pStyle w:val="TableParagraph"/>
              <w:ind w:left="180" w:right="229"/>
              <w:jc w:val="center"/>
              <w:rPr>
                <w:sz w:val="20"/>
              </w:rPr>
            </w:pPr>
            <w:r>
              <w:rPr>
                <w:sz w:val="20"/>
              </w:rPr>
              <w:t>MHS 627</w:t>
            </w:r>
          </w:p>
        </w:tc>
        <w:tc>
          <w:tcPr>
            <w:tcW w:w="2967" w:type="dxa"/>
          </w:tcPr>
          <w:p>
            <w:pPr>
              <w:pStyle w:val="TableParagraph"/>
              <w:ind w:left="252"/>
              <w:rPr>
                <w:sz w:val="20"/>
              </w:rPr>
            </w:pPr>
            <w:r>
              <w:rPr>
                <w:sz w:val="20"/>
              </w:rPr>
              <w:t>WRITING FOR THE</w:t>
            </w:r>
          </w:p>
          <w:p>
            <w:pPr>
              <w:pStyle w:val="TableParagraph"/>
              <w:spacing w:line="219" w:lineRule="exact" w:before="10"/>
              <w:ind w:left="252"/>
              <w:rPr>
                <w:sz w:val="20"/>
              </w:rPr>
            </w:pPr>
            <w:r>
              <w:rPr>
                <w:sz w:val="20"/>
              </w:rPr>
              <w:t>PUBLIC</w:t>
            </w:r>
          </w:p>
        </w:tc>
        <w:tc>
          <w:tcPr>
            <w:tcW w:w="749" w:type="dxa"/>
          </w:tcPr>
          <w:p>
            <w:pPr>
              <w:pStyle w:val="TableParagraph"/>
              <w:ind w:right="197"/>
              <w:jc w:val="right"/>
              <w:rPr>
                <w:sz w:val="20"/>
              </w:rPr>
            </w:pPr>
            <w:r>
              <w:rPr>
                <w:w w:val="100"/>
                <w:sz w:val="20"/>
              </w:rPr>
              <w:t>3</w:t>
            </w:r>
          </w:p>
        </w:tc>
      </w:tr>
      <w:tr>
        <w:trPr>
          <w:trHeight w:val="471" w:hRule="atLeast"/>
        </w:trPr>
        <w:tc>
          <w:tcPr>
            <w:tcW w:w="1234" w:type="dxa"/>
          </w:tcPr>
          <w:p>
            <w:pPr>
              <w:pStyle w:val="TableParagraph"/>
              <w:ind w:left="180" w:right="229"/>
              <w:jc w:val="center"/>
              <w:rPr>
                <w:sz w:val="20"/>
              </w:rPr>
            </w:pPr>
            <w:r>
              <w:rPr>
                <w:sz w:val="20"/>
              </w:rPr>
              <w:t>MHS 637</w:t>
            </w:r>
          </w:p>
        </w:tc>
        <w:tc>
          <w:tcPr>
            <w:tcW w:w="2967" w:type="dxa"/>
          </w:tcPr>
          <w:p>
            <w:pPr>
              <w:pStyle w:val="TableParagraph"/>
              <w:ind w:left="252"/>
              <w:rPr>
                <w:sz w:val="20"/>
              </w:rPr>
            </w:pPr>
            <w:r>
              <w:rPr>
                <w:sz w:val="20"/>
              </w:rPr>
              <w:t>WRITING PROPOSALS</w:t>
            </w:r>
          </w:p>
          <w:p>
            <w:pPr>
              <w:pStyle w:val="TableParagraph"/>
              <w:spacing w:line="210" w:lineRule="exact" w:before="10"/>
              <w:ind w:left="252"/>
              <w:rPr>
                <w:sz w:val="20"/>
              </w:rPr>
            </w:pPr>
            <w:r>
              <w:rPr>
                <w:sz w:val="20"/>
              </w:rPr>
              <w:t>AND GRANTS</w:t>
            </w:r>
          </w:p>
        </w:tc>
        <w:tc>
          <w:tcPr>
            <w:tcW w:w="749" w:type="dxa"/>
          </w:tcPr>
          <w:p>
            <w:pPr>
              <w:pStyle w:val="TableParagraph"/>
              <w:ind w:right="197"/>
              <w:jc w:val="right"/>
              <w:rPr>
                <w:sz w:val="20"/>
              </w:rPr>
            </w:pPr>
            <w:r>
              <w:rPr>
                <w:w w:val="100"/>
                <w:sz w:val="20"/>
              </w:rPr>
              <w:t>3</w:t>
            </w:r>
          </w:p>
        </w:tc>
      </w:tr>
    </w:tbl>
    <w:p>
      <w:pPr>
        <w:spacing w:after="0"/>
        <w:jc w:val="right"/>
        <w:rPr>
          <w:sz w:val="20"/>
        </w:rPr>
        <w:sectPr>
          <w:pgSz w:w="12240" w:h="15840"/>
          <w:pgMar w:header="746" w:footer="0" w:top="1320" w:bottom="280" w:left="880" w:right="300"/>
        </w:sectPr>
      </w:pPr>
    </w:p>
    <w:p>
      <w:pPr>
        <w:pStyle w:val="Heading3"/>
      </w:pPr>
      <w:bookmarkStart w:name="Social Work" w:id="93"/>
      <w:bookmarkEnd w:id="93"/>
      <w:r>
        <w:rPr/>
      </w:r>
      <w:bookmarkStart w:name="_bookmark46" w:id="94"/>
      <w:bookmarkEnd w:id="94"/>
      <w:r>
        <w:rPr/>
      </w:r>
      <w:r>
        <w:rPr/>
        <w:t>Social Work</w:t>
      </w:r>
    </w:p>
    <w:p>
      <w:pPr>
        <w:pStyle w:val="BodyText"/>
        <w:spacing w:before="190"/>
      </w:pPr>
      <w:hyperlink r:id="rId83">
        <w:r>
          <w:rPr>
            <w:color w:val="0000FF"/>
            <w:u w:val="single" w:color="0000FF"/>
          </w:rPr>
          <w:t>http://www.ssw.umaryland.edu/phd/</w:t>
        </w:r>
      </w:hyperlink>
    </w:p>
    <w:p>
      <w:pPr>
        <w:pStyle w:val="Heading6"/>
        <w:spacing w:before="192"/>
      </w:pPr>
      <w:r>
        <w:rPr/>
        <w:t>Degree Offered</w:t>
      </w:r>
    </w:p>
    <w:p>
      <w:pPr>
        <w:pStyle w:val="BodyText"/>
        <w:spacing w:before="188"/>
      </w:pPr>
      <w:r>
        <w:rPr/>
        <w:t>PhD</w:t>
      </w:r>
    </w:p>
    <w:p>
      <w:pPr>
        <w:pStyle w:val="Heading6"/>
        <w:spacing w:before="192"/>
      </w:pPr>
      <w:r>
        <w:rPr/>
        <w:t>Program Description</w:t>
      </w:r>
    </w:p>
    <w:p>
      <w:pPr>
        <w:pStyle w:val="BodyText"/>
        <w:spacing w:line="249" w:lineRule="auto" w:before="188"/>
        <w:ind w:right="309"/>
      </w:pPr>
      <w:r>
        <w:rPr/>
        <w:t>The School of Social Work’s Doctor of Philosophy program is designed to prepare graduates to conduct interdisciplinary research and become exemplary social work scholars and educators.</w:t>
      </w:r>
    </w:p>
    <w:p>
      <w:pPr>
        <w:pStyle w:val="Heading6"/>
        <w:spacing w:before="185"/>
      </w:pPr>
      <w:r>
        <w:rPr/>
        <w:t>Program Features</w:t>
      </w:r>
    </w:p>
    <w:p>
      <w:pPr>
        <w:pStyle w:val="ListParagraph"/>
        <w:numPr>
          <w:ilvl w:val="1"/>
          <w:numId w:val="14"/>
        </w:numPr>
        <w:tabs>
          <w:tab w:pos="632" w:val="left" w:leader="none"/>
        </w:tabs>
        <w:spacing w:line="240" w:lineRule="auto" w:before="188" w:after="0"/>
        <w:ind w:left="631" w:right="0" w:hanging="216"/>
        <w:jc w:val="left"/>
        <w:rPr>
          <w:sz w:val="20"/>
        </w:rPr>
      </w:pPr>
      <w:r>
        <w:rPr>
          <w:sz w:val="20"/>
        </w:rPr>
        <w:t>Highly competitive, nationally renowned</w:t>
      </w:r>
      <w:r>
        <w:rPr>
          <w:spacing w:val="-16"/>
          <w:sz w:val="20"/>
        </w:rPr>
        <w:t> </w:t>
      </w:r>
      <w:r>
        <w:rPr>
          <w:sz w:val="20"/>
        </w:rPr>
        <w:t>program</w:t>
      </w:r>
    </w:p>
    <w:p>
      <w:pPr>
        <w:pStyle w:val="ListParagraph"/>
        <w:numPr>
          <w:ilvl w:val="1"/>
          <w:numId w:val="14"/>
        </w:numPr>
        <w:tabs>
          <w:tab w:pos="632" w:val="left" w:leader="none"/>
        </w:tabs>
        <w:spacing w:line="240" w:lineRule="auto" w:before="192" w:after="0"/>
        <w:ind w:left="631" w:right="0" w:hanging="216"/>
        <w:jc w:val="left"/>
        <w:rPr>
          <w:sz w:val="20"/>
        </w:rPr>
      </w:pPr>
      <w:r>
        <w:rPr>
          <w:sz w:val="20"/>
        </w:rPr>
        <w:t>Small class</w:t>
      </w:r>
      <w:r>
        <w:rPr>
          <w:spacing w:val="4"/>
          <w:sz w:val="20"/>
        </w:rPr>
        <w:t> </w:t>
      </w:r>
      <w:r>
        <w:rPr>
          <w:sz w:val="20"/>
        </w:rPr>
        <w:t>sizes</w:t>
      </w:r>
    </w:p>
    <w:p>
      <w:pPr>
        <w:pStyle w:val="ListParagraph"/>
        <w:numPr>
          <w:ilvl w:val="1"/>
          <w:numId w:val="14"/>
        </w:numPr>
        <w:tabs>
          <w:tab w:pos="632" w:val="left" w:leader="none"/>
        </w:tabs>
        <w:spacing w:line="249" w:lineRule="auto" w:before="188" w:after="0"/>
        <w:ind w:left="632" w:right="38" w:hanging="217"/>
        <w:jc w:val="left"/>
        <w:rPr>
          <w:sz w:val="20"/>
        </w:rPr>
      </w:pPr>
      <w:r>
        <w:rPr>
          <w:sz w:val="20"/>
        </w:rPr>
        <w:t>Individualized, one-on-one advising from dissertation chairs</w:t>
      </w:r>
    </w:p>
    <w:p>
      <w:pPr>
        <w:pStyle w:val="ListParagraph"/>
        <w:numPr>
          <w:ilvl w:val="1"/>
          <w:numId w:val="14"/>
        </w:numPr>
        <w:tabs>
          <w:tab w:pos="632" w:val="left" w:leader="none"/>
        </w:tabs>
        <w:spacing w:line="240" w:lineRule="auto" w:before="184" w:after="0"/>
        <w:ind w:left="631" w:right="0" w:hanging="216"/>
        <w:jc w:val="left"/>
        <w:rPr>
          <w:sz w:val="20"/>
        </w:rPr>
      </w:pPr>
      <w:r>
        <w:rPr>
          <w:sz w:val="20"/>
        </w:rPr>
        <w:t>Rigorous curriculum</w:t>
      </w:r>
    </w:p>
    <w:p>
      <w:pPr>
        <w:pStyle w:val="ListParagraph"/>
        <w:numPr>
          <w:ilvl w:val="1"/>
          <w:numId w:val="14"/>
        </w:numPr>
        <w:tabs>
          <w:tab w:pos="632" w:val="left" w:leader="none"/>
        </w:tabs>
        <w:spacing w:line="249" w:lineRule="auto" w:before="187" w:after="0"/>
        <w:ind w:left="631" w:right="438" w:hanging="216"/>
        <w:jc w:val="left"/>
        <w:rPr>
          <w:sz w:val="20"/>
        </w:rPr>
      </w:pPr>
      <w:r>
        <w:rPr>
          <w:sz w:val="20"/>
        </w:rPr>
        <w:t>Educational environment conducive to academic success</w:t>
      </w:r>
    </w:p>
    <w:p>
      <w:pPr>
        <w:pStyle w:val="ListParagraph"/>
        <w:numPr>
          <w:ilvl w:val="1"/>
          <w:numId w:val="14"/>
        </w:numPr>
        <w:tabs>
          <w:tab w:pos="632" w:val="left" w:leader="none"/>
        </w:tabs>
        <w:spacing w:line="240" w:lineRule="auto" w:before="184" w:after="0"/>
        <w:ind w:left="631" w:right="0" w:hanging="216"/>
        <w:jc w:val="left"/>
        <w:rPr>
          <w:sz w:val="20"/>
        </w:rPr>
      </w:pPr>
      <w:r>
        <w:rPr>
          <w:sz w:val="20"/>
        </w:rPr>
        <w:t>Integrative approach to research</w:t>
      </w:r>
      <w:r>
        <w:rPr>
          <w:spacing w:val="-7"/>
          <w:sz w:val="20"/>
        </w:rPr>
        <w:t> </w:t>
      </w:r>
      <w:r>
        <w:rPr>
          <w:sz w:val="20"/>
        </w:rPr>
        <w:t>applications</w:t>
      </w:r>
    </w:p>
    <w:p>
      <w:pPr>
        <w:pStyle w:val="ListParagraph"/>
        <w:numPr>
          <w:ilvl w:val="1"/>
          <w:numId w:val="14"/>
        </w:numPr>
        <w:tabs>
          <w:tab w:pos="632" w:val="left" w:leader="none"/>
        </w:tabs>
        <w:spacing w:line="249" w:lineRule="auto" w:before="187" w:after="0"/>
        <w:ind w:left="631" w:right="139" w:hanging="216"/>
        <w:jc w:val="left"/>
        <w:rPr>
          <w:sz w:val="20"/>
        </w:rPr>
      </w:pPr>
      <w:r>
        <w:rPr>
          <w:sz w:val="20"/>
        </w:rPr>
        <w:t>All full-time students are supported </w:t>
      </w:r>
      <w:r>
        <w:rPr>
          <w:spacing w:val="-3"/>
          <w:sz w:val="20"/>
        </w:rPr>
        <w:t>with </w:t>
      </w:r>
      <w:r>
        <w:rPr>
          <w:sz w:val="20"/>
        </w:rPr>
        <w:t>graduate research assistantships that provide a stipend, tuition remission, and health</w:t>
      </w:r>
      <w:r>
        <w:rPr>
          <w:spacing w:val="-6"/>
          <w:sz w:val="20"/>
        </w:rPr>
        <w:t> </w:t>
      </w:r>
      <w:r>
        <w:rPr>
          <w:sz w:val="20"/>
        </w:rPr>
        <w:t>insurance</w:t>
      </w:r>
    </w:p>
    <w:p>
      <w:pPr>
        <w:pStyle w:val="ListParagraph"/>
        <w:numPr>
          <w:ilvl w:val="1"/>
          <w:numId w:val="14"/>
        </w:numPr>
        <w:tabs>
          <w:tab w:pos="632" w:val="left" w:leader="none"/>
        </w:tabs>
        <w:spacing w:line="240" w:lineRule="auto" w:before="185" w:after="0"/>
        <w:ind w:left="631" w:right="0" w:hanging="216"/>
        <w:jc w:val="left"/>
        <w:rPr>
          <w:sz w:val="20"/>
        </w:rPr>
      </w:pPr>
      <w:r>
        <w:rPr>
          <w:sz w:val="20"/>
        </w:rPr>
        <w:t>Numerous campus resources and</w:t>
      </w:r>
      <w:r>
        <w:rPr>
          <w:spacing w:val="-10"/>
          <w:sz w:val="20"/>
        </w:rPr>
        <w:t> </w:t>
      </w:r>
      <w:r>
        <w:rPr>
          <w:sz w:val="20"/>
        </w:rPr>
        <w:t>amenities</w:t>
      </w:r>
    </w:p>
    <w:p>
      <w:pPr>
        <w:pStyle w:val="Heading6"/>
        <w:spacing w:before="188"/>
        <w:ind w:left="199"/>
      </w:pPr>
      <w:r>
        <w:rPr/>
        <w:t>Program Admission</w:t>
      </w:r>
    </w:p>
    <w:p>
      <w:pPr>
        <w:pStyle w:val="BodyText"/>
        <w:spacing w:line="249" w:lineRule="auto" w:before="192"/>
        <w:ind w:left="199" w:right="248"/>
      </w:pPr>
      <w:r>
        <w:rPr/>
        <w:t>General application requirements for admission are outlined in the Admissions section of this catalog. To be considered for admission to the PhD Program in Social Work, applicants must have or be in the process of completing an MSW or equivalent degree and supply Graduate Records Examinations scores that are no more than 5 years old.</w:t>
      </w:r>
    </w:p>
    <w:p>
      <w:pPr>
        <w:pStyle w:val="BodyText"/>
        <w:spacing w:line="249" w:lineRule="auto" w:before="183"/>
        <w:ind w:left="199" w:right="82"/>
      </w:pPr>
      <w:r>
        <w:rPr/>
        <w:t>The PhD Program in Social Work maintains a strict language requirement for non-native speakers of English. All applicants to the PhD program whose native language and/or language of the home is not English are required to submit results from the Test of English as a Foreign Language or the International English Language Testing System exam. This guideline includes international students/non-native speakers of English who have completed a Master of Social Work or similar degree from a U.S. college or university.</w:t>
      </w:r>
    </w:p>
    <w:p>
      <w:pPr>
        <w:pStyle w:val="Heading6"/>
        <w:spacing w:before="97"/>
        <w:ind w:left="199"/>
      </w:pPr>
      <w:r>
        <w:rPr>
          <w:b w:val="0"/>
        </w:rPr>
        <w:br w:type="column"/>
      </w:r>
      <w:r>
        <w:rPr/>
        <w:t>Degree Requirements</w:t>
      </w:r>
    </w:p>
    <w:p>
      <w:pPr>
        <w:pStyle w:val="BodyText"/>
        <w:spacing w:line="249" w:lineRule="auto" w:before="187"/>
        <w:ind w:left="199" w:right="678"/>
      </w:pPr>
      <w:r>
        <w:rPr/>
        <w:t>The 51-credit curriculum begins with 21 credits of core courses: quantitative and qualitative research design and methods (9 credits); data analysis and statistics (6 credits); and research practicum (6 credits). Additional required courses include intervention research (3 credits), theory and philosophy of teaching (3 credits), an integrative seminar (3 credits), an advanced research or data analysis course in the student’s area of interest (3 credits), and a theory course in the student’s area of interest (3 credits). Students also take an elective (3 credits) and complete at least 12 credits of dissertation research.</w:t>
      </w:r>
    </w:p>
    <w:p>
      <w:pPr>
        <w:pStyle w:val="BodyText"/>
        <w:spacing w:line="249" w:lineRule="auto" w:before="191"/>
        <w:ind w:left="199" w:right="1262"/>
      </w:pPr>
      <w:r>
        <w:rPr/>
        <w:t>After completing 36 credits, students complete a comprehensive examination. The final phase of the program is completion of the doctoral dissertation.</w:t>
      </w:r>
    </w:p>
    <w:p>
      <w:pPr>
        <w:pStyle w:val="Heading6"/>
        <w:spacing w:before="179"/>
        <w:ind w:left="199"/>
      </w:pPr>
      <w:r>
        <w:rPr/>
        <w:t>Learning Outcomes</w:t>
      </w:r>
    </w:p>
    <w:p>
      <w:pPr>
        <w:pStyle w:val="ListParagraph"/>
        <w:numPr>
          <w:ilvl w:val="1"/>
          <w:numId w:val="14"/>
        </w:numPr>
        <w:tabs>
          <w:tab w:pos="632" w:val="left" w:leader="none"/>
        </w:tabs>
        <w:spacing w:line="249" w:lineRule="auto" w:before="193" w:after="0"/>
        <w:ind w:left="631" w:right="638" w:hanging="216"/>
        <w:jc w:val="left"/>
        <w:rPr>
          <w:sz w:val="20"/>
        </w:rPr>
      </w:pPr>
      <w:r>
        <w:rPr>
          <w:sz w:val="20"/>
        </w:rPr>
        <w:t>Develop the skills and experience required to</w:t>
      </w:r>
      <w:r>
        <w:rPr>
          <w:spacing w:val="-21"/>
          <w:sz w:val="20"/>
        </w:rPr>
        <w:t> </w:t>
      </w:r>
      <w:r>
        <w:rPr>
          <w:sz w:val="20"/>
        </w:rPr>
        <w:t>conduct high-quality research, individually and as part </w:t>
      </w:r>
      <w:r>
        <w:rPr>
          <w:spacing w:val="-3"/>
          <w:sz w:val="20"/>
        </w:rPr>
        <w:t>of </w:t>
      </w:r>
      <w:r>
        <w:rPr>
          <w:sz w:val="20"/>
        </w:rPr>
        <w:t>a research</w:t>
      </w:r>
      <w:r>
        <w:rPr>
          <w:spacing w:val="1"/>
          <w:sz w:val="20"/>
        </w:rPr>
        <w:t> </w:t>
      </w:r>
      <w:r>
        <w:rPr>
          <w:sz w:val="20"/>
        </w:rPr>
        <w:t>team.</w:t>
      </w:r>
    </w:p>
    <w:p>
      <w:pPr>
        <w:pStyle w:val="ListParagraph"/>
        <w:numPr>
          <w:ilvl w:val="1"/>
          <w:numId w:val="14"/>
        </w:numPr>
        <w:tabs>
          <w:tab w:pos="632" w:val="left" w:leader="none"/>
        </w:tabs>
        <w:spacing w:line="249" w:lineRule="auto" w:before="179" w:after="0"/>
        <w:ind w:left="631" w:right="843" w:hanging="216"/>
        <w:jc w:val="left"/>
        <w:rPr>
          <w:sz w:val="20"/>
        </w:rPr>
      </w:pPr>
      <w:r>
        <w:rPr>
          <w:sz w:val="20"/>
        </w:rPr>
        <w:t>Gain a thorough understanding </w:t>
      </w:r>
      <w:r>
        <w:rPr>
          <w:spacing w:val="-3"/>
          <w:sz w:val="20"/>
        </w:rPr>
        <w:t>of </w:t>
      </w:r>
      <w:r>
        <w:rPr>
          <w:sz w:val="20"/>
        </w:rPr>
        <w:t>research design, data collection strategies, and analysis methods appropriate to multiple </w:t>
      </w:r>
      <w:r>
        <w:rPr>
          <w:spacing w:val="-3"/>
          <w:sz w:val="20"/>
        </w:rPr>
        <w:t>types </w:t>
      </w:r>
      <w:r>
        <w:rPr>
          <w:sz w:val="20"/>
        </w:rPr>
        <w:t>of research questions, social problems, and populations </w:t>
      </w:r>
      <w:r>
        <w:rPr>
          <w:spacing w:val="-3"/>
          <w:sz w:val="20"/>
        </w:rPr>
        <w:t>of </w:t>
      </w:r>
      <w:r>
        <w:rPr>
          <w:sz w:val="20"/>
        </w:rPr>
        <w:t>interest.</w:t>
      </w:r>
    </w:p>
    <w:p>
      <w:pPr>
        <w:pStyle w:val="ListParagraph"/>
        <w:numPr>
          <w:ilvl w:val="1"/>
          <w:numId w:val="14"/>
        </w:numPr>
        <w:tabs>
          <w:tab w:pos="632" w:val="left" w:leader="none"/>
        </w:tabs>
        <w:spacing w:line="249" w:lineRule="auto" w:before="186" w:after="0"/>
        <w:ind w:left="631" w:right="852" w:hanging="216"/>
        <w:jc w:val="left"/>
        <w:rPr>
          <w:sz w:val="20"/>
        </w:rPr>
      </w:pPr>
      <w:r>
        <w:rPr>
          <w:sz w:val="20"/>
        </w:rPr>
        <w:t>Apply theoretical models to research studies and critique existing theory in a particular content</w:t>
      </w:r>
      <w:r>
        <w:rPr>
          <w:spacing w:val="-20"/>
          <w:sz w:val="20"/>
        </w:rPr>
        <w:t> </w:t>
      </w:r>
      <w:r>
        <w:rPr>
          <w:sz w:val="20"/>
        </w:rPr>
        <w:t>area.</w:t>
      </w:r>
    </w:p>
    <w:p>
      <w:pPr>
        <w:pStyle w:val="ListParagraph"/>
        <w:numPr>
          <w:ilvl w:val="1"/>
          <w:numId w:val="14"/>
        </w:numPr>
        <w:tabs>
          <w:tab w:pos="632" w:val="left" w:leader="none"/>
        </w:tabs>
        <w:spacing w:line="249" w:lineRule="auto" w:before="179" w:after="0"/>
        <w:ind w:left="631" w:right="711" w:hanging="216"/>
        <w:jc w:val="left"/>
        <w:rPr>
          <w:sz w:val="20"/>
        </w:rPr>
      </w:pPr>
      <w:r>
        <w:rPr>
          <w:sz w:val="20"/>
        </w:rPr>
        <w:t>Critically evaluate the state </w:t>
      </w:r>
      <w:r>
        <w:rPr>
          <w:spacing w:val="-3"/>
          <w:sz w:val="20"/>
        </w:rPr>
        <w:t>of </w:t>
      </w:r>
      <w:r>
        <w:rPr>
          <w:sz w:val="20"/>
        </w:rPr>
        <w:t>the knowledge base in a content area </w:t>
      </w:r>
      <w:r>
        <w:rPr>
          <w:spacing w:val="-3"/>
          <w:sz w:val="20"/>
        </w:rPr>
        <w:t>of </w:t>
      </w:r>
      <w:r>
        <w:rPr>
          <w:sz w:val="20"/>
        </w:rPr>
        <w:t>the student’s</w:t>
      </w:r>
      <w:r>
        <w:rPr>
          <w:spacing w:val="4"/>
          <w:sz w:val="20"/>
        </w:rPr>
        <w:t> </w:t>
      </w:r>
      <w:r>
        <w:rPr>
          <w:spacing w:val="-3"/>
          <w:sz w:val="20"/>
        </w:rPr>
        <w:t>choice.</w:t>
      </w:r>
    </w:p>
    <w:p>
      <w:pPr>
        <w:pStyle w:val="ListParagraph"/>
        <w:numPr>
          <w:ilvl w:val="1"/>
          <w:numId w:val="14"/>
        </w:numPr>
        <w:tabs>
          <w:tab w:pos="632" w:val="left" w:leader="none"/>
        </w:tabs>
        <w:spacing w:line="249" w:lineRule="auto" w:before="184" w:after="0"/>
        <w:ind w:left="631" w:right="910" w:hanging="216"/>
        <w:jc w:val="left"/>
        <w:rPr>
          <w:sz w:val="20"/>
        </w:rPr>
      </w:pPr>
      <w:r>
        <w:rPr>
          <w:sz w:val="20"/>
        </w:rPr>
        <w:t>Develop a research agenda in a content area </w:t>
      </w:r>
      <w:r>
        <w:rPr>
          <w:spacing w:val="-3"/>
          <w:sz w:val="20"/>
        </w:rPr>
        <w:t>of </w:t>
      </w:r>
      <w:r>
        <w:rPr>
          <w:sz w:val="20"/>
        </w:rPr>
        <w:t>the student’s</w:t>
      </w:r>
      <w:r>
        <w:rPr>
          <w:spacing w:val="1"/>
          <w:sz w:val="20"/>
        </w:rPr>
        <w:t> </w:t>
      </w:r>
      <w:r>
        <w:rPr>
          <w:spacing w:val="-3"/>
          <w:sz w:val="20"/>
        </w:rPr>
        <w:t>choice.</w:t>
      </w:r>
    </w:p>
    <w:p>
      <w:pPr>
        <w:pStyle w:val="ListParagraph"/>
        <w:numPr>
          <w:ilvl w:val="1"/>
          <w:numId w:val="14"/>
        </w:numPr>
        <w:tabs>
          <w:tab w:pos="632" w:val="left" w:leader="none"/>
        </w:tabs>
        <w:spacing w:line="249" w:lineRule="auto" w:before="179" w:after="0"/>
        <w:ind w:left="631" w:right="1029" w:hanging="216"/>
        <w:jc w:val="left"/>
        <w:rPr>
          <w:sz w:val="20"/>
        </w:rPr>
      </w:pPr>
      <w:r>
        <w:rPr>
          <w:sz w:val="20"/>
        </w:rPr>
        <w:t>Gain knowledge and experience in teaching and apply the </w:t>
      </w:r>
      <w:r>
        <w:rPr>
          <w:spacing w:val="-3"/>
          <w:sz w:val="20"/>
        </w:rPr>
        <w:t>best </w:t>
      </w:r>
      <w:r>
        <w:rPr>
          <w:sz w:val="20"/>
        </w:rPr>
        <w:t>available evidence regarding adult learning to the</w:t>
      </w:r>
      <w:r>
        <w:rPr>
          <w:spacing w:val="-6"/>
          <w:sz w:val="20"/>
        </w:rPr>
        <w:t> </w:t>
      </w:r>
      <w:r>
        <w:rPr>
          <w:sz w:val="20"/>
        </w:rPr>
        <w:t>classroom.</w:t>
      </w:r>
    </w:p>
    <w:p>
      <w:pPr>
        <w:pStyle w:val="ListParagraph"/>
        <w:numPr>
          <w:ilvl w:val="1"/>
          <w:numId w:val="14"/>
        </w:numPr>
        <w:tabs>
          <w:tab w:pos="631" w:val="left" w:leader="none"/>
        </w:tabs>
        <w:spacing w:line="249" w:lineRule="auto" w:before="184" w:after="0"/>
        <w:ind w:left="630" w:right="1386" w:hanging="216"/>
        <w:jc w:val="left"/>
        <w:rPr>
          <w:sz w:val="20"/>
        </w:rPr>
      </w:pPr>
      <w:r>
        <w:rPr>
          <w:sz w:val="20"/>
        </w:rPr>
        <w:t>Disseminate findings through</w:t>
      </w:r>
      <w:r>
        <w:rPr>
          <w:spacing w:val="-22"/>
          <w:sz w:val="20"/>
        </w:rPr>
        <w:t> </w:t>
      </w:r>
      <w:r>
        <w:rPr>
          <w:sz w:val="20"/>
        </w:rPr>
        <w:t>peer-reviewed publications </w:t>
      </w:r>
      <w:r>
        <w:rPr>
          <w:spacing w:val="-3"/>
          <w:sz w:val="20"/>
        </w:rPr>
        <w:t>and/or</w:t>
      </w:r>
      <w:r>
        <w:rPr>
          <w:spacing w:val="7"/>
          <w:sz w:val="20"/>
        </w:rPr>
        <w:t> </w:t>
      </w:r>
      <w:r>
        <w:rPr>
          <w:sz w:val="20"/>
        </w:rPr>
        <w:t>presentations.</w:t>
      </w:r>
    </w:p>
    <w:p>
      <w:pPr>
        <w:pStyle w:val="Heading5"/>
        <w:spacing w:before="176"/>
      </w:pPr>
      <w:r>
        <w:rPr/>
        <w:t>Required</w:t>
      </w:r>
      <w:r>
        <w:rPr>
          <w:spacing w:val="-11"/>
        </w:rPr>
        <w:t> </w:t>
      </w:r>
      <w:r>
        <w:rPr/>
        <w:t>Courses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6"/>
        <w:gridCol w:w="2849"/>
        <w:gridCol w:w="718"/>
      </w:tblGrid>
      <w:tr>
        <w:trPr>
          <w:trHeight w:val="471" w:hRule="atLeast"/>
        </w:trPr>
        <w:tc>
          <w:tcPr>
            <w:tcW w:w="1386" w:type="dxa"/>
          </w:tcPr>
          <w:p>
            <w:pPr>
              <w:pStyle w:val="TableParagraph"/>
              <w:spacing w:line="223" w:lineRule="exact" w:before="0"/>
              <w:ind w:left="207" w:right="200"/>
              <w:jc w:val="center"/>
              <w:rPr>
                <w:sz w:val="20"/>
              </w:rPr>
            </w:pPr>
            <w:r>
              <w:rPr>
                <w:sz w:val="20"/>
              </w:rPr>
              <w:t>SOWK 804</w:t>
            </w:r>
          </w:p>
        </w:tc>
        <w:tc>
          <w:tcPr>
            <w:tcW w:w="2849" w:type="dxa"/>
          </w:tcPr>
          <w:p>
            <w:pPr>
              <w:pStyle w:val="TableParagraph"/>
              <w:spacing w:line="223" w:lineRule="exact" w:before="0"/>
              <w:ind w:left="191"/>
              <w:rPr>
                <w:sz w:val="20"/>
              </w:rPr>
            </w:pPr>
            <w:r>
              <w:rPr>
                <w:sz w:val="20"/>
              </w:rPr>
              <w:t>Research Methods in Social</w:t>
            </w:r>
          </w:p>
          <w:p>
            <w:pPr>
              <w:pStyle w:val="TableParagraph"/>
              <w:spacing w:line="219" w:lineRule="exact" w:before="10"/>
              <w:ind w:left="191"/>
              <w:rPr>
                <w:sz w:val="20"/>
              </w:rPr>
            </w:pPr>
            <w:r>
              <w:rPr>
                <w:sz w:val="20"/>
              </w:rPr>
              <w:t>Work I</w:t>
            </w:r>
          </w:p>
        </w:tc>
        <w:tc>
          <w:tcPr>
            <w:tcW w:w="718" w:type="dxa"/>
          </w:tcPr>
          <w:p>
            <w:pPr>
              <w:pStyle w:val="TableParagraph"/>
              <w:spacing w:line="223" w:lineRule="exact" w:before="0"/>
              <w:ind w:right="200"/>
              <w:jc w:val="right"/>
              <w:rPr>
                <w:sz w:val="20"/>
              </w:rPr>
            </w:pPr>
            <w:r>
              <w:rPr>
                <w:w w:val="100"/>
                <w:sz w:val="20"/>
              </w:rPr>
              <w:t>3</w:t>
            </w:r>
          </w:p>
        </w:tc>
      </w:tr>
      <w:tr>
        <w:trPr>
          <w:trHeight w:val="240" w:hRule="atLeast"/>
        </w:trPr>
        <w:tc>
          <w:tcPr>
            <w:tcW w:w="1386" w:type="dxa"/>
          </w:tcPr>
          <w:p>
            <w:pPr>
              <w:pStyle w:val="TableParagraph"/>
              <w:spacing w:line="219" w:lineRule="exact"/>
              <w:ind w:left="207" w:right="200"/>
              <w:jc w:val="center"/>
              <w:rPr>
                <w:sz w:val="20"/>
              </w:rPr>
            </w:pPr>
            <w:r>
              <w:rPr>
                <w:sz w:val="20"/>
              </w:rPr>
              <w:t>SOWK 805</w:t>
            </w:r>
          </w:p>
        </w:tc>
        <w:tc>
          <w:tcPr>
            <w:tcW w:w="2849" w:type="dxa"/>
          </w:tcPr>
          <w:p>
            <w:pPr>
              <w:pStyle w:val="TableParagraph"/>
              <w:spacing w:line="219" w:lineRule="exact"/>
              <w:ind w:left="191"/>
              <w:rPr>
                <w:sz w:val="20"/>
              </w:rPr>
            </w:pPr>
            <w:r>
              <w:rPr>
                <w:sz w:val="20"/>
              </w:rPr>
              <w:t>Data Analysis I</w:t>
            </w:r>
          </w:p>
        </w:tc>
        <w:tc>
          <w:tcPr>
            <w:tcW w:w="718" w:type="dxa"/>
          </w:tcPr>
          <w:p>
            <w:pPr>
              <w:pStyle w:val="TableParagraph"/>
              <w:spacing w:line="219" w:lineRule="exact"/>
              <w:ind w:right="200"/>
              <w:jc w:val="right"/>
              <w:rPr>
                <w:sz w:val="20"/>
              </w:rPr>
            </w:pPr>
            <w:r>
              <w:rPr>
                <w:w w:val="100"/>
                <w:sz w:val="20"/>
              </w:rPr>
              <w:t>3</w:t>
            </w:r>
          </w:p>
        </w:tc>
      </w:tr>
      <w:tr>
        <w:trPr>
          <w:trHeight w:val="480" w:hRule="atLeast"/>
        </w:trPr>
        <w:tc>
          <w:tcPr>
            <w:tcW w:w="1386" w:type="dxa"/>
          </w:tcPr>
          <w:p>
            <w:pPr>
              <w:pStyle w:val="TableParagraph"/>
              <w:ind w:left="207" w:right="200"/>
              <w:jc w:val="center"/>
              <w:rPr>
                <w:sz w:val="20"/>
              </w:rPr>
            </w:pPr>
            <w:r>
              <w:rPr>
                <w:sz w:val="20"/>
              </w:rPr>
              <w:t>SOWK 806</w:t>
            </w:r>
          </w:p>
        </w:tc>
        <w:tc>
          <w:tcPr>
            <w:tcW w:w="2849" w:type="dxa"/>
          </w:tcPr>
          <w:p>
            <w:pPr>
              <w:pStyle w:val="TableParagraph"/>
              <w:ind w:left="191"/>
              <w:rPr>
                <w:sz w:val="20"/>
              </w:rPr>
            </w:pPr>
            <w:r>
              <w:rPr>
                <w:sz w:val="20"/>
              </w:rPr>
              <w:t>Research Methods in Social</w:t>
            </w:r>
          </w:p>
          <w:p>
            <w:pPr>
              <w:pStyle w:val="TableParagraph"/>
              <w:spacing w:line="219" w:lineRule="exact" w:before="10"/>
              <w:ind w:left="191"/>
              <w:rPr>
                <w:sz w:val="20"/>
              </w:rPr>
            </w:pPr>
            <w:r>
              <w:rPr>
                <w:sz w:val="20"/>
              </w:rPr>
              <w:t>Work II</w:t>
            </w:r>
          </w:p>
        </w:tc>
        <w:tc>
          <w:tcPr>
            <w:tcW w:w="718" w:type="dxa"/>
          </w:tcPr>
          <w:p>
            <w:pPr>
              <w:pStyle w:val="TableParagraph"/>
              <w:ind w:right="200"/>
              <w:jc w:val="right"/>
              <w:rPr>
                <w:sz w:val="20"/>
              </w:rPr>
            </w:pPr>
            <w:r>
              <w:rPr>
                <w:w w:val="100"/>
                <w:sz w:val="20"/>
              </w:rPr>
              <w:t>3</w:t>
            </w:r>
          </w:p>
        </w:tc>
      </w:tr>
      <w:tr>
        <w:trPr>
          <w:trHeight w:val="239" w:hRule="atLeast"/>
        </w:trPr>
        <w:tc>
          <w:tcPr>
            <w:tcW w:w="1386" w:type="dxa"/>
          </w:tcPr>
          <w:p>
            <w:pPr>
              <w:pStyle w:val="TableParagraph"/>
              <w:spacing w:line="219" w:lineRule="exact"/>
              <w:ind w:left="207" w:right="200"/>
              <w:jc w:val="center"/>
              <w:rPr>
                <w:sz w:val="20"/>
              </w:rPr>
            </w:pPr>
            <w:r>
              <w:rPr>
                <w:sz w:val="20"/>
              </w:rPr>
              <w:t>SOWK 807</w:t>
            </w:r>
          </w:p>
        </w:tc>
        <w:tc>
          <w:tcPr>
            <w:tcW w:w="2849" w:type="dxa"/>
          </w:tcPr>
          <w:p>
            <w:pPr>
              <w:pStyle w:val="TableParagraph"/>
              <w:spacing w:line="219" w:lineRule="exact"/>
              <w:ind w:left="191"/>
              <w:rPr>
                <w:sz w:val="20"/>
              </w:rPr>
            </w:pPr>
            <w:r>
              <w:rPr>
                <w:sz w:val="20"/>
              </w:rPr>
              <w:t>Data Analysis II</w:t>
            </w:r>
          </w:p>
        </w:tc>
        <w:tc>
          <w:tcPr>
            <w:tcW w:w="718" w:type="dxa"/>
          </w:tcPr>
          <w:p>
            <w:pPr>
              <w:pStyle w:val="TableParagraph"/>
              <w:spacing w:line="219" w:lineRule="exact"/>
              <w:ind w:right="200"/>
              <w:jc w:val="right"/>
              <w:rPr>
                <w:sz w:val="20"/>
              </w:rPr>
            </w:pPr>
            <w:r>
              <w:rPr>
                <w:w w:val="100"/>
                <w:sz w:val="20"/>
              </w:rPr>
              <w:t>3</w:t>
            </w:r>
          </w:p>
        </w:tc>
      </w:tr>
      <w:tr>
        <w:trPr>
          <w:trHeight w:val="240" w:hRule="atLeast"/>
        </w:trPr>
        <w:tc>
          <w:tcPr>
            <w:tcW w:w="1386" w:type="dxa"/>
          </w:tcPr>
          <w:p>
            <w:pPr>
              <w:pStyle w:val="TableParagraph"/>
              <w:spacing w:line="219" w:lineRule="exact"/>
              <w:ind w:left="207" w:right="200"/>
              <w:jc w:val="center"/>
              <w:rPr>
                <w:sz w:val="20"/>
              </w:rPr>
            </w:pPr>
            <w:r>
              <w:rPr>
                <w:sz w:val="20"/>
              </w:rPr>
              <w:t>SOWK 810</w:t>
            </w:r>
          </w:p>
        </w:tc>
        <w:tc>
          <w:tcPr>
            <w:tcW w:w="2849" w:type="dxa"/>
          </w:tcPr>
          <w:p>
            <w:pPr>
              <w:pStyle w:val="TableParagraph"/>
              <w:spacing w:line="219" w:lineRule="exact"/>
              <w:ind w:left="191"/>
              <w:rPr>
                <w:sz w:val="20"/>
              </w:rPr>
            </w:pPr>
            <w:r>
              <w:rPr>
                <w:sz w:val="20"/>
              </w:rPr>
              <w:t>Research Practicum I</w:t>
            </w:r>
          </w:p>
        </w:tc>
        <w:tc>
          <w:tcPr>
            <w:tcW w:w="718" w:type="dxa"/>
          </w:tcPr>
          <w:p>
            <w:pPr>
              <w:pStyle w:val="TableParagraph"/>
              <w:spacing w:line="219" w:lineRule="exact"/>
              <w:ind w:right="200"/>
              <w:jc w:val="right"/>
              <w:rPr>
                <w:sz w:val="20"/>
              </w:rPr>
            </w:pPr>
            <w:r>
              <w:rPr>
                <w:w w:val="100"/>
                <w:sz w:val="20"/>
              </w:rPr>
              <w:t>3</w:t>
            </w:r>
          </w:p>
        </w:tc>
      </w:tr>
      <w:tr>
        <w:trPr>
          <w:trHeight w:val="240" w:hRule="atLeast"/>
        </w:trPr>
        <w:tc>
          <w:tcPr>
            <w:tcW w:w="1386" w:type="dxa"/>
          </w:tcPr>
          <w:p>
            <w:pPr>
              <w:pStyle w:val="TableParagraph"/>
              <w:spacing w:line="219" w:lineRule="exact"/>
              <w:ind w:left="207" w:right="200"/>
              <w:jc w:val="center"/>
              <w:rPr>
                <w:sz w:val="20"/>
              </w:rPr>
            </w:pPr>
            <w:r>
              <w:rPr>
                <w:sz w:val="20"/>
              </w:rPr>
              <w:t>SOWK 811</w:t>
            </w:r>
          </w:p>
        </w:tc>
        <w:tc>
          <w:tcPr>
            <w:tcW w:w="2849" w:type="dxa"/>
          </w:tcPr>
          <w:p>
            <w:pPr>
              <w:pStyle w:val="TableParagraph"/>
              <w:spacing w:line="219" w:lineRule="exact"/>
              <w:ind w:left="191"/>
              <w:rPr>
                <w:sz w:val="20"/>
              </w:rPr>
            </w:pPr>
            <w:r>
              <w:rPr>
                <w:sz w:val="20"/>
              </w:rPr>
              <w:t>Research Practicum II</w:t>
            </w:r>
          </w:p>
        </w:tc>
        <w:tc>
          <w:tcPr>
            <w:tcW w:w="718" w:type="dxa"/>
          </w:tcPr>
          <w:p>
            <w:pPr>
              <w:pStyle w:val="TableParagraph"/>
              <w:spacing w:line="219" w:lineRule="exact"/>
              <w:ind w:right="200"/>
              <w:jc w:val="right"/>
              <w:rPr>
                <w:sz w:val="20"/>
              </w:rPr>
            </w:pPr>
            <w:r>
              <w:rPr>
                <w:w w:val="100"/>
                <w:sz w:val="20"/>
              </w:rPr>
              <w:t>3</w:t>
            </w:r>
          </w:p>
        </w:tc>
      </w:tr>
      <w:tr>
        <w:trPr>
          <w:trHeight w:val="231" w:hRule="atLeast"/>
        </w:trPr>
        <w:tc>
          <w:tcPr>
            <w:tcW w:w="1386" w:type="dxa"/>
          </w:tcPr>
          <w:p>
            <w:pPr>
              <w:pStyle w:val="TableParagraph"/>
              <w:spacing w:line="210" w:lineRule="exact"/>
              <w:ind w:left="207" w:right="200"/>
              <w:jc w:val="center"/>
              <w:rPr>
                <w:sz w:val="20"/>
              </w:rPr>
            </w:pPr>
            <w:r>
              <w:rPr>
                <w:sz w:val="20"/>
              </w:rPr>
              <w:t>SOWK 812</w:t>
            </w:r>
          </w:p>
        </w:tc>
        <w:tc>
          <w:tcPr>
            <w:tcW w:w="2849" w:type="dxa"/>
          </w:tcPr>
          <w:p>
            <w:pPr>
              <w:pStyle w:val="TableParagraph"/>
              <w:spacing w:line="210" w:lineRule="exact"/>
              <w:ind w:left="191"/>
              <w:rPr>
                <w:sz w:val="20"/>
              </w:rPr>
            </w:pPr>
            <w:r>
              <w:rPr>
                <w:sz w:val="20"/>
              </w:rPr>
              <w:t>Integrative Seminar</w:t>
            </w:r>
          </w:p>
        </w:tc>
        <w:tc>
          <w:tcPr>
            <w:tcW w:w="718" w:type="dxa"/>
          </w:tcPr>
          <w:p>
            <w:pPr>
              <w:pStyle w:val="TableParagraph"/>
              <w:spacing w:line="210" w:lineRule="exact"/>
              <w:ind w:right="200"/>
              <w:jc w:val="right"/>
              <w:rPr>
                <w:sz w:val="20"/>
              </w:rPr>
            </w:pPr>
            <w:r>
              <w:rPr>
                <w:w w:val="100"/>
                <w:sz w:val="20"/>
              </w:rPr>
              <w:t>3</w:t>
            </w:r>
          </w:p>
        </w:tc>
      </w:tr>
    </w:tbl>
    <w:p>
      <w:pPr>
        <w:spacing w:after="0" w:line="210" w:lineRule="exact"/>
        <w:jc w:val="right"/>
        <w:rPr>
          <w:sz w:val="20"/>
        </w:rPr>
        <w:sectPr>
          <w:pgSz w:w="12240" w:h="15840"/>
          <w:pgMar w:header="746" w:footer="0" w:top="1320" w:bottom="280" w:left="880" w:right="300"/>
          <w:cols w:num="2" w:equalWidth="0">
            <w:col w:w="4978" w:space="508"/>
            <w:col w:w="5574"/>
          </w:cols>
        </w:sectPr>
      </w:pPr>
    </w:p>
    <w:p>
      <w:pPr>
        <w:pStyle w:val="BodyText"/>
        <w:spacing w:before="3"/>
        <w:ind w:left="0"/>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6"/>
        <w:gridCol w:w="2705"/>
        <w:gridCol w:w="865"/>
      </w:tblGrid>
      <w:tr>
        <w:trPr>
          <w:trHeight w:val="231" w:hRule="atLeast"/>
        </w:trPr>
        <w:tc>
          <w:tcPr>
            <w:tcW w:w="1386" w:type="dxa"/>
          </w:tcPr>
          <w:p>
            <w:pPr>
              <w:pStyle w:val="TableParagraph"/>
              <w:spacing w:line="212" w:lineRule="exact" w:before="0"/>
              <w:ind w:left="207" w:right="200"/>
              <w:jc w:val="center"/>
              <w:rPr>
                <w:sz w:val="20"/>
              </w:rPr>
            </w:pPr>
            <w:r>
              <w:rPr>
                <w:sz w:val="20"/>
              </w:rPr>
              <w:t>SOWK 814</w:t>
            </w:r>
          </w:p>
        </w:tc>
        <w:tc>
          <w:tcPr>
            <w:tcW w:w="2705" w:type="dxa"/>
          </w:tcPr>
          <w:p>
            <w:pPr>
              <w:pStyle w:val="TableParagraph"/>
              <w:spacing w:line="212" w:lineRule="exact" w:before="0"/>
              <w:ind w:left="191"/>
              <w:rPr>
                <w:sz w:val="20"/>
              </w:rPr>
            </w:pPr>
            <w:r>
              <w:rPr>
                <w:sz w:val="20"/>
              </w:rPr>
              <w:t>Intervention Research</w:t>
            </w:r>
          </w:p>
        </w:tc>
        <w:tc>
          <w:tcPr>
            <w:tcW w:w="865" w:type="dxa"/>
          </w:tcPr>
          <w:p>
            <w:pPr>
              <w:pStyle w:val="TableParagraph"/>
              <w:spacing w:line="212" w:lineRule="exact" w:before="0"/>
              <w:ind w:right="198"/>
              <w:jc w:val="right"/>
              <w:rPr>
                <w:sz w:val="20"/>
              </w:rPr>
            </w:pPr>
            <w:r>
              <w:rPr>
                <w:w w:val="100"/>
                <w:sz w:val="20"/>
              </w:rPr>
              <w:t>3</w:t>
            </w:r>
          </w:p>
        </w:tc>
      </w:tr>
      <w:tr>
        <w:trPr>
          <w:trHeight w:val="471" w:hRule="atLeast"/>
        </w:trPr>
        <w:tc>
          <w:tcPr>
            <w:tcW w:w="1386" w:type="dxa"/>
          </w:tcPr>
          <w:p>
            <w:pPr>
              <w:pStyle w:val="TableParagraph"/>
              <w:ind w:left="207" w:right="200"/>
              <w:jc w:val="center"/>
              <w:rPr>
                <w:sz w:val="20"/>
              </w:rPr>
            </w:pPr>
            <w:r>
              <w:rPr>
                <w:sz w:val="20"/>
              </w:rPr>
              <w:t>SOWK 835</w:t>
            </w:r>
          </w:p>
        </w:tc>
        <w:tc>
          <w:tcPr>
            <w:tcW w:w="2705" w:type="dxa"/>
          </w:tcPr>
          <w:p>
            <w:pPr>
              <w:pStyle w:val="TableParagraph"/>
              <w:ind w:left="191"/>
              <w:rPr>
                <w:sz w:val="20"/>
              </w:rPr>
            </w:pPr>
            <w:r>
              <w:rPr>
                <w:sz w:val="20"/>
              </w:rPr>
              <w:t>Theories and Practice of</w:t>
            </w:r>
          </w:p>
          <w:p>
            <w:pPr>
              <w:pStyle w:val="TableParagraph"/>
              <w:spacing w:line="210" w:lineRule="exact" w:before="10"/>
              <w:ind w:left="191"/>
              <w:rPr>
                <w:sz w:val="20"/>
              </w:rPr>
            </w:pPr>
            <w:r>
              <w:rPr>
                <w:sz w:val="20"/>
              </w:rPr>
              <w:t>Social Work Teaching</w:t>
            </w:r>
          </w:p>
        </w:tc>
        <w:tc>
          <w:tcPr>
            <w:tcW w:w="865" w:type="dxa"/>
          </w:tcPr>
          <w:p>
            <w:pPr>
              <w:pStyle w:val="TableParagraph"/>
              <w:ind w:right="198"/>
              <w:jc w:val="right"/>
              <w:rPr>
                <w:sz w:val="20"/>
              </w:rPr>
            </w:pPr>
            <w:r>
              <w:rPr>
                <w:w w:val="100"/>
                <w:sz w:val="20"/>
              </w:rPr>
              <w:t>3</w:t>
            </w:r>
          </w:p>
        </w:tc>
      </w:tr>
    </w:tbl>
    <w:p>
      <w:pPr>
        <w:pStyle w:val="BodyText"/>
        <w:spacing w:before="2"/>
        <w:ind w:left="0"/>
        <w:rPr>
          <w:sz w:val="8"/>
        </w:rPr>
      </w:pPr>
    </w:p>
    <w:p>
      <w:pPr>
        <w:pStyle w:val="BodyText"/>
        <w:spacing w:line="249" w:lineRule="auto" w:before="93"/>
        <w:ind w:right="6669"/>
      </w:pPr>
      <w:r>
        <w:rPr/>
        <w:t>See complete Social Work (SOWK) offerings in the Course Descriptions part of this catalog.</w:t>
      </w:r>
    </w:p>
    <w:p>
      <w:pPr>
        <w:spacing w:after="0" w:line="249" w:lineRule="auto"/>
        <w:sectPr>
          <w:pgSz w:w="12240" w:h="15840"/>
          <w:pgMar w:header="746" w:footer="0" w:top="1320" w:bottom="280" w:left="880" w:right="300"/>
        </w:sectPr>
      </w:pPr>
    </w:p>
    <w:p>
      <w:pPr>
        <w:pStyle w:val="Heading1"/>
      </w:pPr>
      <w:bookmarkStart w:name="Course Descriptions" w:id="95"/>
      <w:bookmarkEnd w:id="95"/>
      <w:r>
        <w:rPr>
          <w:b w:val="0"/>
        </w:rPr>
      </w:r>
      <w:bookmarkStart w:name="_bookmark47" w:id="96"/>
      <w:bookmarkEnd w:id="96"/>
      <w:r>
        <w:rPr>
          <w:b w:val="0"/>
        </w:rPr>
      </w:r>
      <w:r>
        <w:rPr/>
        <w:t>Course Descriptions</w:t>
      </w:r>
    </w:p>
    <w:p>
      <w:pPr>
        <w:pStyle w:val="Heading2"/>
        <w:spacing w:before="336"/>
      </w:pPr>
      <w:bookmarkStart w:name="CIPP" w:id="97"/>
      <w:bookmarkEnd w:id="97"/>
      <w:r>
        <w:rPr/>
      </w:r>
      <w:bookmarkStart w:name="_bookmark48" w:id="98"/>
      <w:bookmarkEnd w:id="98"/>
      <w:r>
        <w:rPr/>
      </w:r>
      <w:r>
        <w:rPr/>
        <w:t>CIPP</w:t>
      </w:r>
    </w:p>
    <w:p>
      <w:pPr>
        <w:pStyle w:val="Heading6"/>
        <w:spacing w:before="128"/>
      </w:pPr>
      <w:r>
        <w:rPr/>
        <w:t>CIPP 907 - RESEARCH ETHICS (1)</w:t>
      </w:r>
    </w:p>
    <w:p>
      <w:pPr>
        <w:pStyle w:val="BodyText"/>
        <w:spacing w:line="249" w:lineRule="auto" w:before="188"/>
        <w:ind w:right="69"/>
      </w:pPr>
      <w:r>
        <w:rPr/>
        <w:t>Various aspects </w:t>
      </w:r>
      <w:r>
        <w:rPr>
          <w:spacing w:val="-3"/>
        </w:rPr>
        <w:t>of </w:t>
      </w:r>
      <w:r>
        <w:rPr/>
        <w:t>research ethics are examined, including data collection and ownership, issues in the use </w:t>
      </w:r>
      <w:r>
        <w:rPr>
          <w:spacing w:val="-3"/>
        </w:rPr>
        <w:t>of </w:t>
      </w:r>
      <w:r>
        <w:rPr/>
        <w:t>human and animal subjects, responsibilities </w:t>
      </w:r>
      <w:r>
        <w:rPr>
          <w:spacing w:val="-3"/>
        </w:rPr>
        <w:t>of </w:t>
      </w:r>
      <w:r>
        <w:rPr/>
        <w:t>authorship, identifying and handling conflicts </w:t>
      </w:r>
      <w:r>
        <w:rPr>
          <w:spacing w:val="-3"/>
        </w:rPr>
        <w:t>of </w:t>
      </w:r>
      <w:r>
        <w:rPr/>
        <w:t>interest, scientific misconduct, the peer review system, collaborative</w:t>
      </w:r>
      <w:r>
        <w:rPr>
          <w:spacing w:val="-25"/>
        </w:rPr>
        <w:t> </w:t>
      </w:r>
      <w:r>
        <w:rPr/>
        <w:t>research in academia and industry, mentor/mentee relationships, contemporary ethical issues, and the role </w:t>
      </w:r>
      <w:r>
        <w:rPr>
          <w:spacing w:val="-3"/>
        </w:rPr>
        <w:t>of </w:t>
      </w:r>
      <w:r>
        <w:rPr/>
        <w:t>the scientist as a responsible member </w:t>
      </w:r>
      <w:r>
        <w:rPr>
          <w:spacing w:val="-3"/>
        </w:rPr>
        <w:t>of </w:t>
      </w:r>
      <w:r>
        <w:rPr/>
        <w:t>society. Each session has a readings list assigned and involves in-depth small group discussions </w:t>
      </w:r>
      <w:r>
        <w:rPr>
          <w:spacing w:val="-3"/>
        </w:rPr>
        <w:t>of </w:t>
      </w:r>
      <w:r>
        <w:rPr/>
        <w:t>relevant cases </w:t>
      </w:r>
      <w:r>
        <w:rPr>
          <w:spacing w:val="-3"/>
        </w:rPr>
        <w:t>with </w:t>
      </w:r>
      <w:r>
        <w:rPr/>
        <w:t>faculty in small group discussions.  Postdoctoral </w:t>
      </w:r>
      <w:r>
        <w:rPr>
          <w:spacing w:val="-3"/>
        </w:rPr>
        <w:t>fellows, </w:t>
      </w:r>
      <w:r>
        <w:rPr/>
        <w:t>and students not needing the </w:t>
      </w:r>
      <w:r>
        <w:rPr>
          <w:spacing w:val="-2"/>
        </w:rPr>
        <w:t>credit </w:t>
      </w:r>
      <w:r>
        <w:rPr/>
        <w:t>may sign up </w:t>
      </w:r>
      <w:r>
        <w:rPr>
          <w:spacing w:val="-4"/>
        </w:rPr>
        <w:t>for </w:t>
      </w:r>
      <w:r>
        <w:rPr/>
        <w:t>the course informally, but are expected to participate fully in order to receive a letter </w:t>
      </w:r>
      <w:r>
        <w:rPr>
          <w:spacing w:val="-3"/>
        </w:rPr>
        <w:t>of </w:t>
      </w:r>
      <w:r>
        <w:rPr/>
        <w:t>course completion. Grading is based </w:t>
      </w:r>
      <w:r>
        <w:rPr>
          <w:spacing w:val="-3"/>
        </w:rPr>
        <w:t>on </w:t>
      </w:r>
      <w:r>
        <w:rPr/>
        <w:t>group participation and leadership </w:t>
      </w:r>
      <w:r>
        <w:rPr>
          <w:spacing w:val="-3"/>
        </w:rPr>
        <w:t>of </w:t>
      </w:r>
      <w:r>
        <w:rPr/>
        <w:t>at least one group discussion.</w:t>
      </w:r>
    </w:p>
    <w:p>
      <w:pPr>
        <w:pStyle w:val="Heading6"/>
        <w:spacing w:line="249" w:lineRule="auto" w:before="132"/>
        <w:ind w:right="997"/>
      </w:pPr>
      <w:r>
        <w:rPr/>
        <w:t>CIPP 909 - RESPONSIBLE CONDUCT OF RESEARCH (1 TO 2)</w:t>
      </w:r>
    </w:p>
    <w:p>
      <w:pPr>
        <w:pStyle w:val="BodyText"/>
        <w:spacing w:line="249" w:lineRule="auto" w:before="184"/>
        <w:ind w:left="199" w:right="38"/>
      </w:pPr>
      <w:r>
        <w:rPr/>
        <w:t>This campus-wide course prepares students </w:t>
      </w:r>
      <w:r>
        <w:rPr>
          <w:spacing w:val="-4"/>
        </w:rPr>
        <w:t>for </w:t>
      </w:r>
      <w:r>
        <w:rPr/>
        <w:t>the ethical responsibilities </w:t>
      </w:r>
      <w:r>
        <w:rPr>
          <w:spacing w:val="-3"/>
        </w:rPr>
        <w:t>of </w:t>
      </w:r>
      <w:r>
        <w:rPr/>
        <w:t>research. Topics include scientific integrity; research ethics and the ethical decision-making process; data handling and management; authorship peer </w:t>
      </w:r>
      <w:r>
        <w:rPr>
          <w:spacing w:val="-3"/>
        </w:rPr>
        <w:t>review; </w:t>
      </w:r>
      <w:r>
        <w:rPr/>
        <w:t>conflicts </w:t>
      </w:r>
      <w:r>
        <w:rPr>
          <w:spacing w:val="-3"/>
        </w:rPr>
        <w:t>of </w:t>
      </w:r>
      <w:r>
        <w:rPr/>
        <w:t>interest; defining, identifying, and handling fraud and misconduct; animal and human research; genetics and reproduction; ownership </w:t>
      </w:r>
      <w:r>
        <w:rPr>
          <w:spacing w:val="-3"/>
        </w:rPr>
        <w:t>of </w:t>
      </w:r>
      <w:r>
        <w:rPr/>
        <w:t>data and intellectual property; and the role </w:t>
      </w:r>
      <w:r>
        <w:rPr>
          <w:spacing w:val="-3"/>
        </w:rPr>
        <w:t>of </w:t>
      </w:r>
      <w:r>
        <w:rPr/>
        <w:t>the scientist in </w:t>
      </w:r>
      <w:r>
        <w:rPr>
          <w:spacing w:val="-3"/>
        </w:rPr>
        <w:t>society. </w:t>
      </w:r>
      <w:r>
        <w:rPr/>
        <w:t>The course includes lectures, seminar discussions, and class exercises. Grading is based </w:t>
      </w:r>
      <w:r>
        <w:rPr>
          <w:spacing w:val="-3"/>
        </w:rPr>
        <w:t>on </w:t>
      </w:r>
      <w:r>
        <w:rPr/>
        <w:t>class participation and a written</w:t>
      </w:r>
      <w:r>
        <w:rPr>
          <w:spacing w:val="5"/>
        </w:rPr>
        <w:t> </w:t>
      </w:r>
      <w:r>
        <w:rPr/>
        <w:t>paper.</w:t>
      </w:r>
    </w:p>
    <w:p>
      <w:pPr>
        <w:pStyle w:val="Heading6"/>
        <w:spacing w:before="128"/>
        <w:ind w:left="199"/>
      </w:pPr>
      <w:r>
        <w:rPr/>
        <w:t>CIPP 924 - GERIATRIC IMPERATIVE (1 TO 2)</w:t>
      </w:r>
    </w:p>
    <w:p>
      <w:pPr>
        <w:pStyle w:val="BodyText"/>
        <w:spacing w:line="249" w:lineRule="auto" w:before="187"/>
        <w:ind w:right="254"/>
      </w:pPr>
      <w:r>
        <w:rPr/>
        <w:t>This minimester course is a week-long course scheduled each January which offers a review of current clinical, policy and research trends in the field of aging.</w:t>
      </w:r>
    </w:p>
    <w:p>
      <w:pPr>
        <w:pStyle w:val="BodyText"/>
        <w:spacing w:line="249" w:lineRule="auto" w:before="2"/>
        <w:ind w:right="32"/>
      </w:pPr>
      <w:r>
        <w:rPr/>
        <w:t>Presentations are made by faculty, regional leaders in the field of aging and family caregivers. Lectures, case simulations, panel discussions and videos are the teaching methodology utilized during the week. Field trips are taken to geriatric health care facilities to meet with staff and residents.</w:t>
      </w:r>
    </w:p>
    <w:p>
      <w:pPr>
        <w:pStyle w:val="BodyText"/>
        <w:spacing w:before="0"/>
        <w:ind w:left="0"/>
        <w:rPr>
          <w:sz w:val="22"/>
        </w:rPr>
      </w:pPr>
      <w:r>
        <w:rPr/>
        <w:br w:type="column"/>
      </w:r>
      <w:r>
        <w:rPr>
          <w:sz w:val="22"/>
        </w:rPr>
      </w:r>
    </w:p>
    <w:p>
      <w:pPr>
        <w:pStyle w:val="BodyText"/>
        <w:spacing w:before="0"/>
        <w:ind w:left="0"/>
        <w:rPr>
          <w:sz w:val="22"/>
        </w:rPr>
      </w:pPr>
    </w:p>
    <w:p>
      <w:pPr>
        <w:pStyle w:val="BodyText"/>
        <w:spacing w:before="0"/>
        <w:ind w:left="0"/>
        <w:rPr>
          <w:sz w:val="22"/>
        </w:rPr>
      </w:pPr>
    </w:p>
    <w:p>
      <w:pPr>
        <w:pStyle w:val="Heading6"/>
        <w:spacing w:line="249" w:lineRule="auto" w:before="154"/>
        <w:ind w:right="836"/>
      </w:pPr>
      <w:r>
        <w:rPr/>
        <w:t>CIPP 932 - CRITICAL ISSUES IN HEALTH CARE (3)</w:t>
      </w:r>
    </w:p>
    <w:p>
      <w:pPr>
        <w:pStyle w:val="BodyText"/>
        <w:spacing w:line="249" w:lineRule="auto" w:before="183"/>
        <w:ind w:right="655"/>
      </w:pPr>
      <w:r>
        <w:rPr/>
        <w:t>This course is open to students from the Schools of Law, Medicine, Social Work, Nursing, Pharmacy, Dentistry and the graduate schools at UMB and UMBC. The course is designed to: (1) provide students with an opportunity to reflect on the legal, ethical and policy issues surrounding a number of health care delivery problems; (2) expose participants to the basic skills necessary to analyze problems from a legal, ethical and policy perspective; and</w:t>
      </w:r>
    </w:p>
    <w:p>
      <w:pPr>
        <w:pStyle w:val="ListParagraph"/>
        <w:numPr>
          <w:ilvl w:val="0"/>
          <w:numId w:val="15"/>
        </w:numPr>
        <w:tabs>
          <w:tab w:pos="489" w:val="left" w:leader="none"/>
        </w:tabs>
        <w:spacing w:line="249" w:lineRule="auto" w:before="6" w:after="0"/>
        <w:ind w:left="200" w:right="627" w:firstLine="0"/>
        <w:jc w:val="left"/>
        <w:rPr>
          <w:sz w:val="20"/>
        </w:rPr>
      </w:pPr>
      <w:r>
        <w:rPr>
          <w:spacing w:val="-3"/>
          <w:sz w:val="20"/>
        </w:rPr>
        <w:t>offer </w:t>
      </w:r>
      <w:r>
        <w:rPr>
          <w:sz w:val="20"/>
        </w:rPr>
        <w:t>participants from different disciplines </w:t>
      </w:r>
      <w:r>
        <w:rPr>
          <w:spacing w:val="-3"/>
          <w:sz w:val="20"/>
        </w:rPr>
        <w:t>an </w:t>
      </w:r>
      <w:r>
        <w:rPr>
          <w:sz w:val="20"/>
        </w:rPr>
        <w:t>opportunity to interact and share information and perspectives about their professions </w:t>
      </w:r>
      <w:r>
        <w:rPr>
          <w:spacing w:val="-3"/>
          <w:sz w:val="20"/>
        </w:rPr>
        <w:t>with </w:t>
      </w:r>
      <w:r>
        <w:rPr>
          <w:sz w:val="20"/>
        </w:rPr>
        <w:t>one another. A variety of teaching techniques, including case studies, simulations, and video clips are used to explore </w:t>
      </w:r>
      <w:r>
        <w:rPr>
          <w:spacing w:val="-3"/>
          <w:sz w:val="20"/>
        </w:rPr>
        <w:t>such </w:t>
      </w:r>
      <w:r>
        <w:rPr>
          <w:sz w:val="20"/>
        </w:rPr>
        <w:t>topics as medical malpractice, rights </w:t>
      </w:r>
      <w:r>
        <w:rPr>
          <w:spacing w:val="-3"/>
          <w:sz w:val="20"/>
        </w:rPr>
        <w:t>of </w:t>
      </w:r>
      <w:r>
        <w:rPr>
          <w:sz w:val="20"/>
        </w:rPr>
        <w:t>patients to refuse treatment, informed consent and substituted consent in medical decision making, regulation </w:t>
      </w:r>
      <w:r>
        <w:rPr>
          <w:spacing w:val="-3"/>
          <w:sz w:val="20"/>
        </w:rPr>
        <w:t>of </w:t>
      </w:r>
      <w:r>
        <w:rPr>
          <w:sz w:val="20"/>
        </w:rPr>
        <w:t>experimental drugs, and health care reform. The course is taught by faculty from a variety of disciplines. During the course, students have an opportunity to work in multidisciplinary teams to analyze a particular health care problem and to develop a position </w:t>
      </w:r>
      <w:r>
        <w:rPr>
          <w:spacing w:val="-3"/>
          <w:sz w:val="20"/>
        </w:rPr>
        <w:t>paper </w:t>
      </w:r>
      <w:r>
        <w:rPr>
          <w:spacing w:val="-5"/>
          <w:sz w:val="20"/>
        </w:rPr>
        <w:t>on </w:t>
      </w:r>
      <w:r>
        <w:rPr>
          <w:sz w:val="20"/>
        </w:rPr>
        <w:t>a health care policy</w:t>
      </w:r>
      <w:r>
        <w:rPr>
          <w:spacing w:val="18"/>
          <w:sz w:val="20"/>
        </w:rPr>
        <w:t> </w:t>
      </w:r>
      <w:r>
        <w:rPr>
          <w:sz w:val="20"/>
        </w:rPr>
        <w:t>issue</w:t>
      </w:r>
    </w:p>
    <w:p>
      <w:pPr>
        <w:pStyle w:val="Heading6"/>
      </w:pPr>
      <w:r>
        <w:rPr/>
        <w:t>CIPP 960 - GLOBAL WOMEN'S HEALTH (3)</w:t>
      </w:r>
    </w:p>
    <w:p>
      <w:pPr>
        <w:pStyle w:val="BodyText"/>
        <w:spacing w:line="249" w:lineRule="auto" w:before="187"/>
        <w:ind w:right="712"/>
      </w:pPr>
      <w:r>
        <w:rPr/>
        <w:t>This course is a comprehensive examination of the complex issues facing women and children?s health globally. Emphasis is on a comprehensive and multi?disciplinary perspective based on World Health Organization?s (WHO) 2007 `Framework For Action? structure for strengthening health systems, the United Nation?s (UN) Millennium Development Goals (MDGs), and the Universal Declaration of Human Rights (UDHR). This survey course addresses biological and medical issues, reproductive health, violence against women and children and its impact on health, infectious and chronic disease, and the environmental and social relationships to health issues. Analysis covers current national, regional, and global trends, program and policy responses to these trends, and prospects for the future.</w:t>
      </w:r>
    </w:p>
    <w:p>
      <w:pPr>
        <w:pStyle w:val="Heading6"/>
        <w:spacing w:before="131"/>
      </w:pPr>
      <w:r>
        <w:rPr/>
        <w:t>CIPP 970 - INTERPROFESSIONAL SERVICE (1)</w:t>
      </w:r>
    </w:p>
    <w:p>
      <w:pPr>
        <w:pStyle w:val="BodyText"/>
        <w:spacing w:line="249" w:lineRule="auto" w:before="193"/>
        <w:ind w:right="785"/>
      </w:pPr>
      <w:r>
        <w:rPr/>
        <w:t>This course links the experiential with the theoretical by providing hands-on professional experience in the University of Maryland, Baltimore?s surrounding community. The goal of this course is to offer true service-learning in which students learn by providing for the expressed need of the community through a social</w:t>
      </w:r>
    </w:p>
    <w:p>
      <w:pPr>
        <w:spacing w:after="0" w:line="249" w:lineRule="auto"/>
        <w:sectPr>
          <w:pgSz w:w="12240" w:h="15840"/>
          <w:pgMar w:header="746" w:footer="0" w:top="1320" w:bottom="280" w:left="880" w:right="300"/>
          <w:cols w:num="2" w:equalWidth="0">
            <w:col w:w="4990" w:space="496"/>
            <w:col w:w="5574"/>
          </w:cols>
        </w:sectPr>
      </w:pPr>
    </w:p>
    <w:p>
      <w:pPr>
        <w:pStyle w:val="BodyText"/>
        <w:spacing w:line="249" w:lineRule="auto" w:before="100"/>
        <w:ind w:right="88"/>
      </w:pPr>
      <w:r>
        <w:rPr/>
        <w:t>justice lens. Students learn how community health and human service programs are developed, organized, implemented and evaluated; how inter-professional teams successfully function; how to interact with individuals and groups living in our community; and how to report back their observations to peers and supervisors. Students work with organizations with which the University has formed partnerships to meet course learning objectives. Service- learning is a form of experiential education in which students engage in activities that address human and community needs together with structured opportunities intentionally designed to promote student learning and development. Through the reciprocity associated with service-learning, students gain a better sense of belonging to that community while community members are empowered to address and advocate for their own needs.</w:t>
      </w:r>
    </w:p>
    <w:p>
      <w:pPr>
        <w:pStyle w:val="Heading6"/>
        <w:spacing w:line="249" w:lineRule="auto" w:before="131"/>
        <w:ind w:left="199" w:right="1285"/>
      </w:pPr>
      <w:r>
        <w:rPr/>
        <w:t>CIPP 971 - POPULATION HEALTH IN BALTIMORE (1)</w:t>
      </w:r>
    </w:p>
    <w:p>
      <w:pPr>
        <w:pStyle w:val="BodyText"/>
        <w:spacing w:line="249" w:lineRule="auto" w:before="180"/>
        <w:ind w:left="199" w:right="38"/>
      </w:pPr>
      <w:r>
        <w:rPr/>
        <w:t>This one credit, inter-professional course provides students with an inside perspective </w:t>
      </w:r>
      <w:r>
        <w:rPr>
          <w:spacing w:val="-3"/>
        </w:rPr>
        <w:t>on </w:t>
      </w:r>
      <w:r>
        <w:rPr/>
        <w:t>addressing health disparities and inequities in Baltimore from </w:t>
      </w:r>
      <w:r>
        <w:rPr>
          <w:spacing w:val="-3"/>
        </w:rPr>
        <w:t>both </w:t>
      </w:r>
      <w:r>
        <w:rPr/>
        <w:t>academic and community perspectives. Faculty Fellows of the </w:t>
      </w:r>
      <w:r>
        <w:rPr>
          <w:spacing w:val="-3"/>
        </w:rPr>
        <w:t>UMB </w:t>
      </w:r>
      <w:r>
        <w:rPr/>
        <w:t>Center </w:t>
      </w:r>
      <w:r>
        <w:rPr>
          <w:spacing w:val="-4"/>
        </w:rPr>
        <w:t>for </w:t>
      </w:r>
      <w:r>
        <w:rPr/>
        <w:t>Community Based Engagement and Learning (CBEL) and their affiliated community partners present course content. Through the lens </w:t>
      </w:r>
      <w:r>
        <w:rPr>
          <w:spacing w:val="-3"/>
        </w:rPr>
        <w:t>of </w:t>
      </w:r>
      <w:r>
        <w:rPr/>
        <w:t>case studies and personal narratives </w:t>
      </w:r>
      <w:r>
        <w:rPr>
          <w:spacing w:val="-3"/>
        </w:rPr>
        <w:t>or </w:t>
      </w:r>
      <w:r>
        <w:rPr/>
        <w:t>stories, faculty from </w:t>
      </w:r>
      <w:r>
        <w:rPr>
          <w:spacing w:val="-3"/>
        </w:rPr>
        <w:t>UMB </w:t>
      </w:r>
      <w:r>
        <w:rPr/>
        <w:t>professional schools (medicine, social work, nursing, law, physical </w:t>
      </w:r>
      <w:r>
        <w:rPr>
          <w:spacing w:val="-3"/>
        </w:rPr>
        <w:t>therapy, </w:t>
      </w:r>
      <w:r>
        <w:rPr/>
        <w:t>pharmacy, and dentistry) describe their community-based work and their collaboration with community partners, emphasizing barriers on, and solutions towards, achieving health equity and population health in Baltimore. Learning about Baltimore history, local contextual factors, and neighborhood resources highlight opportunities where the realities </w:t>
      </w:r>
      <w:r>
        <w:rPr>
          <w:spacing w:val="-3"/>
        </w:rPr>
        <w:t>of </w:t>
      </w:r>
      <w:r>
        <w:rPr/>
        <w:t>health disparities can </w:t>
      </w:r>
      <w:r>
        <w:rPr>
          <w:spacing w:val="-3"/>
        </w:rPr>
        <w:t>be </w:t>
      </w:r>
      <w:r>
        <w:rPr/>
        <w:t>seen. Using the </w:t>
      </w:r>
      <w:r>
        <w:rPr>
          <w:spacing w:val="-4"/>
        </w:rPr>
        <w:t>WHO </w:t>
      </w:r>
      <w:r>
        <w:rPr/>
        <w:t>Social Determinants </w:t>
      </w:r>
      <w:r>
        <w:rPr>
          <w:spacing w:val="-3"/>
        </w:rPr>
        <w:t>of </w:t>
      </w:r>
      <w:r>
        <w:rPr/>
        <w:t>Health framework, social concepts </w:t>
      </w:r>
      <w:r>
        <w:rPr>
          <w:spacing w:val="-3"/>
        </w:rPr>
        <w:t>such </w:t>
      </w:r>
      <w:r>
        <w:rPr/>
        <w:t>as place and race are explored. Foundational principles </w:t>
      </w:r>
      <w:r>
        <w:rPr>
          <w:spacing w:val="-3"/>
        </w:rPr>
        <w:t>of </w:t>
      </w:r>
      <w:r>
        <w:rPr/>
        <w:t>social justice are also emphasized.  ?Population health? and ?culture </w:t>
      </w:r>
      <w:r>
        <w:rPr>
          <w:spacing w:val="-3"/>
        </w:rPr>
        <w:t>of </w:t>
      </w:r>
      <w:r>
        <w:rPr/>
        <w:t>health? and its relevance to Baltimore- based solutions are described in order </w:t>
      </w:r>
      <w:r>
        <w:rPr>
          <w:spacing w:val="-4"/>
        </w:rPr>
        <w:t>for </w:t>
      </w:r>
      <w:r>
        <w:rPr/>
        <w:t>students to identify opportunities to address Interprofessional health disparities in their </w:t>
      </w:r>
      <w:r>
        <w:rPr>
          <w:spacing w:val="-4"/>
        </w:rPr>
        <w:t>own</w:t>
      </w:r>
      <w:r>
        <w:rPr>
          <w:spacing w:val="6"/>
        </w:rPr>
        <w:t> </w:t>
      </w:r>
      <w:r>
        <w:rPr/>
        <w:t>careers.</w:t>
      </w:r>
    </w:p>
    <w:p>
      <w:pPr>
        <w:pStyle w:val="Heading6"/>
        <w:spacing w:line="249" w:lineRule="auto" w:before="137"/>
        <w:ind w:left="199" w:right="885"/>
      </w:pPr>
      <w:r>
        <w:rPr/>
        <w:t>CIPP 980 - ENTREPRENEURSHIP IN LIFE SCIENCES (3)</w:t>
      </w:r>
    </w:p>
    <w:p>
      <w:pPr>
        <w:pStyle w:val="BodyText"/>
        <w:spacing w:line="249" w:lineRule="auto" w:before="184"/>
        <w:ind w:left="199" w:right="227"/>
      </w:pPr>
      <w:r>
        <w:rPr/>
        <w:t>Students explore the development of a life sciences start- up venture, and in some cases, begin to create their own start-up ventures. Students learn how to assess the feasibility of a life science start-up venture, evaluate financial and market opportunities, explore the customer discovery process, author a business plan, and build</w:t>
      </w:r>
    </w:p>
    <w:p>
      <w:pPr>
        <w:pStyle w:val="BodyText"/>
        <w:spacing w:line="249" w:lineRule="auto" w:before="95"/>
        <w:ind w:right="647"/>
      </w:pPr>
      <w:r>
        <w:rPr/>
        <w:br w:type="column"/>
      </w:r>
      <w:r>
        <w:rPr/>
        <w:t>financial projections. Students discuss a wide range of issues of importance and concern to life science entrepreneurs and learn to recognize opportunity, assess the skills and talents of successful entrepreneurs, network with life science entrepreneurs, and learn models and approaches that help them analyze entrepreneurial opportunities throughout their career. Successful life science entrepreneurs will highlight real world experiences in guest lectures.</w:t>
      </w:r>
    </w:p>
    <w:p>
      <w:pPr>
        <w:pStyle w:val="Heading2"/>
        <w:spacing w:before="198"/>
        <w:ind w:left="199"/>
      </w:pPr>
      <w:bookmarkStart w:name="DBMS" w:id="99"/>
      <w:bookmarkEnd w:id="99"/>
      <w:r>
        <w:rPr/>
      </w:r>
      <w:bookmarkStart w:name="_bookmark49" w:id="100"/>
      <w:bookmarkEnd w:id="100"/>
      <w:r>
        <w:rPr/>
      </w:r>
      <w:r>
        <w:rPr/>
        <w:t>DBMS</w:t>
      </w:r>
    </w:p>
    <w:p>
      <w:pPr>
        <w:pStyle w:val="Heading6"/>
        <w:spacing w:line="249" w:lineRule="auto" w:before="128"/>
        <w:ind w:left="199" w:right="715"/>
      </w:pPr>
      <w:r>
        <w:rPr/>
        <w:t>DBMS 604 - CURRENT TRENDS IN CELLULAR AND MOLECULAR BIOLOGY OF ORAL TISSUES (1)</w:t>
      </w:r>
    </w:p>
    <w:p>
      <w:pPr>
        <w:pStyle w:val="BodyText"/>
        <w:spacing w:line="249" w:lineRule="auto" w:before="180"/>
        <w:ind w:right="651"/>
      </w:pPr>
      <w:r>
        <w:rPr/>
        <w:t>Presentations by students, faculty members, and guest speakers consist of original research work and related issues and trends in molecular biology research of oral tissues. The course emphasizes new methods in molecular and cell biology.</w:t>
      </w:r>
    </w:p>
    <w:p>
      <w:pPr>
        <w:pStyle w:val="Heading6"/>
        <w:spacing w:line="249" w:lineRule="auto" w:before="123"/>
        <w:ind w:right="1047"/>
      </w:pPr>
      <w:r>
        <w:rPr/>
        <w:t>DBMS 605 - SCIENTIFIC METHOD, WRITING, AND ETHICS (1)</w:t>
      </w:r>
    </w:p>
    <w:p>
      <w:pPr>
        <w:pStyle w:val="BodyText"/>
        <w:spacing w:line="249" w:lineRule="auto" w:before="184"/>
        <w:ind w:right="699"/>
      </w:pPr>
      <w:r>
        <w:rPr/>
        <w:t>Covers the scientific method, including the relationship of empirical vs. rational approaches. Emphasizes the formulation of hypothesis and experimental design and critical review of literature. The course also covers ethical issues and writing styles for scientific papers and research grant proposals.</w:t>
      </w:r>
    </w:p>
    <w:p>
      <w:pPr>
        <w:pStyle w:val="Heading6"/>
        <w:spacing w:line="249" w:lineRule="auto" w:before="125"/>
        <w:ind w:right="936"/>
      </w:pPr>
      <w:r>
        <w:rPr/>
        <w:t>DBMS 608 - INTRODUCTION TO BIOMEDICAL SCIENCES RESEARCH (1)</w:t>
      </w:r>
    </w:p>
    <w:p>
      <w:pPr>
        <w:pStyle w:val="BodyText"/>
        <w:spacing w:line="249" w:lineRule="auto" w:before="179"/>
        <w:ind w:right="650"/>
      </w:pPr>
      <w:r>
        <w:rPr/>
        <w:t>This course introduced new BMS graduate students to the program degree requirements and expectations, and it is recommended to be taken in the first year of the program, concurrent with the scientific writing course. Assignments pertain to assisting the student in selecting a research topic and mentor. Assignments include literature searches and description of three to five research questions of interest to the student, refining to one to three potential projects and meeting with potential mentors, and mentor selection and submission of final proposal.</w:t>
      </w:r>
    </w:p>
    <w:p>
      <w:pPr>
        <w:pStyle w:val="Heading6"/>
        <w:spacing w:line="249" w:lineRule="auto" w:before="127"/>
        <w:ind w:right="1381"/>
      </w:pPr>
      <w:r>
        <w:rPr/>
        <w:t>DBMS 611 - PRINCIPLES OF MAMMILIAN PHYSIOLOGY (6)</w:t>
      </w:r>
    </w:p>
    <w:p>
      <w:pPr>
        <w:pStyle w:val="BodyText"/>
        <w:spacing w:line="249" w:lineRule="auto" w:before="184"/>
        <w:ind w:right="633"/>
      </w:pPr>
      <w:r>
        <w:rPr/>
        <w:t>This course focuses on ideas of human physiology. Topics include cardiovascular, respiratory, gastrointestinal, nervous, renal,and endocrine systems; didactic method and seminar methods of instruction; and research aspects of physiology.</w:t>
      </w:r>
    </w:p>
    <w:p>
      <w:pPr>
        <w:spacing w:after="0" w:line="249" w:lineRule="auto"/>
        <w:sectPr>
          <w:headerReference w:type="default" r:id="rId84"/>
          <w:headerReference w:type="even" r:id="rId85"/>
          <w:pgSz w:w="12240" w:h="15840"/>
          <w:pgMar w:header="746" w:footer="0" w:top="1320" w:bottom="280" w:left="880" w:right="300"/>
          <w:pgNumType w:start="107"/>
          <w:cols w:num="2" w:equalWidth="0">
            <w:col w:w="4999" w:space="487"/>
            <w:col w:w="5574"/>
          </w:cols>
        </w:sectPr>
      </w:pPr>
    </w:p>
    <w:p>
      <w:pPr>
        <w:pStyle w:val="Heading6"/>
        <w:spacing w:before="100"/>
      </w:pPr>
      <w:r>
        <w:rPr/>
        <w:t>DBMS 614 - PHYSIOLOGY OF AGING (2)</w:t>
      </w:r>
    </w:p>
    <w:p>
      <w:pPr>
        <w:pStyle w:val="BodyText"/>
        <w:spacing w:line="249" w:lineRule="auto" w:before="187"/>
        <w:ind w:left="199" w:right="83"/>
      </w:pPr>
      <w:r>
        <w:rPr/>
        <w:t>This course for graduate students in health professions and others with an interest in gerontology focuses on cell biology, metabolic processes, cardiovascular, and neurobiological aspects of aging. Covers a pathophysiological basis for health problems of older adults. Students study alterations at the cell, organ, and system levels to provide the basis for clinical management of common health problems.Prerequisite: DBMS 611 or MPHY 600, or equivalent.</w:t>
      </w:r>
    </w:p>
    <w:p>
      <w:pPr>
        <w:pStyle w:val="Heading6"/>
        <w:spacing w:line="249" w:lineRule="auto" w:before="127"/>
        <w:ind w:left="199" w:right="370"/>
      </w:pPr>
      <w:r>
        <w:rPr/>
        <w:t>DBMS 618 - SPECIAL TOPICS IN BIOMEDICAL SCIENCE (1 TO 3)</w:t>
      </w:r>
    </w:p>
    <w:p>
      <w:pPr>
        <w:pStyle w:val="BodyText"/>
        <w:spacing w:line="249" w:lineRule="auto" w:before="184"/>
        <w:ind w:left="199" w:right="38"/>
      </w:pPr>
      <w:r>
        <w:rPr/>
        <w:t>This multi-sectioned course offers students research and educational opportunities in both the traditional biomedical disciplines and in several new, emerging areas of biology. Small groups of students and graduate faculty arrange the offerings. Areas of specialization include: Anatomy- Sect.</w:t>
      </w:r>
    </w:p>
    <w:p>
      <w:pPr>
        <w:pStyle w:val="BodyText"/>
        <w:spacing w:line="249" w:lineRule="auto" w:before="3"/>
        <w:ind w:left="199" w:right="48"/>
      </w:pPr>
      <w:r>
        <w:rPr/>
        <w:t>2 </w:t>
      </w:r>
      <w:r>
        <w:rPr>
          <w:spacing w:val="-3"/>
        </w:rPr>
        <w:t>Biochemistry- </w:t>
      </w:r>
      <w:r>
        <w:rPr/>
        <w:t>Sect. 3 Microbiology-Sect. 4 Microbiology-Sect. 4 is offered </w:t>
      </w:r>
      <w:r>
        <w:rPr>
          <w:spacing w:val="-4"/>
        </w:rPr>
        <w:t>for  </w:t>
      </w:r>
      <w:r>
        <w:rPr/>
        <w:t>1 to 3 credits. A student may </w:t>
      </w:r>
      <w:r>
        <w:rPr>
          <w:spacing w:val="-3"/>
        </w:rPr>
        <w:t>elect </w:t>
      </w:r>
      <w:r>
        <w:rPr/>
        <w:t>to take a 10 hour lecture portion </w:t>
      </w:r>
      <w:r>
        <w:rPr>
          <w:spacing w:val="-5"/>
        </w:rPr>
        <w:t>on </w:t>
      </w:r>
      <w:r>
        <w:rPr/>
        <w:t>advanced oral microbiology </w:t>
      </w:r>
      <w:r>
        <w:rPr>
          <w:spacing w:val="-4"/>
        </w:rPr>
        <w:t>for </w:t>
      </w:r>
      <w:r>
        <w:rPr/>
        <w:t>1 hour credit </w:t>
      </w:r>
      <w:r>
        <w:rPr>
          <w:spacing w:val="-3"/>
        </w:rPr>
        <w:t>and/or </w:t>
      </w:r>
      <w:r>
        <w:rPr/>
        <w:t>do special microbiology projects for 1 to 3 credits. The lecture segment covers oral microbial aspects </w:t>
      </w:r>
      <w:r>
        <w:rPr>
          <w:spacing w:val="-3"/>
        </w:rPr>
        <w:t>of </w:t>
      </w:r>
      <w:r>
        <w:rPr/>
        <w:t>oral </w:t>
      </w:r>
      <w:r>
        <w:rPr>
          <w:spacing w:val="-3"/>
        </w:rPr>
        <w:t>ecology, </w:t>
      </w:r>
      <w:r>
        <w:rPr/>
        <w:t>oral biofilms, dental caries, endodontic disease, periodontal disease, oral malodor, candida infections, viral infections and treatment strategies </w:t>
      </w:r>
      <w:r>
        <w:rPr>
          <w:spacing w:val="-4"/>
        </w:rPr>
        <w:t>for </w:t>
      </w:r>
      <w:r>
        <w:rPr/>
        <w:t>oral infections. The other options may be laboratory </w:t>
      </w:r>
      <w:r>
        <w:rPr>
          <w:spacing w:val="-3"/>
        </w:rPr>
        <w:t>or </w:t>
      </w:r>
      <w:r>
        <w:rPr/>
        <w:t>library special </w:t>
      </w:r>
      <w:r>
        <w:rPr>
          <w:spacing w:val="-3"/>
        </w:rPr>
        <w:t>projects </w:t>
      </w:r>
      <w:r>
        <w:rPr/>
        <w:t>in oral </w:t>
      </w:r>
      <w:r>
        <w:rPr>
          <w:spacing w:val="-3"/>
        </w:rPr>
        <w:t>or </w:t>
      </w:r>
      <w:r>
        <w:rPr/>
        <w:t>general microbiology. Any professor in the Department of Microbial Pathogenesis </w:t>
      </w:r>
      <w:r>
        <w:rPr>
          <w:spacing w:val="-3"/>
        </w:rPr>
        <w:t>can </w:t>
      </w:r>
      <w:r>
        <w:rPr/>
        <w:t>sponsor these projects. Pharmacology- Sect.5 Physiology - Sect. 6 Neuroscience - Sec. 7 Immunology Sect. 8 Molecular and Cell Biology - Sect. 9 Molecular endocrinology - Sect. 10 Mineralized tissues Sect-</w:t>
      </w:r>
      <w:r>
        <w:rPr>
          <w:spacing w:val="2"/>
        </w:rPr>
        <w:t> </w:t>
      </w:r>
      <w:r>
        <w:rPr/>
        <w:t>11</w:t>
      </w:r>
    </w:p>
    <w:p>
      <w:pPr>
        <w:pStyle w:val="Heading6"/>
        <w:spacing w:before="132"/>
        <w:ind w:left="199"/>
      </w:pPr>
      <w:r>
        <w:rPr/>
        <w:t>DBMS 619 - BIOMEDICAL SCIENCES SEMINAR (1)</w:t>
      </w:r>
    </w:p>
    <w:p>
      <w:pPr>
        <w:pStyle w:val="BodyText"/>
        <w:spacing w:line="249" w:lineRule="auto" w:before="188"/>
        <w:ind w:left="199" w:right="88"/>
      </w:pPr>
      <w:r>
        <w:rPr/>
        <w:t>Presenting seminars and participating in discussions is an important part of graduate education. Attendance at departmental seminars is a program requirement. The multidisciplinary program provides students and faculty the opportunity to learn about research across the curriculum. Students must present one seminar each year. Students register for and earn 1 credit hour in the semester that they present. Students must earn at least 4 credits with a minimum grade of B for graduation.</w:t>
      </w:r>
    </w:p>
    <w:p>
      <w:pPr>
        <w:pStyle w:val="Heading6"/>
        <w:spacing w:line="249" w:lineRule="auto" w:before="126"/>
        <w:ind w:left="199" w:right="192"/>
      </w:pPr>
      <w:r>
        <w:rPr/>
        <w:t>DBMS 620 - BIOMEDICAL ASPECTS OF DENTAL CARIES (2)</w:t>
      </w:r>
    </w:p>
    <w:p>
      <w:pPr>
        <w:pStyle w:val="BodyText"/>
        <w:spacing w:line="249" w:lineRule="auto" w:before="184"/>
        <w:ind w:left="199" w:right="55"/>
      </w:pPr>
      <w:r>
        <w:rPr/>
        <w:t>This course presents current, evidence-based information about biological aspects of dental caries. Topics include microbial mechanisms of caries; histopathology of enamel,</w:t>
      </w:r>
    </w:p>
    <w:p>
      <w:pPr>
        <w:pStyle w:val="BodyText"/>
        <w:spacing w:line="249" w:lineRule="auto" w:before="96"/>
        <w:ind w:left="199" w:right="722"/>
      </w:pPr>
      <w:r>
        <w:rPr/>
        <w:br w:type="column"/>
      </w:r>
      <w:r>
        <w:rPr/>
        <w:t>dentin, and root surface caries; composition and functions of saliva as they relate to dental caries; fluorides in dentistry, their mechanisms against dental decay, and systemic effects; dietary and nutritional aspects of caries; salivary dysfunction; remineralization of enamel; anti- cariogenic properties of chlorhexidine and xylitol; and caries risk assessment.</w:t>
      </w:r>
    </w:p>
    <w:p>
      <w:pPr>
        <w:pStyle w:val="Heading6"/>
        <w:spacing w:line="249" w:lineRule="auto" w:before="125"/>
        <w:ind w:left="199" w:right="2232"/>
      </w:pPr>
      <w:r>
        <w:rPr/>
        <w:t>DBMS 621 - ADVANCED DENTAL MICROBIOLOGY (4)</w:t>
      </w:r>
    </w:p>
    <w:p>
      <w:pPr>
        <w:pStyle w:val="BodyText"/>
        <w:spacing w:line="249" w:lineRule="auto" w:before="179"/>
        <w:ind w:left="199" w:right="812"/>
      </w:pPr>
      <w:r>
        <w:rPr/>
        <w:t>This course, intended for graduate students of oral microbiology, is supplemented with library readings and advanced laboratory experimentation. Four lecture hours each week with some laboratory experience.</w:t>
      </w:r>
    </w:p>
    <w:p>
      <w:pPr>
        <w:pStyle w:val="Heading6"/>
        <w:spacing w:line="249" w:lineRule="auto" w:before="123"/>
        <w:ind w:left="199" w:right="643"/>
      </w:pPr>
      <w:r>
        <w:rPr/>
        <w:t>DBMS 622 - IMMUNOLOGY AND ORAL DISEASES (3)</w:t>
      </w:r>
    </w:p>
    <w:p>
      <w:pPr>
        <w:pStyle w:val="BodyText"/>
        <w:spacing w:line="249" w:lineRule="auto" w:before="184"/>
        <w:ind w:left="199" w:right="750"/>
      </w:pPr>
      <w:r>
        <w:rPr/>
        <w:t>This course covers basic immunologic principles, clinical immunology, and immunologic studies of oral diseases. Offered spring semester.</w:t>
      </w:r>
    </w:p>
    <w:p>
      <w:pPr>
        <w:pStyle w:val="Heading6"/>
        <w:spacing w:line="249" w:lineRule="auto" w:before="122"/>
        <w:ind w:left="199" w:right="1071"/>
      </w:pPr>
      <w:r>
        <w:rPr/>
        <w:t>DBMS 625 - MAMMILIAN ORAL HISTOLOGY EMBRYOLOGY (2)</w:t>
      </w:r>
    </w:p>
    <w:p>
      <w:pPr>
        <w:pStyle w:val="BodyText"/>
        <w:spacing w:line="249" w:lineRule="auto" w:before="179"/>
        <w:ind w:left="199" w:right="617"/>
      </w:pPr>
      <w:r>
        <w:rPr/>
        <w:t>Developing and definitive oral and paraoral structures are presented, with special emphasis on recent advances in this field of study.</w:t>
      </w:r>
    </w:p>
    <w:p>
      <w:pPr>
        <w:pStyle w:val="Heading6"/>
        <w:spacing w:line="249" w:lineRule="auto" w:before="123"/>
        <w:ind w:left="199" w:right="627"/>
      </w:pPr>
      <w:r>
        <w:rPr/>
        <w:t>DBMS 626 - ADVANCED ORAL RADIOLOGY (1 TO 2)</w:t>
      </w:r>
    </w:p>
    <w:p>
      <w:pPr>
        <w:pStyle w:val="BodyText"/>
        <w:spacing w:line="249" w:lineRule="auto" w:before="184"/>
        <w:ind w:left="199" w:right="613"/>
      </w:pPr>
      <w:r>
        <w:rPr/>
        <w:t>This course provides advanced specialty education students advanced training in current oral and maxillofacial radiology techniques. The </w:t>
      </w:r>
      <w:r>
        <w:rPr>
          <w:spacing w:val="-3"/>
        </w:rPr>
        <w:t>primary, </w:t>
      </w:r>
      <w:r>
        <w:rPr/>
        <w:t>technical </w:t>
      </w:r>
      <w:r>
        <w:rPr>
          <w:spacing w:val="-3"/>
        </w:rPr>
        <w:t>focus </w:t>
      </w:r>
      <w:r>
        <w:rPr/>
        <w:t>of the course is </w:t>
      </w:r>
      <w:r>
        <w:rPr>
          <w:spacing w:val="-3"/>
        </w:rPr>
        <w:t>on </w:t>
      </w:r>
      <w:r>
        <w:rPr/>
        <w:t>dental cone beam computed</w:t>
      </w:r>
      <w:r>
        <w:rPr>
          <w:spacing w:val="-2"/>
        </w:rPr>
        <w:t> </w:t>
      </w:r>
      <w:r>
        <w:rPr/>
        <w:t>tomography.</w:t>
      </w:r>
    </w:p>
    <w:p>
      <w:pPr>
        <w:pStyle w:val="BodyText"/>
        <w:spacing w:line="249" w:lineRule="auto" w:before="2"/>
        <w:ind w:left="199" w:right="674"/>
      </w:pPr>
      <w:r>
        <w:rPr/>
        <w:t>During the didactic portion of the course, we also discuss the principles of magnetic resonance imaging. The course begins with lectures by the course director to introduce the topic of advanced oral radiographic methods and interpretation. Using lectures assisted with PowerPoint presentations, small groups of three to four graduate students then present on the following assigned topics: developmental anomalies; inflammatory diseases of the jaws; cysts; benign neoplasms; malignant neoplasms; fibro-osseous neoplasms; and systemic diseases. We complete the course with a review of incidental findings and lectures on CBCT diagnosis in the fields of implantology, endodontics, and growth and development. Our final lecture is seminar-style with presentation of unknown cases, with open discussion by students.</w:t>
      </w:r>
    </w:p>
    <w:p>
      <w:pPr>
        <w:spacing w:after="0" w:line="249" w:lineRule="auto"/>
        <w:sectPr>
          <w:pgSz w:w="12240" w:h="15840"/>
          <w:pgMar w:header="746" w:footer="0" w:top="1320" w:bottom="280" w:left="880" w:right="300"/>
          <w:cols w:num="2" w:equalWidth="0">
            <w:col w:w="5001" w:space="485"/>
            <w:col w:w="5574"/>
          </w:cols>
        </w:sectPr>
      </w:pPr>
    </w:p>
    <w:p>
      <w:pPr>
        <w:pStyle w:val="Heading6"/>
        <w:spacing w:line="249" w:lineRule="auto" w:before="100"/>
        <w:ind w:right="807"/>
      </w:pPr>
      <w:r>
        <w:rPr/>
        <w:t>DBMS 628 - ADVANCED HEAD AND NECK ANATOMY (2 TO</w:t>
      </w:r>
      <w:r>
        <w:rPr>
          <w:spacing w:val="-2"/>
        </w:rPr>
        <w:t> </w:t>
      </w:r>
      <w:r>
        <w:rPr/>
        <w:t>4)</w:t>
      </w:r>
    </w:p>
    <w:p>
      <w:pPr>
        <w:pStyle w:val="BodyText"/>
        <w:spacing w:line="249" w:lineRule="auto" w:before="179"/>
        <w:ind w:right="175"/>
      </w:pPr>
      <w:r>
        <w:rPr/>
        <w:t>This course gives students a working knowledge of the functional anatomy of the head and neck through detailed dissection and</w:t>
      </w:r>
      <w:r>
        <w:rPr>
          <w:spacing w:val="3"/>
        </w:rPr>
        <w:t> </w:t>
      </w:r>
      <w:r>
        <w:rPr/>
        <w:t>lectures.</w:t>
      </w:r>
    </w:p>
    <w:p>
      <w:pPr>
        <w:pStyle w:val="Heading6"/>
        <w:spacing w:before="122"/>
      </w:pPr>
      <w:r>
        <w:rPr/>
        <w:t>DBMS 631 - ORAL MOTOR FUNCTION (2)</w:t>
      </w:r>
    </w:p>
    <w:p>
      <w:pPr>
        <w:pStyle w:val="BodyText"/>
        <w:spacing w:line="249" w:lineRule="auto" w:before="192"/>
        <w:ind w:right="38"/>
      </w:pPr>
      <w:r>
        <w:rPr/>
        <w:t>This course provides biomedical sciences students </w:t>
      </w:r>
      <w:r>
        <w:rPr>
          <w:spacing w:val="-3"/>
        </w:rPr>
        <w:t>with an </w:t>
      </w:r>
      <w:r>
        <w:rPr/>
        <w:t>updated, in-depth presentation </w:t>
      </w:r>
      <w:r>
        <w:rPr>
          <w:spacing w:val="-3"/>
        </w:rPr>
        <w:t>of </w:t>
      </w:r>
      <w:r>
        <w:rPr/>
        <w:t>mandibular function and neuromuscular control mechanisms involved in mastication, swallowing, and speech. Lectures and student presentations </w:t>
      </w:r>
      <w:r>
        <w:rPr>
          <w:spacing w:val="-3"/>
        </w:rPr>
        <w:t>cover </w:t>
      </w:r>
      <w:r>
        <w:rPr/>
        <w:t>the morphology, physiology, pharmacology, and pathology </w:t>
      </w:r>
      <w:r>
        <w:rPr>
          <w:spacing w:val="-3"/>
        </w:rPr>
        <w:t>of </w:t>
      </w:r>
      <w:r>
        <w:rPr/>
        <w:t>structures required </w:t>
      </w:r>
      <w:r>
        <w:rPr>
          <w:spacing w:val="-5"/>
        </w:rPr>
        <w:t>for  </w:t>
      </w:r>
      <w:r>
        <w:rPr/>
        <w:t>oral </w:t>
      </w:r>
      <w:r>
        <w:rPr>
          <w:spacing w:val="-3"/>
        </w:rPr>
        <w:t>motility. </w:t>
      </w:r>
      <w:r>
        <w:rPr/>
        <w:t>Emphasis is </w:t>
      </w:r>
      <w:r>
        <w:rPr>
          <w:spacing w:val="-5"/>
        </w:rPr>
        <w:t>on </w:t>
      </w:r>
      <w:r>
        <w:rPr/>
        <w:t>the clinical relevance </w:t>
      </w:r>
      <w:r>
        <w:rPr>
          <w:spacing w:val="-3"/>
        </w:rPr>
        <w:t>of </w:t>
      </w:r>
      <w:r>
        <w:rPr/>
        <w:t>basic science information.Prerequisite: </w:t>
      </w:r>
      <w:r>
        <w:rPr>
          <w:spacing w:val="-3"/>
        </w:rPr>
        <w:t>DBMS </w:t>
      </w:r>
      <w:r>
        <w:rPr/>
        <w:t>611 </w:t>
      </w:r>
      <w:r>
        <w:rPr>
          <w:spacing w:val="-3"/>
        </w:rPr>
        <w:t>or</w:t>
      </w:r>
      <w:r>
        <w:rPr>
          <w:spacing w:val="3"/>
        </w:rPr>
        <w:t> </w:t>
      </w:r>
      <w:r>
        <w:rPr/>
        <w:t>equivalent.</w:t>
      </w:r>
    </w:p>
    <w:p>
      <w:pPr>
        <w:pStyle w:val="Heading6"/>
        <w:spacing w:line="249" w:lineRule="auto" w:before="126"/>
        <w:ind w:right="1363" w:hanging="1"/>
      </w:pPr>
      <w:r>
        <w:rPr/>
        <w:t>DBMS 633 - THE ANATOMY OF THE TEMPOROMANDIBULAR JOINT (1)</w:t>
      </w:r>
    </w:p>
    <w:p>
      <w:pPr>
        <w:pStyle w:val="BodyText"/>
        <w:spacing w:line="249" w:lineRule="auto" w:before="180"/>
        <w:ind w:right="40"/>
      </w:pPr>
      <w:r>
        <w:rPr/>
        <w:t>Graduate and postgraduate students learn about developmental, microscopic, and gross anatomic features of the temporomandibular joint through lectures and seminars </w:t>
      </w:r>
      <w:r>
        <w:rPr>
          <w:spacing w:val="-3"/>
        </w:rPr>
        <w:t>by </w:t>
      </w:r>
      <w:r>
        <w:rPr/>
        <w:t>the Department </w:t>
      </w:r>
      <w:r>
        <w:rPr>
          <w:spacing w:val="-3"/>
        </w:rPr>
        <w:t>of </w:t>
      </w:r>
      <w:r>
        <w:rPr/>
        <w:t>Anatomy and Neurobiology and clinical disciplines.</w:t>
      </w:r>
    </w:p>
    <w:p>
      <w:pPr>
        <w:pStyle w:val="Heading6"/>
        <w:spacing w:before="123"/>
      </w:pPr>
      <w:r>
        <w:rPr/>
        <w:t>DBMS 635 - BACTERIAL GENETICS (4)</w:t>
      </w:r>
    </w:p>
    <w:p>
      <w:pPr>
        <w:pStyle w:val="BodyText"/>
        <w:spacing w:line="249" w:lineRule="auto" w:before="193"/>
        <w:ind w:right="80"/>
      </w:pPr>
      <w:r>
        <w:rPr/>
        <w:t>This course covers induction, expression, and selection </w:t>
      </w:r>
      <w:r>
        <w:rPr>
          <w:spacing w:val="-3"/>
        </w:rPr>
        <w:t>of </w:t>
      </w:r>
      <w:r>
        <w:rPr/>
        <w:t>mutants; molecular basis </w:t>
      </w:r>
      <w:r>
        <w:rPr>
          <w:spacing w:val="-3"/>
        </w:rPr>
        <w:t>of </w:t>
      </w:r>
      <w:r>
        <w:rPr/>
        <w:t>mutations; transfer </w:t>
      </w:r>
      <w:r>
        <w:rPr>
          <w:spacing w:val="-3"/>
        </w:rPr>
        <w:t>of </w:t>
      </w:r>
      <w:r>
        <w:rPr/>
        <w:t>genetic information by transformation, transduction, and conjugation; complementation and recombination in phage and bacteria; plasmids; and recombinant </w:t>
      </w:r>
      <w:r>
        <w:rPr>
          <w:spacing w:val="-3"/>
        </w:rPr>
        <w:t>DNA. Offered </w:t>
      </w:r>
      <w:r>
        <w:rPr/>
        <w:t>first semester. Two lectures/discussion periods </w:t>
      </w:r>
      <w:r>
        <w:rPr>
          <w:spacing w:val="-3"/>
        </w:rPr>
        <w:t>per </w:t>
      </w:r>
      <w:r>
        <w:rPr>
          <w:spacing w:val="-4"/>
        </w:rPr>
        <w:t>week </w:t>
      </w:r>
      <w:r>
        <w:rPr/>
        <w:t>deal </w:t>
      </w:r>
      <w:r>
        <w:rPr>
          <w:spacing w:val="-3"/>
        </w:rPr>
        <w:t>with </w:t>
      </w:r>
      <w:r>
        <w:rPr/>
        <w:t>the genetics </w:t>
      </w:r>
      <w:r>
        <w:rPr>
          <w:spacing w:val="-3"/>
        </w:rPr>
        <w:t>of </w:t>
      </w:r>
      <w:r>
        <w:rPr/>
        <w:t>bacteria and bacterial</w:t>
      </w:r>
      <w:r>
        <w:rPr>
          <w:spacing w:val="-1"/>
        </w:rPr>
        <w:t> </w:t>
      </w:r>
      <w:r>
        <w:rPr/>
        <w:t>viruses.</w:t>
      </w:r>
    </w:p>
    <w:p>
      <w:pPr>
        <w:pStyle w:val="BodyText"/>
        <w:spacing w:before="5"/>
      </w:pPr>
      <w:r>
        <w:rPr/>
        <w:t>Cross-listed with GPLS 635.</w:t>
      </w:r>
    </w:p>
    <w:p>
      <w:pPr>
        <w:pStyle w:val="Heading6"/>
        <w:spacing w:line="249" w:lineRule="auto"/>
        <w:ind w:right="212"/>
      </w:pPr>
      <w:r>
        <w:rPr/>
        <w:t>DBMS 636 - PHARMACOLOGY OF ANESTHETIC DRUGS (3)</w:t>
      </w:r>
    </w:p>
    <w:p>
      <w:pPr>
        <w:pStyle w:val="BodyText"/>
        <w:spacing w:line="249" w:lineRule="auto" w:before="179"/>
        <w:ind w:right="121"/>
      </w:pPr>
      <w:r>
        <w:rPr/>
        <w:t>This course covers basic pharmacologic aspects of general and local anesthetic drugs and drugs used for pain control. Topics include theories on the mechanism of action, structure-activity relationships, physiological effects of these agents, and drug interactions and clinical aspects.</w:t>
      </w:r>
    </w:p>
    <w:p>
      <w:pPr>
        <w:pStyle w:val="Heading6"/>
        <w:spacing w:line="249" w:lineRule="auto" w:before="124"/>
        <w:ind w:right="1684"/>
      </w:pPr>
      <w:r>
        <w:rPr/>
        <w:t>DBMS 637 - PEDIATRIC DENTAL PHARMACOLOGY (1)</w:t>
      </w:r>
    </w:p>
    <w:p>
      <w:pPr>
        <w:pStyle w:val="BodyText"/>
        <w:spacing w:line="249" w:lineRule="auto" w:before="184"/>
        <w:ind w:right="308"/>
      </w:pPr>
      <w:r>
        <w:rPr/>
        <w:t>This course consists of current topics related to drug actions in pediatric dental pharmacology. The course is structured as an online series of lecture presentations on the pharmacology of pediatric dental drugs and their importance to patient care.</w:t>
      </w:r>
    </w:p>
    <w:p>
      <w:pPr>
        <w:pStyle w:val="Heading6"/>
        <w:spacing w:before="97"/>
      </w:pPr>
      <w:r>
        <w:rPr>
          <w:b w:val="0"/>
        </w:rPr>
        <w:br w:type="column"/>
      </w:r>
      <w:r>
        <w:rPr/>
        <w:t>DBMS 638 - BIOSTATISTICS (1 TO 3)</w:t>
      </w:r>
    </w:p>
    <w:p>
      <w:pPr>
        <w:pStyle w:val="BodyText"/>
        <w:spacing w:line="249" w:lineRule="auto" w:before="187"/>
        <w:ind w:right="860"/>
      </w:pPr>
      <w:r>
        <w:rPr/>
        <w:t>This course introduces students to research design and statistics as they apply to dentistry to allow students to evaluate literature in their fields and work cooperatively with a statistician on research projects.</w:t>
      </w:r>
    </w:p>
    <w:p>
      <w:pPr>
        <w:pStyle w:val="Heading6"/>
        <w:spacing w:line="249" w:lineRule="auto" w:before="123"/>
        <w:ind w:right="602"/>
      </w:pPr>
      <w:r>
        <w:rPr/>
        <w:t>DBMS 639 - ADVANCED DENTAL BIOMATERIALS I (2)</w:t>
      </w:r>
    </w:p>
    <w:p>
      <w:pPr>
        <w:pStyle w:val="BodyText"/>
        <w:spacing w:line="249" w:lineRule="auto" w:before="184"/>
        <w:ind w:right="609"/>
      </w:pPr>
      <w:r>
        <w:rPr/>
        <w:t>This course has three primary objectives. The first objective is to </w:t>
      </w:r>
      <w:r>
        <w:rPr>
          <w:spacing w:val="-3"/>
        </w:rPr>
        <w:t>develop </w:t>
      </w:r>
      <w:r>
        <w:rPr/>
        <w:t>a student?s understanding </w:t>
      </w:r>
      <w:r>
        <w:rPr>
          <w:spacing w:val="-3"/>
        </w:rPr>
        <w:t>of </w:t>
      </w:r>
      <w:r>
        <w:rPr/>
        <w:t>the physical and chemical properties </w:t>
      </w:r>
      <w:r>
        <w:rPr>
          <w:spacing w:val="-3"/>
        </w:rPr>
        <w:t>of </w:t>
      </w:r>
      <w:r>
        <w:rPr/>
        <w:t>dental biomaterials and the correlation </w:t>
      </w:r>
      <w:r>
        <w:rPr>
          <w:spacing w:val="-3"/>
        </w:rPr>
        <w:t>of </w:t>
      </w:r>
      <w:r>
        <w:rPr/>
        <w:t>these materials? characteristics with the selection </w:t>
      </w:r>
      <w:r>
        <w:rPr>
          <w:spacing w:val="-3"/>
        </w:rPr>
        <w:t>of </w:t>
      </w:r>
      <w:r>
        <w:rPr/>
        <w:t>dental biomaterials </w:t>
      </w:r>
      <w:r>
        <w:rPr>
          <w:spacing w:val="-4"/>
        </w:rPr>
        <w:t>for </w:t>
      </w:r>
      <w:r>
        <w:rPr/>
        <w:t>clinical use. The second objective is to </w:t>
      </w:r>
      <w:r>
        <w:rPr>
          <w:spacing w:val="-3"/>
        </w:rPr>
        <w:t>develop </w:t>
      </w:r>
      <w:r>
        <w:rPr/>
        <w:t>an understanding </w:t>
      </w:r>
      <w:r>
        <w:rPr>
          <w:spacing w:val="-3"/>
        </w:rPr>
        <w:t>of </w:t>
      </w:r>
      <w:r>
        <w:rPr/>
        <w:t>how dental biomaterials behave in the clinical setting and </w:t>
      </w:r>
      <w:r>
        <w:rPr>
          <w:spacing w:val="-3"/>
        </w:rPr>
        <w:t>which </w:t>
      </w:r>
      <w:r>
        <w:rPr/>
        <w:t>characteristics determine their selection and clinical application. The third </w:t>
      </w:r>
      <w:r>
        <w:rPr>
          <w:spacing w:val="-3"/>
        </w:rPr>
        <w:t>objective </w:t>
      </w:r>
      <w:r>
        <w:rPr/>
        <w:t>is to develop the ability to read dental biomaterials research papers, to follow the progress </w:t>
      </w:r>
      <w:r>
        <w:rPr>
          <w:spacing w:val="-3"/>
        </w:rPr>
        <w:t>of </w:t>
      </w:r>
      <w:r>
        <w:rPr/>
        <w:t>dental biomaterials? new development and research activities, and to </w:t>
      </w:r>
      <w:r>
        <w:rPr>
          <w:spacing w:val="-3"/>
        </w:rPr>
        <w:t>be </w:t>
      </w:r>
      <w:r>
        <w:rPr/>
        <w:t>able to summarize and present literature review</w:t>
      </w:r>
      <w:r>
        <w:rPr>
          <w:spacing w:val="-11"/>
        </w:rPr>
        <w:t> </w:t>
      </w:r>
      <w:r>
        <w:rPr/>
        <w:t>findings.</w:t>
      </w:r>
    </w:p>
    <w:p>
      <w:pPr>
        <w:pStyle w:val="Heading6"/>
        <w:spacing w:line="249" w:lineRule="auto"/>
        <w:ind w:right="602"/>
      </w:pPr>
      <w:r>
        <w:rPr/>
        <w:t>DBMS 640 - ADVANCED DENTAL BIOMATERIALS II (2)</w:t>
      </w:r>
    </w:p>
    <w:p>
      <w:pPr>
        <w:pStyle w:val="BodyText"/>
        <w:spacing w:line="249" w:lineRule="auto" w:before="179"/>
        <w:ind w:right="608"/>
      </w:pPr>
      <w:r>
        <w:rPr/>
        <w:t>This course provides doctoral students in the </w:t>
      </w:r>
      <w:r>
        <w:rPr>
          <w:spacing w:val="-3"/>
        </w:rPr>
        <w:t>BMS </w:t>
      </w:r>
      <w:r>
        <w:rPr/>
        <w:t>PhD Program </w:t>
      </w:r>
      <w:r>
        <w:rPr>
          <w:spacing w:val="-3"/>
        </w:rPr>
        <w:t>with </w:t>
      </w:r>
      <w:r>
        <w:rPr/>
        <w:t>advanced training in the use </w:t>
      </w:r>
      <w:r>
        <w:rPr>
          <w:spacing w:val="-3"/>
        </w:rPr>
        <w:t>of </w:t>
      </w:r>
      <w:r>
        <w:rPr/>
        <w:t>advanced dental biomaterials. The primary technical </w:t>
      </w:r>
      <w:r>
        <w:rPr>
          <w:spacing w:val="-3"/>
        </w:rPr>
        <w:t>focus </w:t>
      </w:r>
      <w:r>
        <w:rPr/>
        <w:t>of this course is </w:t>
      </w:r>
      <w:r>
        <w:rPr>
          <w:spacing w:val="-3"/>
        </w:rPr>
        <w:t>on </w:t>
      </w:r>
      <w:r>
        <w:rPr/>
        <w:t>an enhanced understanding </w:t>
      </w:r>
      <w:r>
        <w:rPr>
          <w:spacing w:val="-3"/>
        </w:rPr>
        <w:t>of </w:t>
      </w:r>
      <w:r>
        <w:rPr/>
        <w:t>the physical and chemical properties </w:t>
      </w:r>
      <w:r>
        <w:rPr>
          <w:spacing w:val="-3"/>
        </w:rPr>
        <w:t>of </w:t>
      </w:r>
      <w:r>
        <w:rPr/>
        <w:t>dental biomaterials and the correlation </w:t>
      </w:r>
      <w:r>
        <w:rPr>
          <w:spacing w:val="-3"/>
        </w:rPr>
        <w:t>of </w:t>
      </w:r>
      <w:r>
        <w:rPr/>
        <w:t>these materials? characteristics </w:t>
      </w:r>
      <w:r>
        <w:rPr>
          <w:spacing w:val="-3"/>
        </w:rPr>
        <w:t>with </w:t>
      </w:r>
      <w:r>
        <w:rPr/>
        <w:t>the selection </w:t>
      </w:r>
      <w:r>
        <w:rPr>
          <w:spacing w:val="-3"/>
        </w:rPr>
        <w:t>of </w:t>
      </w:r>
      <w:r>
        <w:rPr/>
        <w:t>dental biomaterials </w:t>
      </w:r>
      <w:r>
        <w:rPr>
          <w:spacing w:val="-4"/>
        </w:rPr>
        <w:t>for </w:t>
      </w:r>
      <w:r>
        <w:rPr/>
        <w:t>clinical use, including preventive and restorative dental materials. </w:t>
      </w:r>
      <w:r>
        <w:rPr>
          <w:spacing w:val="-3"/>
        </w:rPr>
        <w:t>In </w:t>
      </w:r>
      <w:r>
        <w:rPr/>
        <w:t>addition, this course provides students </w:t>
      </w:r>
      <w:r>
        <w:rPr>
          <w:spacing w:val="-3"/>
        </w:rPr>
        <w:t>with </w:t>
      </w:r>
      <w:r>
        <w:rPr/>
        <w:t>an understanding </w:t>
      </w:r>
      <w:r>
        <w:rPr>
          <w:spacing w:val="-3"/>
        </w:rPr>
        <w:t>of </w:t>
      </w:r>
      <w:r>
        <w:rPr/>
        <w:t>how dental biomaterials </w:t>
      </w:r>
      <w:r>
        <w:rPr>
          <w:spacing w:val="-3"/>
        </w:rPr>
        <w:t>behave </w:t>
      </w:r>
      <w:r>
        <w:rPr/>
        <w:t>in the clinical setting, which characteristics determine their selection and clinical applications, and the importance </w:t>
      </w:r>
      <w:r>
        <w:rPr>
          <w:spacing w:val="-3"/>
        </w:rPr>
        <w:t>of </w:t>
      </w:r>
      <w:r>
        <w:rPr/>
        <w:t>physical, mechanical and biological properties including biocompatibility and long-term durability. Furthermore, the course provides training </w:t>
      </w:r>
      <w:r>
        <w:rPr>
          <w:spacing w:val="-4"/>
        </w:rPr>
        <w:t>for </w:t>
      </w:r>
      <w:r>
        <w:rPr/>
        <w:t>the students to research the literature, study research papers </w:t>
      </w:r>
      <w:r>
        <w:rPr>
          <w:spacing w:val="-3"/>
        </w:rPr>
        <w:t>on </w:t>
      </w:r>
      <w:r>
        <w:rPr/>
        <w:t>dental biomaterials, follow the progress of new dental biomaterials </w:t>
      </w:r>
      <w:r>
        <w:rPr>
          <w:spacing w:val="-3"/>
        </w:rPr>
        <w:t>RD, </w:t>
      </w:r>
      <w:r>
        <w:rPr/>
        <w:t>and to </w:t>
      </w:r>
      <w:r>
        <w:rPr>
          <w:spacing w:val="-3"/>
        </w:rPr>
        <w:t>be </w:t>
      </w:r>
      <w:r>
        <w:rPr/>
        <w:t>able to summarize and present literature review findings. Pre- Requisite: </w:t>
      </w:r>
      <w:r>
        <w:rPr>
          <w:spacing w:val="-3"/>
        </w:rPr>
        <w:t>DBMS</w:t>
      </w:r>
      <w:r>
        <w:rPr>
          <w:spacing w:val="5"/>
        </w:rPr>
        <w:t> </w:t>
      </w:r>
      <w:r>
        <w:rPr/>
        <w:t>639</w:t>
      </w:r>
    </w:p>
    <w:p>
      <w:pPr>
        <w:pStyle w:val="Heading6"/>
        <w:spacing w:line="249" w:lineRule="auto" w:before="134"/>
        <w:ind w:right="1702"/>
      </w:pPr>
      <w:r>
        <w:rPr/>
        <w:t>DBMS 642 - NOCICEPTION, PAIN, AND ANALGESIA (2)</w:t>
      </w:r>
    </w:p>
    <w:p>
      <w:pPr>
        <w:pStyle w:val="BodyText"/>
        <w:spacing w:line="249" w:lineRule="auto" w:before="183"/>
        <w:ind w:right="698"/>
      </w:pPr>
      <w:r>
        <w:rPr/>
        <w:t>Emphasis is on the nervous system mechanisms responsible for nociception, pain, and the alleviation of pain. Classical and current research in the neuroanatomy, neurochemistry, and neurophysiology of pain relate to clinical observations, pain syndromes, and mechanisms of</w:t>
      </w:r>
    </w:p>
    <w:p>
      <w:pPr>
        <w:spacing w:after="0" w:line="249" w:lineRule="auto"/>
        <w:sectPr>
          <w:pgSz w:w="12240" w:h="15840"/>
          <w:pgMar w:header="746" w:footer="0" w:top="1320" w:bottom="280" w:left="880" w:right="300"/>
          <w:cols w:num="2" w:equalWidth="0">
            <w:col w:w="5005" w:space="482"/>
            <w:col w:w="5573"/>
          </w:cols>
        </w:sectPr>
      </w:pPr>
    </w:p>
    <w:p>
      <w:pPr>
        <w:pStyle w:val="BodyText"/>
        <w:spacing w:line="249" w:lineRule="auto" w:before="100"/>
        <w:ind w:right="584"/>
        <w:jc w:val="both"/>
      </w:pPr>
      <w:r>
        <w:rPr/>
        <w:t>analgesic drugs. Material is most relevant for dental, medical, and nursing graduate students. Offered fall semester. Prerequisite: DBMS 611 or equivalent.</w:t>
      </w:r>
    </w:p>
    <w:p>
      <w:pPr>
        <w:pStyle w:val="Heading6"/>
        <w:spacing w:line="249" w:lineRule="auto" w:before="122"/>
        <w:ind w:right="1203"/>
      </w:pPr>
      <w:r>
        <w:rPr/>
        <w:t>DBMS 643 - THE NEUROBIOLOGY OF NOCICEPTION AND PAIN (3)</w:t>
      </w:r>
    </w:p>
    <w:p>
      <w:pPr>
        <w:pStyle w:val="BodyText"/>
        <w:spacing w:line="249" w:lineRule="auto" w:before="179"/>
        <w:ind w:left="199" w:right="123"/>
      </w:pPr>
      <w:r>
        <w:rPr/>
        <w:t>Designed for neuroscience graduate students in all health disciplines, this course focuses on the basic science and research aspects of nociception and pain. Topics include the neuroanatomy, neurophysiology, neuropharmacology, and the psychophysics of nociception and pain. Weekly, two-hour class meetings consist of student presentations and group discussions, based on a reading list provided by the faculty. Cross-listed with GPLS 643. Prerequisite: GPLS 641.</w:t>
      </w:r>
    </w:p>
    <w:p>
      <w:pPr>
        <w:pStyle w:val="Heading6"/>
        <w:spacing w:before="127"/>
        <w:ind w:left="199"/>
      </w:pPr>
      <w:r>
        <w:rPr/>
        <w:t>DBMS 653 - TECHNIQUES IN MICROSCOPY (4)</w:t>
      </w:r>
    </w:p>
    <w:p>
      <w:pPr>
        <w:pStyle w:val="BodyText"/>
        <w:spacing w:line="249" w:lineRule="auto" w:before="192"/>
        <w:ind w:left="199" w:right="38"/>
      </w:pPr>
      <w:r>
        <w:rPr/>
        <w:t>Students </w:t>
      </w:r>
      <w:r>
        <w:rPr>
          <w:spacing w:val="-3"/>
        </w:rPr>
        <w:t>learn </w:t>
      </w:r>
      <w:r>
        <w:rPr/>
        <w:t>techniques used to prepare biological material </w:t>
      </w:r>
      <w:r>
        <w:rPr>
          <w:spacing w:val="-4"/>
        </w:rPr>
        <w:t>for </w:t>
      </w:r>
      <w:r>
        <w:rPr/>
        <w:t>examination </w:t>
      </w:r>
      <w:r>
        <w:rPr>
          <w:spacing w:val="-3"/>
        </w:rPr>
        <w:t>with </w:t>
      </w:r>
      <w:r>
        <w:rPr/>
        <w:t>light and electron microscopes. The course covers theory of light and electron optics. Students use various techniques to help solve problems that may require a microscope in individual research</w:t>
      </w:r>
      <w:r>
        <w:rPr>
          <w:spacing w:val="1"/>
        </w:rPr>
        <w:t> </w:t>
      </w:r>
      <w:r>
        <w:rPr/>
        <w:t>projects.</w:t>
      </w:r>
    </w:p>
    <w:p>
      <w:pPr>
        <w:pStyle w:val="Heading6"/>
        <w:spacing w:line="249" w:lineRule="auto" w:before="125"/>
        <w:ind w:left="199" w:right="93"/>
      </w:pPr>
      <w:r>
        <w:rPr/>
        <w:t>DBMS 668 - ORAL INHALATION SEDATION (1 TO 2)</w:t>
      </w:r>
    </w:p>
    <w:p>
      <w:pPr>
        <w:pStyle w:val="BodyText"/>
        <w:spacing w:line="249" w:lineRule="auto" w:before="179"/>
        <w:ind w:left="199" w:right="22"/>
      </w:pPr>
      <w:r>
        <w:rPr/>
        <w:t>This intensive course is offered to the dentist for training in the safe and effective use of combined inhalation-enteral conscious sedation in the adult dental patient. This course will follow objectives and course content based on the current American Dental Association (ADA) guidelines for teaching combined inhalation-enteral conscious sedation (combined conscious sedation). The information is designed to cover material necessary to apply for a Class I sedation permit in Maryland. The course is case-based and offers in-depth discussion of each aspect of the sedation regimen including scenarios of how to do things correctly as well as what can go wrong.</w:t>
      </w:r>
    </w:p>
    <w:p>
      <w:pPr>
        <w:pStyle w:val="Heading6"/>
        <w:spacing w:before="129"/>
        <w:ind w:left="199"/>
      </w:pPr>
      <w:r>
        <w:rPr/>
        <w:t>DBMS 708 - LABORATORY ROTATIONS (1 TO 3)</w:t>
      </w:r>
    </w:p>
    <w:p>
      <w:pPr>
        <w:pStyle w:val="BodyText"/>
        <w:spacing w:line="249" w:lineRule="auto" w:before="192"/>
        <w:ind w:left="199" w:right="95"/>
      </w:pPr>
      <w:r>
        <w:rPr/>
        <w:t>This course provides students with practical laboratory experience in a variety of techniques and allows them to become familiar with the faculty members and their research. Doctoral students are required to complete at least two rotations in different laboratories in the program. Rotations may run either one full semester or one half semester (eight weeks). All rotations should be completed by the end of the fourth semester in the program.</w:t>
      </w:r>
    </w:p>
    <w:p>
      <w:pPr>
        <w:pStyle w:val="Heading6"/>
        <w:spacing w:line="249" w:lineRule="auto" w:before="96"/>
        <w:ind w:left="199" w:right="748"/>
      </w:pPr>
      <w:r>
        <w:rPr>
          <w:b w:val="0"/>
        </w:rPr>
        <w:br w:type="column"/>
      </w:r>
      <w:r>
        <w:rPr/>
        <w:t>DBMS 799 - MASTER'S THESIS RESEARCH (1 TO 12)</w:t>
      </w:r>
    </w:p>
    <w:p>
      <w:pPr>
        <w:pStyle w:val="BodyText"/>
        <w:spacing w:line="249" w:lineRule="auto" w:before="179"/>
        <w:ind w:left="199" w:right="1045"/>
      </w:pPr>
      <w:r>
        <w:rPr/>
        <w:t>Required enrollment for students engaged in master?s thesis studies.</w:t>
      </w:r>
    </w:p>
    <w:p>
      <w:pPr>
        <w:pStyle w:val="Heading6"/>
        <w:spacing w:before="122"/>
        <w:ind w:left="199"/>
      </w:pPr>
      <w:r>
        <w:rPr/>
        <w:t>DBMS 898 - PRE-CANDIDACY RESEARCH (1 TO 8)</w:t>
      </w:r>
    </w:p>
    <w:p>
      <w:pPr>
        <w:pStyle w:val="BodyText"/>
        <w:spacing w:line="249" w:lineRule="auto" w:before="192"/>
        <w:ind w:left="199" w:right="789"/>
      </w:pPr>
      <w:r>
        <w:rPr/>
        <w:t>Required enrollment for students engaged in doctoral dissertation studies prior to their admission to candidacy.</w:t>
      </w:r>
    </w:p>
    <w:p>
      <w:pPr>
        <w:pStyle w:val="Heading6"/>
        <w:spacing w:line="249" w:lineRule="auto" w:before="122"/>
        <w:ind w:left="199" w:right="1543"/>
      </w:pPr>
      <w:r>
        <w:rPr/>
        <w:t>DBMS 899 - DOCTORAL DISSERTATION RESEARCH (1 TO 12)</w:t>
      </w:r>
    </w:p>
    <w:p>
      <w:pPr>
        <w:pStyle w:val="BodyText"/>
        <w:spacing w:line="249" w:lineRule="auto" w:before="179"/>
        <w:ind w:left="199" w:right="1089"/>
      </w:pPr>
      <w:r>
        <w:rPr/>
        <w:t>Required enrollment for students engaged in doctoral dissertation studies.</w:t>
      </w:r>
    </w:p>
    <w:p>
      <w:pPr>
        <w:pStyle w:val="Heading2"/>
        <w:spacing w:before="191"/>
      </w:pPr>
      <w:bookmarkStart w:name="DPAT" w:id="101"/>
      <w:bookmarkEnd w:id="101"/>
      <w:r>
        <w:rPr/>
      </w:r>
      <w:bookmarkStart w:name="_bookmark50" w:id="102"/>
      <w:bookmarkEnd w:id="102"/>
      <w:r>
        <w:rPr/>
      </w:r>
      <w:r>
        <w:rPr/>
        <w:t>DPAT</w:t>
      </w:r>
    </w:p>
    <w:p>
      <w:pPr>
        <w:pStyle w:val="Heading6"/>
        <w:spacing w:line="249" w:lineRule="auto" w:before="128"/>
        <w:ind w:right="792"/>
      </w:pPr>
      <w:r>
        <w:rPr/>
        <w:t>DPAT 612 - PROBLEMS IN ORAL PATHOLOGY I (2)</w:t>
      </w:r>
    </w:p>
    <w:p>
      <w:pPr>
        <w:pStyle w:val="BodyText"/>
        <w:spacing w:line="249" w:lineRule="auto" w:before="184"/>
        <w:ind w:right="721"/>
      </w:pPr>
      <w:r>
        <w:rPr/>
        <w:t>This course covers pathology of selected oral lesions with emphasis on advances in diagnostic techniques.</w:t>
      </w:r>
    </w:p>
    <w:p>
      <w:pPr>
        <w:pStyle w:val="BodyText"/>
        <w:spacing w:before="2"/>
      </w:pPr>
      <w:r>
        <w:rPr/>
        <w:t>Prerequisite: a basic course in pathology</w:t>
      </w:r>
    </w:p>
    <w:p>
      <w:pPr>
        <w:pStyle w:val="Heading6"/>
        <w:spacing w:line="249" w:lineRule="auto"/>
        <w:ind w:right="714"/>
      </w:pPr>
      <w:r>
        <w:rPr/>
        <w:t>DPAT 613 - PROBLEMS IN ORAL PATHOLOGY II (2)</w:t>
      </w:r>
    </w:p>
    <w:p>
      <w:pPr>
        <w:pStyle w:val="BodyText"/>
        <w:spacing w:line="249" w:lineRule="auto" w:before="179"/>
        <w:ind w:right="721"/>
      </w:pPr>
      <w:r>
        <w:rPr/>
        <w:t>This course covers pathology of selected oral lesions with emphasis on advances in diagnostic techniques.</w:t>
      </w:r>
    </w:p>
    <w:p>
      <w:pPr>
        <w:pStyle w:val="BodyText"/>
        <w:spacing w:before="1"/>
      </w:pPr>
      <w:r>
        <w:rPr/>
        <w:t>Prerequisite: DPAT 612</w:t>
      </w:r>
    </w:p>
    <w:p>
      <w:pPr>
        <w:pStyle w:val="Heading6"/>
      </w:pPr>
      <w:r>
        <w:rPr/>
        <w:t>DPAT 614 - HISTOPATHOLOGY TECHNIQUE I (4)</w:t>
      </w:r>
    </w:p>
    <w:p>
      <w:pPr>
        <w:pStyle w:val="BodyText"/>
        <w:spacing w:line="249" w:lineRule="auto" w:before="193"/>
        <w:ind w:right="760"/>
      </w:pPr>
      <w:r>
        <w:rPr/>
        <w:t>This course covers methods used to prepare pathologic tissues for microscopic examination. Prerequisite: a basic course in pathology</w:t>
      </w:r>
    </w:p>
    <w:p>
      <w:pPr>
        <w:pStyle w:val="Heading6"/>
        <w:spacing w:before="122"/>
      </w:pPr>
      <w:r>
        <w:rPr/>
        <w:t>DPAT 615 - HISTOPATHOLOGY TECHNIQUE II (4)</w:t>
      </w:r>
    </w:p>
    <w:p>
      <w:pPr>
        <w:pStyle w:val="BodyText"/>
        <w:spacing w:line="249" w:lineRule="auto" w:before="187"/>
        <w:ind w:right="760"/>
      </w:pPr>
      <w:r>
        <w:rPr/>
        <w:t>This course covers methods used to prepare pathologic tissues for microscopic examination. Prerequisite: a basic course in pathology</w:t>
      </w:r>
    </w:p>
    <w:p>
      <w:pPr>
        <w:pStyle w:val="Heading6"/>
        <w:spacing w:before="123"/>
      </w:pPr>
      <w:r>
        <w:rPr/>
        <w:t>DPAT 616 - PATHOLOGY OF ORAL LESIONS I (3)</w:t>
      </w:r>
    </w:p>
    <w:p>
      <w:pPr>
        <w:pStyle w:val="BodyText"/>
        <w:spacing w:line="249" w:lineRule="auto" w:before="192"/>
        <w:ind w:right="861"/>
      </w:pPr>
      <w:r>
        <w:rPr/>
        <w:t>This course covers common and rare lesions of the head and neck. Prerequisites: DPAT 612 and 613.</w:t>
      </w:r>
    </w:p>
    <w:p>
      <w:pPr>
        <w:pStyle w:val="Heading6"/>
        <w:spacing w:before="122"/>
      </w:pPr>
      <w:r>
        <w:rPr/>
        <w:t>DPAT 617 - PATHOLOGY OF ORAL LESIONS II (3)</w:t>
      </w:r>
    </w:p>
    <w:p>
      <w:pPr>
        <w:pStyle w:val="BodyText"/>
        <w:spacing w:line="249" w:lineRule="auto" w:before="187"/>
        <w:ind w:right="861"/>
      </w:pPr>
      <w:r>
        <w:rPr/>
        <w:t>This course covers common and rare lesions of the head and neck. Prerequisite: DPAT 616.</w:t>
      </w:r>
    </w:p>
    <w:p>
      <w:pPr>
        <w:pStyle w:val="Heading6"/>
        <w:spacing w:before="122"/>
      </w:pPr>
      <w:r>
        <w:rPr/>
        <w:t>DPAT 618 - SEMINAR (1)</w:t>
      </w:r>
    </w:p>
    <w:p>
      <w:pPr>
        <w:pStyle w:val="BodyText"/>
        <w:spacing w:line="249" w:lineRule="auto" w:before="192"/>
        <w:ind w:right="807"/>
      </w:pPr>
      <w:r>
        <w:rPr/>
        <w:t>This seminar covers recent advances in oral pathology. Prerequisite: a basic course in pathology.</w:t>
      </w:r>
    </w:p>
    <w:p>
      <w:pPr>
        <w:spacing w:after="0" w:line="249" w:lineRule="auto"/>
        <w:sectPr>
          <w:headerReference w:type="default" r:id="rId86"/>
          <w:headerReference w:type="even" r:id="rId87"/>
          <w:pgSz w:w="12240" w:h="15840"/>
          <w:pgMar w:header="746" w:footer="0" w:top="1320" w:bottom="280" w:left="880" w:right="300"/>
          <w:cols w:num="2" w:equalWidth="0">
            <w:col w:w="4996" w:space="490"/>
            <w:col w:w="5574"/>
          </w:cols>
        </w:sectPr>
      </w:pPr>
    </w:p>
    <w:p>
      <w:pPr>
        <w:pStyle w:val="Heading6"/>
        <w:spacing w:line="249" w:lineRule="auto" w:before="100"/>
        <w:ind w:left="199" w:right="205"/>
      </w:pPr>
      <w:r>
        <w:rPr/>
        <w:t>DPAT 799 - MASTER'S THESIS RESEARCH (1 TO 8)</w:t>
      </w:r>
    </w:p>
    <w:p>
      <w:pPr>
        <w:pStyle w:val="BodyText"/>
        <w:spacing w:line="249" w:lineRule="auto" w:before="179"/>
        <w:ind w:left="199" w:right="469"/>
      </w:pPr>
      <w:r>
        <w:rPr/>
        <w:t>Required enrollment for students engaged in master?s thesis studies.</w:t>
      </w:r>
    </w:p>
    <w:p>
      <w:pPr>
        <w:pStyle w:val="Heading6"/>
        <w:spacing w:before="121"/>
      </w:pPr>
      <w:r>
        <w:rPr/>
        <w:t>DPAT 898 - PRE-CANDIDACY RESEARCH (1 TO 8)</w:t>
      </w:r>
    </w:p>
    <w:p>
      <w:pPr>
        <w:pStyle w:val="BodyText"/>
        <w:spacing w:line="249" w:lineRule="auto" w:before="193"/>
        <w:ind w:right="212"/>
      </w:pPr>
      <w:r>
        <w:rPr/>
        <w:t>Required enrollment for students engaged in doctoral dissertation studies prior to their admission to candidacy.</w:t>
      </w:r>
    </w:p>
    <w:p>
      <w:pPr>
        <w:pStyle w:val="Heading6"/>
        <w:spacing w:line="249" w:lineRule="auto" w:before="121"/>
        <w:ind w:right="999"/>
      </w:pPr>
      <w:r>
        <w:rPr/>
        <w:t>DPAT 899 - DOCTORAL DISSERTATION RESEARCH (1 TO 12)</w:t>
      </w:r>
    </w:p>
    <w:p>
      <w:pPr>
        <w:pStyle w:val="BodyText"/>
        <w:spacing w:line="249" w:lineRule="auto" w:before="179"/>
        <w:ind w:right="512"/>
      </w:pPr>
      <w:r>
        <w:rPr/>
        <w:t>Required enrollment for students engaged in doctoral dissertation studies.</w:t>
      </w:r>
    </w:p>
    <w:p>
      <w:pPr>
        <w:pStyle w:val="Heading2"/>
        <w:spacing w:before="188"/>
      </w:pPr>
      <w:bookmarkStart w:name="ETHC" w:id="103"/>
      <w:bookmarkEnd w:id="103"/>
      <w:r>
        <w:rPr/>
      </w:r>
      <w:bookmarkStart w:name="_bookmark51" w:id="104"/>
      <w:bookmarkEnd w:id="104"/>
      <w:r>
        <w:rPr/>
      </w:r>
      <w:r>
        <w:rPr/>
        <w:t>ETHC</w:t>
      </w:r>
    </w:p>
    <w:p>
      <w:pPr>
        <w:pStyle w:val="Heading6"/>
        <w:spacing w:line="249" w:lineRule="auto" w:before="128"/>
        <w:ind w:right="782"/>
      </w:pPr>
      <w:r>
        <w:rPr/>
        <w:t>ETHC 629 - INTRODUCTION TO ETHICAL THEORY</w:t>
      </w:r>
      <w:r>
        <w:rPr>
          <w:spacing w:val="1"/>
        </w:rPr>
        <w:t> </w:t>
      </w:r>
      <w:r>
        <w:rPr/>
        <w:t>(2)</w:t>
      </w:r>
    </w:p>
    <w:p>
      <w:pPr>
        <w:pStyle w:val="BodyText"/>
        <w:spacing w:line="249" w:lineRule="auto" w:before="184"/>
        <w:ind w:right="69"/>
      </w:pPr>
      <w:r>
        <w:rPr/>
        <w:t>This course introduces students to the prominent theories in ethics and political philosophy that inform our ethical arguments and the articulation </w:t>
      </w:r>
      <w:r>
        <w:rPr>
          <w:spacing w:val="-3"/>
        </w:rPr>
        <w:t>of </w:t>
      </w:r>
      <w:r>
        <w:rPr/>
        <w:t>our values. </w:t>
      </w:r>
      <w:r>
        <w:rPr>
          <w:spacing w:val="-3"/>
        </w:rPr>
        <w:t>By </w:t>
      </w:r>
      <w:r>
        <w:rPr/>
        <w:t>the end </w:t>
      </w:r>
      <w:r>
        <w:rPr>
          <w:spacing w:val="-3"/>
        </w:rPr>
        <w:t>of </w:t>
      </w:r>
      <w:r>
        <w:rPr/>
        <w:t>the course, students are able to articulate ethical problems, understand how these problems </w:t>
      </w:r>
      <w:r>
        <w:rPr>
          <w:spacing w:val="-3"/>
        </w:rPr>
        <w:t>differ </w:t>
      </w:r>
      <w:r>
        <w:rPr/>
        <w:t>from problems that can </w:t>
      </w:r>
      <w:r>
        <w:rPr>
          <w:spacing w:val="-3"/>
        </w:rPr>
        <w:t>be </w:t>
      </w:r>
      <w:r>
        <w:rPr/>
        <w:t>addressed by empirical investigations </w:t>
      </w:r>
      <w:r>
        <w:rPr>
          <w:spacing w:val="-3"/>
        </w:rPr>
        <w:t>or </w:t>
      </w:r>
      <w:r>
        <w:rPr/>
        <w:t>scientific discoveries; and </w:t>
      </w:r>
      <w:r>
        <w:rPr>
          <w:spacing w:val="-3"/>
        </w:rPr>
        <w:t>can </w:t>
      </w:r>
      <w:r>
        <w:rPr/>
        <w:t>explain the difference between  various schools </w:t>
      </w:r>
      <w:r>
        <w:rPr>
          <w:spacing w:val="-3"/>
        </w:rPr>
        <w:t>of </w:t>
      </w:r>
      <w:r>
        <w:rPr/>
        <w:t>thoughts in ethics, and </w:t>
      </w:r>
      <w:r>
        <w:rPr>
          <w:spacing w:val="-3"/>
        </w:rPr>
        <w:t>can analyze </w:t>
      </w:r>
      <w:r>
        <w:rPr/>
        <w:t>ethical claims in terms </w:t>
      </w:r>
      <w:r>
        <w:rPr>
          <w:spacing w:val="-3"/>
        </w:rPr>
        <w:t>of </w:t>
      </w:r>
      <w:r>
        <w:rPr/>
        <w:t>their theoretical assumptions and commitments.</w:t>
      </w:r>
    </w:p>
    <w:p>
      <w:pPr>
        <w:pStyle w:val="Heading6"/>
        <w:spacing w:line="249" w:lineRule="auto" w:before="127"/>
        <w:ind w:right="660"/>
      </w:pPr>
      <w:r>
        <w:rPr/>
        <w:t>ETHC 635 - FUNDAMENTALS OF COORDINATING CLINICAL RESEARCH (2)</w:t>
      </w:r>
    </w:p>
    <w:p>
      <w:pPr>
        <w:pStyle w:val="BodyText"/>
        <w:spacing w:line="249" w:lineRule="auto" w:before="180"/>
        <w:ind w:right="57"/>
      </w:pPr>
      <w:r>
        <w:rPr/>
        <w:t>The clinical research coordinator (CRC) is a specialized research professional that works with, and under the direction of, the clinical investigator. Although the clinical investigator is legally responsible for the management of the clinical trial at a site, the CRC handles the majority of the daily clinical trial activities and plays a critical role in the study conduct. This course reviews the knowledge and skills necessary to be a good CRC, the duties and responsibilities of a CRC, and the importance of the CRC to be an efficient and effective operative of clinical trials.</w:t>
      </w:r>
    </w:p>
    <w:p>
      <w:pPr>
        <w:pStyle w:val="Heading6"/>
        <w:spacing w:line="249" w:lineRule="auto" w:before="127"/>
        <w:ind w:right="594"/>
      </w:pPr>
      <w:r>
        <w:rPr/>
        <w:t>ETHC 637 - INTRODUCTION TO RESEARCH ETHICS (3)</w:t>
      </w:r>
    </w:p>
    <w:p>
      <w:pPr>
        <w:pStyle w:val="BodyText"/>
        <w:spacing w:line="249" w:lineRule="auto" w:before="184"/>
        <w:ind w:right="79"/>
      </w:pPr>
      <w:r>
        <w:rPr/>
        <w:t>This course acquaints students with basic concepts in research ethics, examines the ethical and philosophical issues raised by involving human subjects in research, and reviews concepts of risks and benefits, vulnerability, privacy and confidentiality, undue inducement, exploitation, equipoise, and therapeutic misconception. By</w:t>
      </w:r>
    </w:p>
    <w:p>
      <w:pPr>
        <w:pStyle w:val="BodyText"/>
        <w:spacing w:line="249" w:lineRule="auto" w:before="97"/>
        <w:ind w:right="671"/>
      </w:pPr>
      <w:r>
        <w:rPr/>
        <w:br w:type="column"/>
      </w:r>
      <w:r>
        <w:rPr/>
        <w:t>the end of the course, students are able to analyze research protocols and assess the ethical appropriateness of such protocols.</w:t>
      </w:r>
    </w:p>
    <w:p>
      <w:pPr>
        <w:pStyle w:val="Heading6"/>
        <w:spacing w:line="249" w:lineRule="auto" w:before="123"/>
        <w:ind w:right="1546"/>
      </w:pPr>
      <w:r>
        <w:rPr/>
        <w:t>ETHC 638 - ISSUES IN INTERNATIONAL RESEARCH ETHICS (3)</w:t>
      </w:r>
    </w:p>
    <w:p>
      <w:pPr>
        <w:pStyle w:val="BodyText"/>
        <w:spacing w:line="249" w:lineRule="auto" w:before="179"/>
        <w:ind w:right="628"/>
      </w:pPr>
      <w:r>
        <w:rPr/>
        <w:t>This course examines the ethical and philosophical issues raised by research involving human subjects that is conducted in international settings, and examines issues involved with the standard of care, informed consent, exploitation, post-trial benefits, and a developmental and organizational model of ethics review systems. By the end of the course, students are able to construct and support valid arguments in the analysis of exploitative research; analyze ethical questions regarding international collaborations in research, describe methods to achieve a culturally valid informed consent; describe the issues involved with tissue sample research performed between international partners, and assess an ethical review an international protocol.</w:t>
      </w:r>
    </w:p>
    <w:p>
      <w:pPr>
        <w:pStyle w:val="Heading6"/>
        <w:spacing w:line="249" w:lineRule="auto"/>
        <w:ind w:right="652"/>
      </w:pPr>
      <w:r>
        <w:rPr/>
        <w:t>ETHC 639 - REGULATORY AND LEGAL ASPECTS OF INSTITUTIONAL REVIEW BOARDS (2)</w:t>
      </w:r>
    </w:p>
    <w:p>
      <w:pPr>
        <w:pStyle w:val="BodyText"/>
        <w:spacing w:line="249" w:lineRule="auto" w:before="184"/>
        <w:ind w:right="770"/>
      </w:pPr>
      <w:r>
        <w:rPr/>
        <w:t>This course covers the legal and regulatory aspects of ethical review systems, and covers topics critical to performing clinical research including structures and operations of institutional review boards, understanding investigational new drug (IND) applications, and conflict of interest issues. By the end of the course, students are able to explain the issues involved with regulating institutional review boards and human subject protection programs.</w:t>
      </w:r>
    </w:p>
    <w:p>
      <w:pPr>
        <w:pStyle w:val="Heading6"/>
        <w:spacing w:before="126"/>
      </w:pPr>
      <w:r>
        <w:rPr/>
        <w:t>ETHC 640 - ETHICS OF GLOBALIZATION (1)</w:t>
      </w:r>
    </w:p>
    <w:p>
      <w:pPr>
        <w:pStyle w:val="BodyText"/>
        <w:spacing w:line="249" w:lineRule="auto" w:before="188"/>
        <w:ind w:right="619"/>
      </w:pPr>
      <w:r>
        <w:rPr/>
        <w:t>This course introduces students to the identification and assessment </w:t>
      </w:r>
      <w:r>
        <w:rPr>
          <w:spacing w:val="-3"/>
        </w:rPr>
        <w:t>of </w:t>
      </w:r>
      <w:r>
        <w:rPr/>
        <w:t>moral dilemmas in the context </w:t>
      </w:r>
      <w:r>
        <w:rPr>
          <w:spacing w:val="-3"/>
        </w:rPr>
        <w:t>of </w:t>
      </w:r>
      <w:r>
        <w:rPr/>
        <w:t>changes and development in an increasingly globalized world </w:t>
      </w:r>
      <w:r>
        <w:rPr>
          <w:spacing w:val="-3"/>
        </w:rPr>
        <w:t>with </w:t>
      </w:r>
      <w:r>
        <w:rPr/>
        <w:t>attention to </w:t>
      </w:r>
      <w:r>
        <w:rPr>
          <w:spacing w:val="-3"/>
        </w:rPr>
        <w:t>both </w:t>
      </w:r>
      <w:r>
        <w:rPr/>
        <w:t>its theoretical and practical dimensions, including </w:t>
      </w:r>
      <w:r>
        <w:rPr>
          <w:spacing w:val="-3"/>
        </w:rPr>
        <w:t>global </w:t>
      </w:r>
      <w:r>
        <w:rPr/>
        <w:t>health. By the end </w:t>
      </w:r>
      <w:r>
        <w:rPr>
          <w:spacing w:val="-3"/>
        </w:rPr>
        <w:t>of </w:t>
      </w:r>
      <w:r>
        <w:rPr/>
        <w:t>the course, students are </w:t>
      </w:r>
      <w:r>
        <w:rPr>
          <w:spacing w:val="-3"/>
        </w:rPr>
        <w:t>be </w:t>
      </w:r>
      <w:r>
        <w:rPr/>
        <w:t>able to explain the </w:t>
      </w:r>
      <w:r>
        <w:rPr>
          <w:spacing w:val="-3"/>
        </w:rPr>
        <w:t>forces </w:t>
      </w:r>
      <w:r>
        <w:rPr/>
        <w:t>associated with globalization; evaluate the impact </w:t>
      </w:r>
      <w:r>
        <w:rPr>
          <w:spacing w:val="-3"/>
        </w:rPr>
        <w:t>of </w:t>
      </w:r>
      <w:r>
        <w:rPr/>
        <w:t>globalization </w:t>
      </w:r>
      <w:r>
        <w:rPr>
          <w:spacing w:val="-5"/>
        </w:rPr>
        <w:t>on </w:t>
      </w:r>
      <w:r>
        <w:rPr/>
        <w:t>social justice issues; evaluate the moral theories underlying a just globalization; and explain the moral dilemmas </w:t>
      </w:r>
      <w:r>
        <w:rPr>
          <w:spacing w:val="-3"/>
        </w:rPr>
        <w:t>posed </w:t>
      </w:r>
      <w:r>
        <w:rPr/>
        <w:t>by an increasingly globalized</w:t>
      </w:r>
      <w:r>
        <w:rPr>
          <w:spacing w:val="-11"/>
        </w:rPr>
        <w:t> </w:t>
      </w:r>
      <w:r>
        <w:rPr/>
        <w:t>world.</w:t>
      </w:r>
    </w:p>
    <w:p>
      <w:pPr>
        <w:pStyle w:val="Heading6"/>
        <w:spacing w:line="249" w:lineRule="auto" w:before="127"/>
        <w:ind w:right="1313"/>
      </w:pPr>
      <w:r>
        <w:rPr/>
        <w:t>ETHC 641 - INTRODUCTION TO MEDICAL ETHICS (3)</w:t>
      </w:r>
    </w:p>
    <w:p>
      <w:pPr>
        <w:pStyle w:val="BodyText"/>
        <w:spacing w:line="249" w:lineRule="auto" w:before="184"/>
        <w:ind w:right="720"/>
      </w:pPr>
      <w:r>
        <w:rPr/>
        <w:t>This course introduces graduate and professional students to clinical ethics consultations as a field of medical ethics and as a field of scholarly inquiry and analysis. It accomplishes this primarily by exploring diverse methods of scholarly inquiry in bioethics, and considers their</w:t>
      </w:r>
    </w:p>
    <w:p>
      <w:pPr>
        <w:spacing w:after="0" w:line="249" w:lineRule="auto"/>
        <w:sectPr>
          <w:pgSz w:w="12240" w:h="15840"/>
          <w:pgMar w:header="746" w:footer="0" w:top="1320" w:bottom="280" w:left="880" w:right="300"/>
          <w:cols w:num="2" w:equalWidth="0">
            <w:col w:w="4998" w:space="489"/>
            <w:col w:w="5573"/>
          </w:cols>
        </w:sectPr>
      </w:pPr>
    </w:p>
    <w:p>
      <w:pPr>
        <w:pStyle w:val="BodyText"/>
        <w:spacing w:line="249" w:lineRule="auto" w:before="100"/>
        <w:ind w:right="24"/>
      </w:pPr>
      <w:r>
        <w:rPr/>
        <w:t>application to the clinical setting. The course also looks at the historical development of ethics committees and ethics consultation services designed to bring bioethics into the clinical setting. Students explore different disciplinary approaches to bioethics through readings, online class discussions and activities and online presentations. Weekly reading assignments drawn from the literature of bioethics provide context and background for the online discussions. The course concentrates on a variety of controversial topics and issues that are confronted by health care professionals, families, and patients in a tertiary hospital.</w:t>
      </w:r>
    </w:p>
    <w:p>
      <w:pPr>
        <w:pStyle w:val="Heading6"/>
        <w:spacing w:line="249" w:lineRule="auto" w:before="128"/>
        <w:ind w:left="199" w:right="227"/>
      </w:pPr>
      <w:r>
        <w:rPr/>
        <w:t>ETHC 642 - CLINICAL ETHICS CONSULTATION (1)</w:t>
      </w:r>
    </w:p>
    <w:p>
      <w:pPr>
        <w:pStyle w:val="BodyText"/>
        <w:spacing w:line="249" w:lineRule="auto" w:before="179"/>
        <w:ind w:left="199" w:right="66"/>
      </w:pPr>
      <w:r>
        <w:rPr/>
        <w:t>This course focuses </w:t>
      </w:r>
      <w:r>
        <w:rPr>
          <w:spacing w:val="-3"/>
        </w:rPr>
        <w:t>on </w:t>
      </w:r>
      <w:r>
        <w:rPr/>
        <w:t>the practical aspects </w:t>
      </w:r>
      <w:r>
        <w:rPr>
          <w:spacing w:val="-3"/>
        </w:rPr>
        <w:t>of </w:t>
      </w:r>
      <w:r>
        <w:rPr/>
        <w:t>performing ethics consultations in the hospital setting. The course consists </w:t>
      </w:r>
      <w:r>
        <w:rPr>
          <w:spacing w:val="-3"/>
        </w:rPr>
        <w:t>of </w:t>
      </w:r>
      <w:r>
        <w:rPr/>
        <w:t>an online component and an on-site component. The online component consists </w:t>
      </w:r>
      <w:r>
        <w:rPr>
          <w:spacing w:val="-3"/>
        </w:rPr>
        <w:t>of </w:t>
      </w:r>
      <w:r>
        <w:rPr/>
        <w:t>a </w:t>
      </w:r>
      <w:r>
        <w:rPr>
          <w:spacing w:val="-3"/>
        </w:rPr>
        <w:t>comprehensive </w:t>
      </w:r>
      <w:r>
        <w:rPr/>
        <w:t>overview of the history of ethics committees, the ethics consultation </w:t>
      </w:r>
      <w:r>
        <w:rPr>
          <w:spacing w:val="-3"/>
        </w:rPr>
        <w:t>process, </w:t>
      </w:r>
      <w:r>
        <w:rPr/>
        <w:t>different models </w:t>
      </w:r>
      <w:r>
        <w:rPr>
          <w:spacing w:val="-3"/>
        </w:rPr>
        <w:t>of </w:t>
      </w:r>
      <w:r>
        <w:rPr/>
        <w:t>ethics consultation, case analysis skills, communication skills, and frequent case write-ups based </w:t>
      </w:r>
      <w:r>
        <w:rPr>
          <w:spacing w:val="-3"/>
        </w:rPr>
        <w:t>on </w:t>
      </w:r>
      <w:r>
        <w:rPr/>
        <w:t>fictitious cases. The on-site practicum teaches students the hands-on skills required to do ethics consultation and mediation in healthcare</w:t>
      </w:r>
      <w:r>
        <w:rPr>
          <w:spacing w:val="-2"/>
        </w:rPr>
        <w:t> </w:t>
      </w:r>
      <w:r>
        <w:rPr/>
        <w:t>settings.</w:t>
      </w:r>
    </w:p>
    <w:p>
      <w:pPr>
        <w:pStyle w:val="Heading6"/>
        <w:spacing w:line="249" w:lineRule="auto" w:before="128"/>
        <w:ind w:left="199" w:right="717"/>
      </w:pPr>
      <w:r>
        <w:rPr/>
        <w:t>ETHC 665 - RESPONSIBLE CONDUCT OF RESEARCH INTERNATIONAL AFFAIRS (1)</w:t>
      </w:r>
    </w:p>
    <w:p>
      <w:pPr>
        <w:pStyle w:val="BodyText"/>
        <w:spacing w:line="249" w:lineRule="auto" w:before="184"/>
        <w:ind w:left="199" w:right="51"/>
      </w:pPr>
      <w:r>
        <w:rPr/>
        <w:t>This course examines the ethical responsibilities </w:t>
      </w:r>
      <w:r>
        <w:rPr>
          <w:spacing w:val="-3"/>
        </w:rPr>
        <w:t>of </w:t>
      </w:r>
      <w:r>
        <w:rPr/>
        <w:t>conducting research </w:t>
      </w:r>
      <w:r>
        <w:rPr>
          <w:spacing w:val="-3"/>
        </w:rPr>
        <w:t>with </w:t>
      </w:r>
      <w:r>
        <w:rPr/>
        <w:t>special emphasis </w:t>
      </w:r>
      <w:r>
        <w:rPr>
          <w:spacing w:val="-5"/>
        </w:rPr>
        <w:t>on </w:t>
      </w:r>
      <w:r>
        <w:rPr/>
        <w:t>collaborative international research that involve scientific integrity, determination </w:t>
      </w:r>
      <w:r>
        <w:rPr>
          <w:spacing w:val="-3"/>
        </w:rPr>
        <w:t>of </w:t>
      </w:r>
      <w:r>
        <w:rPr/>
        <w:t>authorship, peer review, conflicts </w:t>
      </w:r>
      <w:r>
        <w:rPr>
          <w:spacing w:val="-3"/>
        </w:rPr>
        <w:t>of </w:t>
      </w:r>
      <w:r>
        <w:rPr/>
        <w:t>interest, ownership </w:t>
      </w:r>
      <w:r>
        <w:rPr>
          <w:spacing w:val="-3"/>
        </w:rPr>
        <w:t>of </w:t>
      </w:r>
      <w:r>
        <w:rPr/>
        <w:t>data, and intellectual property across borders </w:t>
      </w:r>
      <w:r>
        <w:rPr>
          <w:spacing w:val="-3"/>
        </w:rPr>
        <w:t>with </w:t>
      </w:r>
      <w:r>
        <w:rPr/>
        <w:t>differing </w:t>
      </w:r>
      <w:r>
        <w:rPr>
          <w:spacing w:val="-3"/>
        </w:rPr>
        <w:t>laws. By </w:t>
      </w:r>
      <w:r>
        <w:rPr/>
        <w:t>the end </w:t>
      </w:r>
      <w:r>
        <w:rPr>
          <w:spacing w:val="-3"/>
        </w:rPr>
        <w:t>of </w:t>
      </w:r>
      <w:r>
        <w:rPr/>
        <w:t>the course, students are </w:t>
      </w:r>
      <w:r>
        <w:rPr>
          <w:spacing w:val="-3"/>
        </w:rPr>
        <w:t>be </w:t>
      </w:r>
      <w:r>
        <w:rPr/>
        <w:t>able to describe examples </w:t>
      </w:r>
      <w:r>
        <w:rPr>
          <w:spacing w:val="-3"/>
        </w:rPr>
        <w:t>of </w:t>
      </w:r>
      <w:r>
        <w:rPr/>
        <w:t>research misconduct and methods </w:t>
      </w:r>
      <w:r>
        <w:rPr>
          <w:spacing w:val="-3"/>
        </w:rPr>
        <w:t>of </w:t>
      </w:r>
      <w:r>
        <w:rPr/>
        <w:t>dealing </w:t>
      </w:r>
      <w:r>
        <w:rPr>
          <w:spacing w:val="-3"/>
        </w:rPr>
        <w:t>with </w:t>
      </w:r>
      <w:r>
        <w:rPr/>
        <w:t>misconduct; </w:t>
      </w:r>
      <w:r>
        <w:rPr>
          <w:spacing w:val="-3"/>
        </w:rPr>
        <w:t>can </w:t>
      </w:r>
      <w:r>
        <w:rPr/>
        <w:t>discuss the relationship </w:t>
      </w:r>
      <w:r>
        <w:rPr>
          <w:spacing w:val="-3"/>
        </w:rPr>
        <w:t>between </w:t>
      </w:r>
      <w:r>
        <w:rPr/>
        <w:t>authorship and accountability; can discuss the ethical and legal foundations </w:t>
      </w:r>
      <w:r>
        <w:rPr>
          <w:spacing w:val="-3"/>
        </w:rPr>
        <w:t>of </w:t>
      </w:r>
      <w:r>
        <w:rPr/>
        <w:t>intellectual </w:t>
      </w:r>
      <w:r>
        <w:rPr>
          <w:spacing w:val="-3"/>
        </w:rPr>
        <w:t>property; </w:t>
      </w:r>
      <w:r>
        <w:rPr/>
        <w:t>and </w:t>
      </w:r>
      <w:r>
        <w:rPr>
          <w:spacing w:val="-3"/>
        </w:rPr>
        <w:t>can </w:t>
      </w:r>
      <w:r>
        <w:rPr/>
        <w:t>describe how conflicts of interest </w:t>
      </w:r>
      <w:r>
        <w:rPr>
          <w:spacing w:val="-3"/>
        </w:rPr>
        <w:t>can </w:t>
      </w:r>
      <w:r>
        <w:rPr/>
        <w:t>corrupt scientific</w:t>
      </w:r>
      <w:r>
        <w:rPr>
          <w:spacing w:val="-4"/>
        </w:rPr>
        <w:t> </w:t>
      </w:r>
      <w:r>
        <w:rPr/>
        <w:t>objectivity.</w:t>
      </w:r>
    </w:p>
    <w:p>
      <w:pPr>
        <w:pStyle w:val="Heading2"/>
        <w:spacing w:before="197"/>
      </w:pPr>
      <w:bookmarkStart w:name="FMED" w:id="105"/>
      <w:bookmarkEnd w:id="105"/>
      <w:r>
        <w:rPr/>
      </w:r>
      <w:bookmarkStart w:name="_bookmark52" w:id="106"/>
      <w:bookmarkEnd w:id="106"/>
      <w:r>
        <w:rPr/>
      </w:r>
      <w:r>
        <w:rPr/>
        <w:t>FMED</w:t>
      </w:r>
    </w:p>
    <w:p>
      <w:pPr>
        <w:pStyle w:val="Heading6"/>
        <w:spacing w:line="249" w:lineRule="auto" w:before="129"/>
        <w:ind w:right="1199"/>
      </w:pPr>
      <w:r>
        <w:rPr/>
        <w:t>FMED 610 - FORENSIC TOXICOLOGY LABORATORY (3)</w:t>
      </w:r>
    </w:p>
    <w:p>
      <w:pPr>
        <w:pStyle w:val="BodyText"/>
        <w:spacing w:line="249" w:lineRule="auto" w:before="179"/>
        <w:ind w:left="199" w:right="195"/>
      </w:pPr>
      <w:r>
        <w:rPr/>
        <w:t>Forensic toxicology laboratory provides students with basic analytical methods to detect drugs and chemicals in biological samples. Students also learn the procedures of sample collection, storage and testing result analysis. The course is given by case presentation with discussion and hand-on laboratory training.</w:t>
      </w:r>
    </w:p>
    <w:p>
      <w:pPr>
        <w:pStyle w:val="Heading6"/>
        <w:spacing w:before="99"/>
        <w:ind w:left="199"/>
      </w:pPr>
      <w:r>
        <w:rPr>
          <w:b w:val="0"/>
        </w:rPr>
        <w:br w:type="column"/>
      </w:r>
      <w:r>
        <w:rPr/>
        <w:t>FMED 620 - HOMICIDE EVIDENCE SEMINAR (3)</w:t>
      </w:r>
    </w:p>
    <w:p>
      <w:pPr>
        <w:pStyle w:val="BodyText"/>
        <w:spacing w:line="249" w:lineRule="auto" w:before="188"/>
        <w:ind w:left="199" w:right="649"/>
      </w:pPr>
      <w:r>
        <w:rPr/>
        <w:t>This course explores medico-legal death investigation, and basic techniques in forensic pathology and forensic sciences. The week-long seminar provides professionals with training in all aspects of forensic investigation.</w:t>
      </w:r>
    </w:p>
    <w:p>
      <w:pPr>
        <w:pStyle w:val="Heading6"/>
        <w:spacing w:before="123"/>
        <w:ind w:left="199"/>
      </w:pPr>
      <w:r>
        <w:rPr/>
        <w:t>FMED 710 - FORENSIC PATHOLOGY (6)</w:t>
      </w:r>
    </w:p>
    <w:p>
      <w:pPr>
        <w:pStyle w:val="BodyText"/>
        <w:spacing w:line="249" w:lineRule="auto" w:before="192"/>
        <w:ind w:left="199" w:right="635"/>
      </w:pPr>
      <w:r>
        <w:rPr/>
        <w:t>Forensic pathology is the foundation </w:t>
      </w:r>
      <w:r>
        <w:rPr>
          <w:spacing w:val="-3"/>
        </w:rPr>
        <w:t>of </w:t>
      </w:r>
      <w:r>
        <w:rPr/>
        <w:t>forensic medicine and deals </w:t>
      </w:r>
      <w:r>
        <w:rPr>
          <w:spacing w:val="-3"/>
        </w:rPr>
        <w:t>with </w:t>
      </w:r>
      <w:r>
        <w:rPr/>
        <w:t>the study of the cause and manner </w:t>
      </w:r>
      <w:r>
        <w:rPr>
          <w:spacing w:val="-3"/>
        </w:rPr>
        <w:t>of </w:t>
      </w:r>
      <w:r>
        <w:rPr/>
        <w:t>death by examination </w:t>
      </w:r>
      <w:r>
        <w:rPr>
          <w:spacing w:val="-3"/>
        </w:rPr>
        <w:t>of </w:t>
      </w:r>
      <w:r>
        <w:rPr/>
        <w:t>a dead body during the medico-legal investigation </w:t>
      </w:r>
      <w:r>
        <w:rPr>
          <w:spacing w:val="-3"/>
        </w:rPr>
        <w:t>of </w:t>
      </w:r>
      <w:r>
        <w:rPr/>
        <w:t>death in criminal and civil law cases </w:t>
      </w:r>
      <w:r>
        <w:rPr>
          <w:spacing w:val="-4"/>
        </w:rPr>
        <w:t>in </w:t>
      </w:r>
      <w:r>
        <w:rPr/>
        <w:t>some jurisdictions. This course is designed to provide students </w:t>
      </w:r>
      <w:r>
        <w:rPr>
          <w:spacing w:val="-3"/>
        </w:rPr>
        <w:t>with </w:t>
      </w:r>
      <w:r>
        <w:rPr/>
        <w:t>the principles and basic knowledge of forensic pathology practice in the </w:t>
      </w:r>
      <w:r>
        <w:rPr>
          <w:spacing w:val="-4"/>
        </w:rPr>
        <w:t>US </w:t>
      </w:r>
      <w:r>
        <w:rPr/>
        <w:t>and around the world. </w:t>
      </w:r>
      <w:r>
        <w:rPr>
          <w:spacing w:val="-3"/>
        </w:rPr>
        <w:t>It </w:t>
      </w:r>
      <w:r>
        <w:rPr/>
        <w:t>provides the core </w:t>
      </w:r>
      <w:r>
        <w:rPr>
          <w:spacing w:val="-4"/>
        </w:rPr>
        <w:t>for </w:t>
      </w:r>
      <w:r>
        <w:rPr/>
        <w:t>the curriculum and is a pre- requisite </w:t>
      </w:r>
      <w:r>
        <w:rPr>
          <w:spacing w:val="-4"/>
        </w:rPr>
        <w:t>for </w:t>
      </w:r>
      <w:r>
        <w:rPr/>
        <w:t>all the other courses. The elements include the medico-legal </w:t>
      </w:r>
      <w:r>
        <w:rPr>
          <w:spacing w:val="-3"/>
        </w:rPr>
        <w:t>death </w:t>
      </w:r>
      <w:r>
        <w:rPr/>
        <w:t>investigation </w:t>
      </w:r>
      <w:r>
        <w:rPr>
          <w:spacing w:val="-3"/>
        </w:rPr>
        <w:t>system </w:t>
      </w:r>
      <w:r>
        <w:rPr/>
        <w:t>in the United States and China, the categories </w:t>
      </w:r>
      <w:r>
        <w:rPr>
          <w:spacing w:val="-3"/>
        </w:rPr>
        <w:t>of </w:t>
      </w:r>
      <w:r>
        <w:rPr/>
        <w:t>medico-legal cases; the objectives of medico-legal investigation; the concept </w:t>
      </w:r>
      <w:r>
        <w:rPr>
          <w:spacing w:val="-3"/>
        </w:rPr>
        <w:t>of </w:t>
      </w:r>
      <w:r>
        <w:rPr/>
        <w:t>cause and manner </w:t>
      </w:r>
      <w:r>
        <w:rPr>
          <w:spacing w:val="-3"/>
        </w:rPr>
        <w:t>of </w:t>
      </w:r>
      <w:r>
        <w:rPr/>
        <w:t>death, common </w:t>
      </w:r>
      <w:r>
        <w:rPr>
          <w:spacing w:val="-3"/>
        </w:rPr>
        <w:t>types </w:t>
      </w:r>
      <w:r>
        <w:rPr/>
        <w:t>of injuries associated with deaths; investigation </w:t>
      </w:r>
      <w:r>
        <w:rPr>
          <w:spacing w:val="-3"/>
        </w:rPr>
        <w:t>of </w:t>
      </w:r>
      <w:r>
        <w:rPr/>
        <w:t>sudden unexpected deaths, the role </w:t>
      </w:r>
      <w:r>
        <w:rPr>
          <w:spacing w:val="-3"/>
        </w:rPr>
        <w:t>of </w:t>
      </w:r>
      <w:r>
        <w:rPr/>
        <w:t>forensic pathology in criminal </w:t>
      </w:r>
      <w:r>
        <w:rPr>
          <w:spacing w:val="-3"/>
        </w:rPr>
        <w:t>justice, </w:t>
      </w:r>
      <w:r>
        <w:rPr/>
        <w:t>public health and safety, and pattern </w:t>
      </w:r>
      <w:r>
        <w:rPr>
          <w:spacing w:val="-3"/>
        </w:rPr>
        <w:t>of </w:t>
      </w:r>
      <w:r>
        <w:rPr/>
        <w:t>various</w:t>
      </w:r>
      <w:r>
        <w:rPr>
          <w:spacing w:val="-7"/>
        </w:rPr>
        <w:t> </w:t>
      </w:r>
      <w:r>
        <w:rPr/>
        <w:t>trauma.</w:t>
      </w:r>
    </w:p>
    <w:p>
      <w:pPr>
        <w:pStyle w:val="BodyText"/>
        <w:spacing w:line="249" w:lineRule="auto" w:before="12"/>
        <w:ind w:left="199" w:right="655"/>
      </w:pPr>
      <w:r>
        <w:rPr/>
        <w:t>The course is given by lectures, seminars, laboratory, and by some pre-recorded study lectures, and computer/online.</w:t>
      </w:r>
    </w:p>
    <w:p>
      <w:pPr>
        <w:pStyle w:val="Heading6"/>
        <w:spacing w:before="121"/>
        <w:ind w:left="199"/>
      </w:pPr>
      <w:r>
        <w:rPr/>
        <w:t>FMED 720 - FORENSIC AUTOPSY (3)</w:t>
      </w:r>
    </w:p>
    <w:p>
      <w:pPr>
        <w:pStyle w:val="BodyText"/>
        <w:spacing w:line="249" w:lineRule="auto" w:before="188"/>
        <w:ind w:left="199" w:right="615"/>
      </w:pPr>
      <w:r>
        <w:rPr/>
        <w:t>Forensic autopsy is a key procedure required in all medico- legal cases to identify the cause </w:t>
      </w:r>
      <w:r>
        <w:rPr>
          <w:spacing w:val="-3"/>
        </w:rPr>
        <w:t>of </w:t>
      </w:r>
      <w:r>
        <w:rPr/>
        <w:t>death, especially in questionable cases. Forensic autopsy, </w:t>
      </w:r>
      <w:r>
        <w:rPr>
          <w:spacing w:val="-3"/>
        </w:rPr>
        <w:t>or </w:t>
      </w:r>
      <w:r>
        <w:rPr/>
        <w:t>post-mortem examination as it is </w:t>
      </w:r>
      <w:r>
        <w:rPr>
          <w:spacing w:val="-3"/>
        </w:rPr>
        <w:t>often </w:t>
      </w:r>
      <w:r>
        <w:rPr/>
        <w:t>called, is conducted to identify any deviation from normal anatomy. These variances from normal include diseases and injuries and help determine: 1) the cause </w:t>
      </w:r>
      <w:r>
        <w:rPr>
          <w:spacing w:val="-3"/>
        </w:rPr>
        <w:t>of </w:t>
      </w:r>
      <w:r>
        <w:rPr/>
        <w:t>death, 2) the mechanism </w:t>
      </w:r>
      <w:r>
        <w:rPr>
          <w:spacing w:val="-3"/>
        </w:rPr>
        <w:t>of </w:t>
      </w:r>
      <w:r>
        <w:rPr/>
        <w:t>death and 3) the manner </w:t>
      </w:r>
      <w:r>
        <w:rPr>
          <w:spacing w:val="-3"/>
        </w:rPr>
        <w:t>of </w:t>
      </w:r>
      <w:r>
        <w:rPr/>
        <w:t>death </w:t>
      </w:r>
      <w:r>
        <w:rPr>
          <w:spacing w:val="-3"/>
        </w:rPr>
        <w:t>of </w:t>
      </w:r>
      <w:r>
        <w:rPr/>
        <w:t>the victim in question. This course is designed to teach students to perform eviscerations and organ </w:t>
      </w:r>
      <w:r>
        <w:rPr>
          <w:spacing w:val="-3"/>
        </w:rPr>
        <w:t>block </w:t>
      </w:r>
      <w:r>
        <w:rPr/>
        <w:t>dissection; to </w:t>
      </w:r>
      <w:r>
        <w:rPr>
          <w:spacing w:val="-3"/>
        </w:rPr>
        <w:t>select </w:t>
      </w:r>
      <w:r>
        <w:rPr/>
        <w:t>tissue </w:t>
      </w:r>
      <w:r>
        <w:rPr>
          <w:spacing w:val="-4"/>
        </w:rPr>
        <w:t>for </w:t>
      </w:r>
      <w:r>
        <w:rPr/>
        <w:t>histological processing and special studies; and to </w:t>
      </w:r>
      <w:r>
        <w:rPr>
          <w:spacing w:val="-2"/>
        </w:rPr>
        <w:t>obtain </w:t>
      </w:r>
      <w:r>
        <w:rPr/>
        <w:t>specimens </w:t>
      </w:r>
      <w:r>
        <w:rPr>
          <w:spacing w:val="-4"/>
        </w:rPr>
        <w:t>for </w:t>
      </w:r>
      <w:r>
        <w:rPr/>
        <w:t>biological and toxicological analysis. The course </w:t>
      </w:r>
      <w:r>
        <w:rPr>
          <w:spacing w:val="-3"/>
        </w:rPr>
        <w:t>of </w:t>
      </w:r>
      <w:r>
        <w:rPr/>
        <w:t>forensic autopsy is given </w:t>
      </w:r>
      <w:r>
        <w:rPr>
          <w:spacing w:val="-3"/>
        </w:rPr>
        <w:t>by </w:t>
      </w:r>
      <w:r>
        <w:rPr/>
        <w:t>case presentation </w:t>
      </w:r>
      <w:r>
        <w:rPr>
          <w:spacing w:val="-3"/>
        </w:rPr>
        <w:t>with </w:t>
      </w:r>
      <w:r>
        <w:rPr/>
        <w:t>discussion and laboratory training </w:t>
      </w:r>
      <w:r>
        <w:rPr>
          <w:spacing w:val="-3"/>
        </w:rPr>
        <w:t>with  hand-on </w:t>
      </w:r>
      <w:r>
        <w:rPr/>
        <w:t>instruction.</w:t>
      </w:r>
    </w:p>
    <w:p>
      <w:pPr>
        <w:pStyle w:val="Heading6"/>
        <w:spacing w:line="249" w:lineRule="auto" w:before="131"/>
        <w:ind w:left="199" w:right="1159"/>
      </w:pPr>
      <w:r>
        <w:rPr/>
        <w:t>FMED 730 - MEDICO-LEGAL DEATH SCENE INVESTIGATION (1 TO 3)</w:t>
      </w:r>
    </w:p>
    <w:p>
      <w:pPr>
        <w:pStyle w:val="BodyText"/>
        <w:spacing w:line="249" w:lineRule="auto" w:before="184"/>
        <w:ind w:left="199" w:right="772"/>
      </w:pPr>
      <w:r>
        <w:rPr/>
        <w:t>Medico-legal death scene investigation is often critical in the final determination of the manner of death, documenting observations and collecting physical and trace evidence from death scenes that include homicides, suicides, accidents or natural deaths. The course is designed to show students how to conduct scientific,</w:t>
      </w:r>
    </w:p>
    <w:p>
      <w:pPr>
        <w:spacing w:after="0" w:line="249" w:lineRule="auto"/>
        <w:sectPr>
          <w:headerReference w:type="even" r:id="rId88"/>
          <w:headerReference w:type="default" r:id="rId89"/>
          <w:pgSz w:w="12240" w:h="15840"/>
          <w:pgMar w:header="746" w:footer="0" w:top="1320" w:bottom="280" w:left="880" w:right="300"/>
          <w:pgNumType w:start="112"/>
          <w:cols w:num="2" w:equalWidth="0">
            <w:col w:w="5009" w:space="478"/>
            <w:col w:w="5573"/>
          </w:cols>
        </w:sectPr>
      </w:pPr>
    </w:p>
    <w:p>
      <w:pPr>
        <w:pStyle w:val="BodyText"/>
        <w:spacing w:line="249" w:lineRule="auto" w:before="100"/>
        <w:ind w:left="199" w:right="32"/>
      </w:pPr>
      <w:r>
        <w:rPr/>
        <w:t>systematic and thorough death scene investigation for medical examiner and coroner offices; and how to obtain essential facts regarding the death scene, medical history, and social history. The course is given by case presentation with discussion, death scene visits with death scene investigation, and simulation laboratory work (death scene reenactment training).</w:t>
      </w:r>
    </w:p>
    <w:p>
      <w:pPr>
        <w:pStyle w:val="Heading6"/>
        <w:spacing w:line="249" w:lineRule="auto" w:before="125"/>
        <w:ind w:right="769"/>
      </w:pPr>
      <w:r>
        <w:rPr/>
        <w:t>FMED 740 - EPIDEMIOLOGICAL DATA RESEARCH CAPSTONE PROJECT (1 TO 6)</w:t>
      </w:r>
    </w:p>
    <w:p>
      <w:pPr>
        <w:pStyle w:val="BodyText"/>
        <w:spacing w:line="249" w:lineRule="auto" w:before="179"/>
        <w:ind w:right="54"/>
      </w:pPr>
      <w:r>
        <w:rPr/>
        <w:t>Well-designed epidemiological data research in the field </w:t>
      </w:r>
      <w:r>
        <w:rPr>
          <w:spacing w:val="-3"/>
        </w:rPr>
        <w:t>of </w:t>
      </w:r>
      <w:r>
        <w:rPr/>
        <w:t>forensic medicine is essential to identify risk factors </w:t>
      </w:r>
      <w:r>
        <w:rPr>
          <w:spacing w:val="-3"/>
        </w:rPr>
        <w:t>of </w:t>
      </w:r>
      <w:r>
        <w:rPr/>
        <w:t>certain deaths, which in </w:t>
      </w:r>
      <w:r>
        <w:rPr>
          <w:spacing w:val="-3"/>
        </w:rPr>
        <w:t>turn </w:t>
      </w:r>
      <w:r>
        <w:rPr/>
        <w:t>produces valuable information useful in public health and public </w:t>
      </w:r>
      <w:r>
        <w:rPr>
          <w:spacing w:val="-3"/>
        </w:rPr>
        <w:t>safety. </w:t>
      </w:r>
      <w:r>
        <w:rPr/>
        <w:t>This course is almost a year-long sequence that starts in the spring and ends in the summer. Students learn how to design and conduct epidemiological data analysis and research. Each student is required to </w:t>
      </w:r>
      <w:r>
        <w:rPr>
          <w:spacing w:val="-3"/>
        </w:rPr>
        <w:t>develop </w:t>
      </w:r>
      <w:r>
        <w:rPr/>
        <w:t>a formal research proposal, conduct one research project under supervision </w:t>
      </w:r>
      <w:r>
        <w:rPr>
          <w:spacing w:val="-3"/>
        </w:rPr>
        <w:t>of </w:t>
      </w:r>
      <w:r>
        <w:rPr/>
        <w:t>a faculty member, complete a publishable paper, and to present his </w:t>
      </w:r>
      <w:r>
        <w:rPr>
          <w:spacing w:val="-3"/>
        </w:rPr>
        <w:t>or </w:t>
      </w:r>
      <w:r>
        <w:rPr/>
        <w:t>her paper to the class and faculty</w:t>
      </w:r>
      <w:r>
        <w:rPr>
          <w:spacing w:val="-7"/>
        </w:rPr>
        <w:t> </w:t>
      </w:r>
      <w:r>
        <w:rPr/>
        <w:t>panel.</w:t>
      </w:r>
    </w:p>
    <w:p>
      <w:pPr>
        <w:pStyle w:val="Heading6"/>
        <w:spacing w:before="129"/>
      </w:pPr>
      <w:r>
        <w:rPr/>
        <w:t>FMED 820 - FORENSIC NEUROPATHOLOGY (1)</w:t>
      </w:r>
    </w:p>
    <w:p>
      <w:pPr>
        <w:pStyle w:val="BodyText"/>
        <w:spacing w:line="249" w:lineRule="auto" w:before="192"/>
        <w:ind w:right="14"/>
      </w:pPr>
      <w:r>
        <w:rPr/>
        <w:t>Forensic neuropathology is a subspecialty of forensic medicine that focuses on all aspects of neurologic diseases and injuries that are relevant in judicial cases. This course teaches students the mechanisms, morphology, and dating of various neurologic traumas, neurologic causes of sudden death, and the effects of drugs and toxins on the central nervous system. The principles, practices, and current developments in the field of forensic neuropathology are also discussed. The course is given by lectures with case discussion and laboratory brain and spinal cord examination.</w:t>
      </w:r>
    </w:p>
    <w:p>
      <w:pPr>
        <w:pStyle w:val="Heading6"/>
        <w:spacing w:before="128"/>
      </w:pPr>
      <w:r>
        <w:rPr/>
        <w:t>FMED 830 - FORENSIC RADIOLOGY (1 TO 2)</w:t>
      </w:r>
    </w:p>
    <w:p>
      <w:pPr>
        <w:pStyle w:val="BodyText"/>
        <w:spacing w:line="249" w:lineRule="auto" w:before="188"/>
        <w:ind w:right="38"/>
      </w:pPr>
      <w:r>
        <w:rPr/>
        <w:t>Image technologies are </w:t>
      </w:r>
      <w:r>
        <w:rPr>
          <w:spacing w:val="-3"/>
        </w:rPr>
        <w:t>powerful </w:t>
      </w:r>
      <w:r>
        <w:rPr/>
        <w:t>tools in forensic sciences. This course is designed to teach students the basic radiology technologies, including postmortem x-ray and CT </w:t>
      </w:r>
      <w:r>
        <w:rPr>
          <w:spacing w:val="-3"/>
        </w:rPr>
        <w:t>scan </w:t>
      </w:r>
      <w:r>
        <w:rPr/>
        <w:t>operations and postmortem radiology case studies. The course is given by lectures, case presentation </w:t>
      </w:r>
      <w:r>
        <w:rPr>
          <w:spacing w:val="-3"/>
        </w:rPr>
        <w:t>with </w:t>
      </w:r>
      <w:r>
        <w:rPr/>
        <w:t>discussion, and laboratory</w:t>
      </w:r>
      <w:r>
        <w:rPr>
          <w:spacing w:val="-10"/>
        </w:rPr>
        <w:t> </w:t>
      </w:r>
      <w:r>
        <w:rPr/>
        <w:t>training.</w:t>
      </w:r>
    </w:p>
    <w:p>
      <w:pPr>
        <w:pStyle w:val="Heading6"/>
        <w:spacing w:line="249" w:lineRule="auto" w:before="124"/>
        <w:ind w:right="624"/>
      </w:pPr>
      <w:r>
        <w:rPr/>
        <w:t>FMED 840 - FORENSIC ODONTOLOGY AND FORENSIC ANTHROPOLOGY (2)</w:t>
      </w:r>
    </w:p>
    <w:p>
      <w:pPr>
        <w:pStyle w:val="BodyText"/>
        <w:spacing w:line="249" w:lineRule="auto" w:before="184"/>
        <w:ind w:right="32"/>
      </w:pPr>
      <w:r>
        <w:rPr/>
        <w:t>Forensic odontology is involved in assisting investigative agencies in the identification of whole or fragmented recovered human remains. This course is designed to teach students the basic skills for determining the age and race of unidentified human remains by comparison of antemortem and postmortem dental records and the use of the unique</w:t>
      </w:r>
    </w:p>
    <w:p>
      <w:pPr>
        <w:pStyle w:val="BodyText"/>
        <w:spacing w:line="249" w:lineRule="auto" w:before="96"/>
        <w:ind w:right="606"/>
      </w:pPr>
      <w:r>
        <w:rPr/>
        <w:br w:type="column"/>
      </w:r>
      <w:r>
        <w:rPr/>
        <w:t>features visible </w:t>
      </w:r>
      <w:r>
        <w:rPr>
          <w:spacing w:val="-3"/>
        </w:rPr>
        <w:t>on </w:t>
      </w:r>
      <w:r>
        <w:rPr/>
        <w:t>dental radiographs. Students also learn how to do the assessment </w:t>
      </w:r>
      <w:r>
        <w:rPr>
          <w:spacing w:val="-3"/>
        </w:rPr>
        <w:t>of </w:t>
      </w:r>
      <w:r>
        <w:rPr/>
        <w:t>bite mark injuries and the source of bite mark injuries in cases </w:t>
      </w:r>
      <w:r>
        <w:rPr>
          <w:spacing w:val="-3"/>
        </w:rPr>
        <w:t>of </w:t>
      </w:r>
      <w:r>
        <w:rPr/>
        <w:t>assault </w:t>
      </w:r>
      <w:r>
        <w:rPr>
          <w:spacing w:val="-5"/>
        </w:rPr>
        <w:t>or </w:t>
      </w:r>
      <w:r>
        <w:rPr/>
        <w:t>suspected abuse. Forensic anthropology is the application </w:t>
      </w:r>
      <w:r>
        <w:rPr>
          <w:spacing w:val="-3"/>
        </w:rPr>
        <w:t>of </w:t>
      </w:r>
      <w:r>
        <w:rPr/>
        <w:t>the science of anthropology in criminal investigation where the victim's remains are in the advanced stages </w:t>
      </w:r>
      <w:r>
        <w:rPr>
          <w:spacing w:val="-3"/>
        </w:rPr>
        <w:t>of </w:t>
      </w:r>
      <w:r>
        <w:rPr/>
        <w:t>decomposition, severely burned, mutilated, </w:t>
      </w:r>
      <w:r>
        <w:rPr>
          <w:spacing w:val="-3"/>
        </w:rPr>
        <w:t>or </w:t>
      </w:r>
      <w:r>
        <w:rPr/>
        <w:t>otherwise unrecognizable. This course is designed to teach students the basic anthropological techniques and analysis to assess the age, gender, race, stature, and evidence </w:t>
      </w:r>
      <w:r>
        <w:rPr>
          <w:spacing w:val="-4"/>
        </w:rPr>
        <w:t>for </w:t>
      </w:r>
      <w:r>
        <w:rPr/>
        <w:t>estimation of postmortem interval </w:t>
      </w:r>
      <w:r>
        <w:rPr>
          <w:spacing w:val="-3"/>
        </w:rPr>
        <w:t>of </w:t>
      </w:r>
      <w:r>
        <w:rPr/>
        <w:t>the individual, as </w:t>
      </w:r>
      <w:r>
        <w:rPr>
          <w:spacing w:val="-3"/>
        </w:rPr>
        <w:t>well </w:t>
      </w:r>
      <w:r>
        <w:rPr/>
        <w:t>as if the individual sustained any trauma </w:t>
      </w:r>
      <w:r>
        <w:rPr>
          <w:spacing w:val="-3"/>
        </w:rPr>
        <w:t>or </w:t>
      </w:r>
      <w:r>
        <w:rPr/>
        <w:t>disease prior to </w:t>
      </w:r>
      <w:r>
        <w:rPr>
          <w:spacing w:val="-3"/>
        </w:rPr>
        <w:t>or </w:t>
      </w:r>
      <w:r>
        <w:rPr/>
        <w:t>at time </w:t>
      </w:r>
      <w:r>
        <w:rPr>
          <w:spacing w:val="-3"/>
        </w:rPr>
        <w:t>of </w:t>
      </w:r>
      <w:r>
        <w:rPr/>
        <w:t>death. The combined course is </w:t>
      </w:r>
      <w:r>
        <w:rPr>
          <w:spacing w:val="-3"/>
        </w:rPr>
        <w:t>given by </w:t>
      </w:r>
      <w:r>
        <w:rPr/>
        <w:t>lectures and laboratory case</w:t>
      </w:r>
      <w:r>
        <w:rPr>
          <w:spacing w:val="-10"/>
        </w:rPr>
        <w:t> </w:t>
      </w:r>
      <w:r>
        <w:rPr/>
        <w:t>studies.</w:t>
      </w:r>
    </w:p>
    <w:p>
      <w:pPr>
        <w:pStyle w:val="BodyText"/>
        <w:spacing w:before="5"/>
        <w:ind w:left="0"/>
        <w:rPr>
          <w:sz w:val="17"/>
        </w:rPr>
      </w:pPr>
    </w:p>
    <w:p>
      <w:pPr>
        <w:pStyle w:val="Heading2"/>
      </w:pPr>
      <w:bookmarkStart w:name="GERO" w:id="107"/>
      <w:bookmarkEnd w:id="107"/>
      <w:r>
        <w:rPr/>
      </w:r>
      <w:bookmarkStart w:name="_bookmark53" w:id="108"/>
      <w:bookmarkEnd w:id="108"/>
      <w:r>
        <w:rPr/>
      </w:r>
      <w:r>
        <w:rPr/>
        <w:t>GERO</w:t>
      </w:r>
    </w:p>
    <w:p>
      <w:pPr>
        <w:pStyle w:val="Heading6"/>
        <w:spacing w:before="128"/>
      </w:pPr>
      <w:r>
        <w:rPr/>
        <w:t>GERO 672 - ISSUES IN AGING POLICY (3)</w:t>
      </w:r>
    </w:p>
    <w:p>
      <w:pPr>
        <w:pStyle w:val="BodyText"/>
        <w:spacing w:line="249" w:lineRule="auto" w:before="188"/>
        <w:ind w:right="627"/>
      </w:pPr>
      <w:r>
        <w:rPr/>
        <w:t>This is an upper-level undergraduate or introductory graduate course on issues in aging policy. Its purpose is to provide an overview of the salient issues in aging policy and to provide the student with a context for understanding the public policy process. The course provides basic information and knowledge which is useful to the student in more advanced policy-related studies in aging and health.</w:t>
      </w:r>
    </w:p>
    <w:p>
      <w:pPr>
        <w:pStyle w:val="Heading6"/>
        <w:spacing w:before="126"/>
      </w:pPr>
      <w:r>
        <w:rPr/>
        <w:t>GERO 681 - EPIDEMIOLOGY OF AGING (3)</w:t>
      </w:r>
    </w:p>
    <w:p>
      <w:pPr>
        <w:pStyle w:val="BodyText"/>
        <w:spacing w:line="249" w:lineRule="auto" w:before="192"/>
        <w:ind w:right="677"/>
      </w:pPr>
      <w:r>
        <w:rPr/>
        <w:t>This core course covers applications of the principle and methods of epidemiology and public health to the study of aging. There is a review of health assessment techniques that are potentially useful for conducting epidemiological studies of older people; the epidemiology of selected disease common to old age; primary, secondary, and tertiary prevention, as applied to older people, focusing on psychosocial and environmental aspects of health; differing ideas of long-term care, and their roles in the prevention, intervention, and treatment of illness in older people. Students learn how to critically evaluate and present research in a specific area of gerontological epidemiology with faculty supervision. Cross-listed with PREV 681.</w:t>
      </w:r>
    </w:p>
    <w:p>
      <w:pPr>
        <w:pStyle w:val="Heading6"/>
        <w:spacing w:before="131"/>
      </w:pPr>
      <w:r>
        <w:rPr/>
        <w:t>GERO 711 - BIOLOGY OF AGING (3)</w:t>
      </w:r>
    </w:p>
    <w:p>
      <w:pPr>
        <w:pStyle w:val="BodyText"/>
        <w:spacing w:line="249" w:lineRule="auto" w:before="187"/>
        <w:ind w:right="657"/>
      </w:pPr>
      <w:r>
        <w:rPr/>
        <w:t>This course provides opportunities to learn about several aspects </w:t>
      </w:r>
      <w:r>
        <w:rPr>
          <w:spacing w:val="-3"/>
        </w:rPr>
        <w:t>of </w:t>
      </w:r>
      <w:r>
        <w:rPr/>
        <w:t>biological aging. They include what it is; how it happens; </w:t>
      </w:r>
      <w:r>
        <w:rPr>
          <w:spacing w:val="-3"/>
        </w:rPr>
        <w:t>what effects </w:t>
      </w:r>
      <w:r>
        <w:rPr/>
        <w:t>it has </w:t>
      </w:r>
      <w:r>
        <w:rPr>
          <w:spacing w:val="-5"/>
        </w:rPr>
        <w:t>on </w:t>
      </w:r>
      <w:r>
        <w:rPr/>
        <w:t>the structure and operations of the human </w:t>
      </w:r>
      <w:r>
        <w:rPr>
          <w:spacing w:val="-4"/>
        </w:rPr>
        <w:t>body; </w:t>
      </w:r>
      <w:r>
        <w:rPr/>
        <w:t>how it </w:t>
      </w:r>
      <w:r>
        <w:rPr>
          <w:spacing w:val="-3"/>
        </w:rPr>
        <w:t>affects </w:t>
      </w:r>
      <w:r>
        <w:rPr/>
        <w:t>social, psychological, and </w:t>
      </w:r>
      <w:r>
        <w:rPr>
          <w:spacing w:val="-3"/>
        </w:rPr>
        <w:t>other </w:t>
      </w:r>
      <w:r>
        <w:rPr/>
        <w:t>aspects </w:t>
      </w:r>
      <w:r>
        <w:rPr>
          <w:spacing w:val="-3"/>
        </w:rPr>
        <w:t>of </w:t>
      </w:r>
      <w:r>
        <w:rPr/>
        <w:t>life; how it is related to diseases; and what </w:t>
      </w:r>
      <w:r>
        <w:rPr>
          <w:spacing w:val="-3"/>
        </w:rPr>
        <w:t>can </w:t>
      </w:r>
      <w:r>
        <w:rPr>
          <w:spacing w:val="-5"/>
        </w:rPr>
        <w:t>or </w:t>
      </w:r>
      <w:r>
        <w:rPr/>
        <w:t>cannot </w:t>
      </w:r>
      <w:r>
        <w:rPr>
          <w:spacing w:val="-3"/>
        </w:rPr>
        <w:t>be </w:t>
      </w:r>
      <w:r>
        <w:rPr/>
        <w:t>done about</w:t>
      </w:r>
      <w:r>
        <w:rPr>
          <w:spacing w:val="25"/>
        </w:rPr>
        <w:t> </w:t>
      </w:r>
      <w:r>
        <w:rPr/>
        <w:t>it.</w:t>
      </w:r>
    </w:p>
    <w:p>
      <w:pPr>
        <w:spacing w:after="0" w:line="249" w:lineRule="auto"/>
        <w:sectPr>
          <w:pgSz w:w="12240" w:h="15840"/>
          <w:pgMar w:header="746" w:footer="0" w:top="1320" w:bottom="280" w:left="880" w:right="300"/>
          <w:cols w:num="2" w:equalWidth="0">
            <w:col w:w="4995" w:space="491"/>
            <w:col w:w="5574"/>
          </w:cols>
        </w:sectPr>
      </w:pPr>
    </w:p>
    <w:p>
      <w:pPr>
        <w:pStyle w:val="Heading6"/>
        <w:spacing w:before="100"/>
      </w:pPr>
      <w:r>
        <w:rPr/>
        <w:t>GERO 750 - THEORY AND METHODS I (3)</w:t>
      </w:r>
    </w:p>
    <w:p>
      <w:pPr>
        <w:pStyle w:val="BodyText"/>
        <w:spacing w:line="249" w:lineRule="auto" w:before="187"/>
        <w:ind w:right="27"/>
      </w:pPr>
      <w:r>
        <w:rPr/>
        <w:t>The first of a two-semester sequence integrating theoryand methods in gerontology. The course provides students with the information and skills to think like a gerontologist, utilizing both theory and methods unique to the field and understanding the language and techniques utilized by a wide range of gerontological researchers. Key to these understandings is making connections between style and techniques of research and theorizing in varied disciplines, application of critical thinking skills, and being able to bridge both linguistic and paradigmatic barriers in an interdisciplinary field. Students completing this sequence will be able to approach problems from an interdisciplinary perspective, 'speak the language' of gerontology across disciplinary barriers of jargon, employ the work of contributing disciplines in their own research, and work as part of an interdisciplinary research team.</w:t>
      </w:r>
    </w:p>
    <w:p>
      <w:pPr>
        <w:pStyle w:val="Heading6"/>
        <w:spacing w:before="132"/>
      </w:pPr>
      <w:r>
        <w:rPr/>
        <w:t>GERO 751 - THEORY AND METHODS II (3)</w:t>
      </w:r>
    </w:p>
    <w:p>
      <w:pPr>
        <w:pStyle w:val="BodyText"/>
        <w:spacing w:line="249" w:lineRule="auto" w:before="192"/>
        <w:ind w:right="43"/>
      </w:pPr>
      <w:r>
        <w:rPr/>
        <w:t>The second </w:t>
      </w:r>
      <w:r>
        <w:rPr>
          <w:spacing w:val="-3"/>
        </w:rPr>
        <w:t>of </w:t>
      </w:r>
      <w:r>
        <w:rPr/>
        <w:t>a two-semester sequence integrating theory and methods in gerontology. The course provides students with the information and skills to think like a gerontologist, utilizing </w:t>
      </w:r>
      <w:r>
        <w:rPr>
          <w:spacing w:val="-3"/>
        </w:rPr>
        <w:t>both </w:t>
      </w:r>
      <w:r>
        <w:rPr/>
        <w:t>theory and methods unique to the field and understanding the language and techniques utilized by a wide range </w:t>
      </w:r>
      <w:r>
        <w:rPr>
          <w:spacing w:val="-3"/>
        </w:rPr>
        <w:t>of </w:t>
      </w:r>
      <w:r>
        <w:rPr/>
        <w:t>gerontological researchers. </w:t>
      </w:r>
      <w:r>
        <w:rPr>
          <w:spacing w:val="-3"/>
        </w:rPr>
        <w:t>Key </w:t>
      </w:r>
      <w:r>
        <w:rPr/>
        <w:t>to these understandings is reading, evaluating and understanding the connections </w:t>
      </w:r>
      <w:r>
        <w:rPr>
          <w:spacing w:val="-3"/>
        </w:rPr>
        <w:t>between </w:t>
      </w:r>
      <w:r>
        <w:rPr/>
        <w:t>research questions, theory and appropriate methods </w:t>
      </w:r>
      <w:r>
        <w:rPr>
          <w:spacing w:val="-3"/>
        </w:rPr>
        <w:t>of </w:t>
      </w:r>
      <w:r>
        <w:rPr/>
        <w:t>research. Application </w:t>
      </w:r>
      <w:r>
        <w:rPr>
          <w:spacing w:val="-5"/>
        </w:rPr>
        <w:t>of </w:t>
      </w:r>
      <w:r>
        <w:rPr/>
        <w:t>critical thinking skills, and being able to bridge </w:t>
      </w:r>
      <w:r>
        <w:rPr>
          <w:spacing w:val="-3"/>
        </w:rPr>
        <w:t>both </w:t>
      </w:r>
      <w:r>
        <w:rPr/>
        <w:t>linguistic and methodological variation in an interdisciplinary field are emphasized. Students completing this sequence will </w:t>
      </w:r>
      <w:r>
        <w:rPr>
          <w:spacing w:val="-3"/>
        </w:rPr>
        <w:t>be </w:t>
      </w:r>
      <w:r>
        <w:rPr/>
        <w:t>able to employ the work </w:t>
      </w:r>
      <w:r>
        <w:rPr>
          <w:spacing w:val="-3"/>
        </w:rPr>
        <w:t>of </w:t>
      </w:r>
      <w:r>
        <w:rPr/>
        <w:t>contributing disciplines in their </w:t>
      </w:r>
      <w:r>
        <w:rPr>
          <w:spacing w:val="-4"/>
        </w:rPr>
        <w:t>own </w:t>
      </w:r>
      <w:r>
        <w:rPr/>
        <w:t>research, produce a 'real world' proposal </w:t>
      </w:r>
      <w:r>
        <w:rPr>
          <w:spacing w:val="-4"/>
        </w:rPr>
        <w:t>for </w:t>
      </w:r>
      <w:r>
        <w:rPr/>
        <w:t>research and work as part </w:t>
      </w:r>
      <w:r>
        <w:rPr>
          <w:spacing w:val="-3"/>
        </w:rPr>
        <w:t>of </w:t>
      </w:r>
      <w:r>
        <w:rPr/>
        <w:t>an interdisciplinary research</w:t>
      </w:r>
      <w:r>
        <w:rPr>
          <w:spacing w:val="-6"/>
        </w:rPr>
        <w:t> </w:t>
      </w:r>
      <w:r>
        <w:rPr/>
        <w:t>team.</w:t>
      </w:r>
    </w:p>
    <w:p>
      <w:pPr>
        <w:pStyle w:val="Heading6"/>
        <w:spacing w:line="249" w:lineRule="auto" w:before="132"/>
        <w:ind w:right="81"/>
      </w:pPr>
      <w:r>
        <w:rPr/>
        <w:t>GERO 798 - SPECIAL TOPICS IN GERONTOLOGY (1 TO 3)</w:t>
      </w:r>
    </w:p>
    <w:p>
      <w:pPr>
        <w:pStyle w:val="BodyText"/>
        <w:spacing w:before="179"/>
      </w:pPr>
      <w:r>
        <w:rPr/>
        <w:t>Topics vary from term to term.</w:t>
      </w:r>
    </w:p>
    <w:p>
      <w:pPr>
        <w:pStyle w:val="Heading6"/>
        <w:spacing w:line="249" w:lineRule="auto"/>
        <w:ind w:right="119"/>
      </w:pPr>
      <w:r>
        <w:rPr/>
        <w:t>GERO 799 - MASTER?S THESIS RESEARCH (1 TO 6)</w:t>
      </w:r>
    </w:p>
    <w:p>
      <w:pPr>
        <w:pStyle w:val="BodyText"/>
        <w:spacing w:line="249" w:lineRule="auto" w:before="184"/>
        <w:ind w:right="472"/>
      </w:pPr>
      <w:r>
        <w:rPr/>
        <w:t>Required enrollment for students engaged in master?s thesis studies.</w:t>
      </w:r>
    </w:p>
    <w:p>
      <w:pPr>
        <w:pStyle w:val="Heading6"/>
        <w:spacing w:line="249" w:lineRule="auto" w:before="122"/>
        <w:ind w:right="1220"/>
      </w:pPr>
      <w:r>
        <w:rPr/>
        <w:t>GERO 801 - INDEPENDENT STUDY IN GERONTOLOGY (1 TO 3)</w:t>
      </w:r>
    </w:p>
    <w:p>
      <w:pPr>
        <w:pStyle w:val="BodyText"/>
        <w:spacing w:line="249" w:lineRule="auto" w:before="179"/>
        <w:ind w:right="172"/>
      </w:pPr>
      <w:r>
        <w:rPr/>
        <w:t>The student selects a topic of professional interest and studies with a graduate faculty member who is competent in that field.</w:t>
      </w:r>
    </w:p>
    <w:p>
      <w:pPr>
        <w:pStyle w:val="Heading6"/>
        <w:spacing w:before="96"/>
      </w:pPr>
      <w:r>
        <w:rPr>
          <w:b w:val="0"/>
        </w:rPr>
        <w:br w:type="column"/>
      </w:r>
      <w:r>
        <w:rPr/>
        <w:t>GERO 898 - PRE-CANDIDACY RESEARCH (1 TO 8)</w:t>
      </w:r>
    </w:p>
    <w:p>
      <w:pPr>
        <w:pStyle w:val="BodyText"/>
        <w:spacing w:line="249" w:lineRule="auto" w:before="188"/>
        <w:ind w:right="788"/>
      </w:pPr>
      <w:r>
        <w:rPr/>
        <w:t>Required enrollment for students engaged in doctoral dissertation studies prior to their admission to candidacy.</w:t>
      </w:r>
    </w:p>
    <w:p>
      <w:pPr>
        <w:pStyle w:val="Heading6"/>
        <w:spacing w:line="249" w:lineRule="auto" w:before="121"/>
        <w:ind w:right="1531"/>
      </w:pPr>
      <w:r>
        <w:rPr/>
        <w:t>GERO 899 - DOCTORAL DISSERTATION RESEARCH (1 TO 12)</w:t>
      </w:r>
    </w:p>
    <w:p>
      <w:pPr>
        <w:pStyle w:val="BodyText"/>
        <w:spacing w:line="249" w:lineRule="auto" w:before="184"/>
        <w:ind w:right="1088"/>
      </w:pPr>
      <w:r>
        <w:rPr/>
        <w:t>Required enrollment for students engaged in doctoral dissertation studies.</w:t>
      </w:r>
    </w:p>
    <w:p>
      <w:pPr>
        <w:pStyle w:val="Heading2"/>
        <w:spacing w:before="191"/>
      </w:pPr>
      <w:bookmarkStart w:name="GPLS" w:id="109"/>
      <w:bookmarkEnd w:id="109"/>
      <w:r>
        <w:rPr/>
      </w:r>
      <w:bookmarkStart w:name="_bookmark54" w:id="110"/>
      <w:bookmarkEnd w:id="110"/>
      <w:r>
        <w:rPr/>
      </w:r>
      <w:r>
        <w:rPr/>
        <w:t>GPLS</w:t>
      </w:r>
    </w:p>
    <w:p>
      <w:pPr>
        <w:pStyle w:val="Heading6"/>
        <w:spacing w:line="249" w:lineRule="auto" w:before="128"/>
        <w:ind w:right="720"/>
      </w:pPr>
      <w:r>
        <w:rPr/>
        <w:t>GPLS 600 - CELLULAR AND MOLECULAR BASIS OF TRANSLATIONAL RESEARCH (5)</w:t>
      </w:r>
    </w:p>
    <w:p>
      <w:pPr>
        <w:pStyle w:val="BodyText"/>
        <w:spacing w:line="249" w:lineRule="auto" w:before="179"/>
        <w:ind w:right="611"/>
      </w:pPr>
      <w:r>
        <w:rPr/>
        <w:t>This course provides a comprehensive and in- depth overview of molecular </w:t>
      </w:r>
      <w:r>
        <w:rPr>
          <w:spacing w:val="-3"/>
        </w:rPr>
        <w:t>biology, </w:t>
      </w:r>
      <w:r>
        <w:rPr/>
        <w:t>genetics, protein structure and function, biochemistry, cell signaling, and immunology. The course is designed </w:t>
      </w:r>
      <w:r>
        <w:rPr>
          <w:spacing w:val="-4"/>
        </w:rPr>
        <w:t>for </w:t>
      </w:r>
      <w:r>
        <w:rPr/>
        <w:t>incoming master?s degree students </w:t>
      </w:r>
      <w:r>
        <w:rPr>
          <w:spacing w:val="-3"/>
        </w:rPr>
        <w:t>who </w:t>
      </w:r>
      <w:r>
        <w:rPr/>
        <w:t>are interested in pursuing translational research, and/or who are planning to attend medical school. The course is also designed </w:t>
      </w:r>
      <w:r>
        <w:rPr>
          <w:spacing w:val="-4"/>
        </w:rPr>
        <w:t>for </w:t>
      </w:r>
      <w:r>
        <w:rPr/>
        <w:t>post- doctoral fellows, nursing students, clinicians and </w:t>
      </w:r>
      <w:r>
        <w:rPr>
          <w:spacing w:val="-5"/>
        </w:rPr>
        <w:t>or </w:t>
      </w:r>
      <w:r>
        <w:rPr/>
        <w:t>other professionals and faculty involved In translational research that do not have a traditional background in cellular and molecular </w:t>
      </w:r>
      <w:r>
        <w:rPr>
          <w:spacing w:val="-3"/>
        </w:rPr>
        <w:t>biology.  </w:t>
      </w:r>
      <w:r>
        <w:rPr/>
        <w:t>This course also forms the backbone for subsequent specialized translational coursework and research. The course is offered in the Fall </w:t>
      </w:r>
      <w:r>
        <w:rPr>
          <w:spacing w:val="-3"/>
        </w:rPr>
        <w:t>semester </w:t>
      </w:r>
      <w:r>
        <w:rPr/>
        <w:t>and consists </w:t>
      </w:r>
      <w:r>
        <w:rPr>
          <w:spacing w:val="-3"/>
        </w:rPr>
        <w:t>of </w:t>
      </w:r>
      <w:r>
        <w:rPr/>
        <w:t>4-6 hours per </w:t>
      </w:r>
      <w:r>
        <w:rPr>
          <w:spacing w:val="-4"/>
        </w:rPr>
        <w:t>week </w:t>
      </w:r>
      <w:r>
        <w:rPr/>
        <w:t>of on-line lectures recorded from the 8-credit Core Course (GPL 601); the course involves mandatory participation in on-line discussion boards, weekly journal articles </w:t>
      </w:r>
      <w:r>
        <w:rPr>
          <w:spacing w:val="-5"/>
        </w:rPr>
        <w:t>or </w:t>
      </w:r>
      <w:r>
        <w:rPr/>
        <w:t>problem sets, and a 2 hour in-class, faculty-led integration session. These integration sessions are used to discuss the weekly lectures, to give students the opportunity to ask faculty members questions, and to present/discuss the weekly journal article and problem sets. Exams (3 in total) are also </w:t>
      </w:r>
      <w:r>
        <w:rPr>
          <w:spacing w:val="-3"/>
        </w:rPr>
        <w:t>given </w:t>
      </w:r>
      <w:r>
        <w:rPr/>
        <w:t>during this in-class</w:t>
      </w:r>
      <w:r>
        <w:rPr>
          <w:spacing w:val="-4"/>
        </w:rPr>
        <w:t> </w:t>
      </w:r>
      <w:r>
        <w:rPr/>
        <w:t>time.</w:t>
      </w:r>
    </w:p>
    <w:p>
      <w:pPr>
        <w:pStyle w:val="Heading6"/>
        <w:spacing w:line="249" w:lineRule="auto" w:before="137"/>
        <w:ind w:right="1259"/>
      </w:pPr>
      <w:r>
        <w:rPr/>
        <w:t>GPLS 601 - MECHANISMS IN BIOMEDICAL SCIENCES: FROM GENES TO DISEASE (8)</w:t>
      </w:r>
    </w:p>
    <w:p>
      <w:pPr>
        <w:pStyle w:val="BodyText"/>
        <w:spacing w:line="249" w:lineRule="auto" w:before="184"/>
        <w:ind w:right="599"/>
      </w:pPr>
      <w:r>
        <w:rPr/>
        <w:t>Mechanisms in Biomedical Science is a comprehensive overview of current knowledge in cellular, molecular, and structural biology. This course provides the background necessary for subsequent specialized studies in biomedical research in a concentrated program. The GPILS Core Course is organized into 10 sections that span molecular biology, genetics, proteins, pharmacology, metabolism, membranes and organelles, protein processing, membrane signaling, cell signaling, immunobiology and development. The format is highly interactive, and includes: - Lectures presenting creative, cutting-edge approaches to investigating fundamental, current biomedical questions,</w:t>
      </w:r>
    </w:p>
    <w:p>
      <w:pPr>
        <w:spacing w:after="0" w:line="249" w:lineRule="auto"/>
        <w:sectPr>
          <w:pgSz w:w="12240" w:h="15840"/>
          <w:pgMar w:header="746" w:footer="0" w:top="1320" w:bottom="280" w:left="880" w:right="300"/>
          <w:cols w:num="2" w:equalWidth="0">
            <w:col w:w="5002" w:space="484"/>
            <w:col w:w="5574"/>
          </w:cols>
        </w:sectPr>
      </w:pPr>
    </w:p>
    <w:p>
      <w:pPr>
        <w:pStyle w:val="BodyText"/>
        <w:spacing w:line="249" w:lineRule="auto" w:before="100"/>
        <w:ind w:left="199" w:right="82"/>
      </w:pPr>
      <w:r>
        <w:rPr/>
        <w:t>together with review of fundamental principles of molecular and cellular biology - Vertically-integrated topics that tie together the study of individual genes, proteins, cellular function and associated clinical disorders</w:t>
      </w:r>
    </w:p>
    <w:p>
      <w:pPr>
        <w:pStyle w:val="BodyText"/>
        <w:spacing w:line="249" w:lineRule="auto" w:before="3"/>
        <w:ind w:left="199" w:right="53"/>
      </w:pPr>
      <w:r>
        <w:rPr/>
        <w:t>- Emphasis on development and critical evaluation of scientific hypotheses - Introduction to state-of-the-art techniques - Mentored discussions of primary papers - Topic-specific seminars, including cancer, neuroscience, and drug development/gene therapy Upon completion of the core curriculum in early December, students may begin a lab rotation and/or participate in program specific course work.</w:t>
      </w:r>
    </w:p>
    <w:p>
      <w:pPr>
        <w:pStyle w:val="Heading6"/>
        <w:spacing w:before="126"/>
        <w:ind w:left="199"/>
      </w:pPr>
      <w:r>
        <w:rPr/>
        <w:t>GPLS 604 - NEUROPHARMACOLOGY (3)</w:t>
      </w:r>
    </w:p>
    <w:p>
      <w:pPr>
        <w:pStyle w:val="BodyText"/>
        <w:spacing w:line="249" w:lineRule="auto" w:before="187"/>
        <w:ind w:left="199" w:right="48"/>
      </w:pPr>
      <w:r>
        <w:rPr/>
        <w:t>This course focuses on the mechanisms by which drugs act at the molecular level. Topics include drug and neurotransmitter receptors, how they are studied, how they are coupled to responses, and other sites of drug action.</w:t>
      </w:r>
    </w:p>
    <w:p>
      <w:pPr>
        <w:pStyle w:val="Heading6"/>
        <w:spacing w:before="123"/>
        <w:ind w:left="199"/>
      </w:pPr>
      <w:r>
        <w:rPr/>
        <w:t>GPLS 607 - PRINCIPLES OF PHARMACOLOGY (3)</w:t>
      </w:r>
    </w:p>
    <w:p>
      <w:pPr>
        <w:pStyle w:val="BodyText"/>
        <w:spacing w:line="249" w:lineRule="auto" w:before="193"/>
        <w:ind w:left="199" w:right="354"/>
      </w:pPr>
      <w:r>
        <w:rPr/>
        <w:t>This course has three sections: (1) general principles of pharmacology (including pharmacodynamics, pharmacogenomics, and pharmacokinetics), (2) chemotherapeutics of infectious diseases and immunomodulation, and (3) peripheral system pharmacology.</w:t>
      </w:r>
    </w:p>
    <w:p>
      <w:pPr>
        <w:pStyle w:val="Heading6"/>
        <w:spacing w:before="124"/>
        <w:ind w:left="199"/>
      </w:pPr>
      <w:r>
        <w:rPr/>
        <w:t>GPLS 608 - SEMINAR (1 OR 2)</w:t>
      </w:r>
    </w:p>
    <w:p>
      <w:pPr>
        <w:pStyle w:val="BodyText"/>
        <w:spacing w:line="249" w:lineRule="auto" w:before="188"/>
        <w:ind w:left="199" w:right="154"/>
      </w:pPr>
      <w:r>
        <w:rPr/>
        <w:t>A weekly critical review and discussion of original works and recent advances on a variety of research subjects by graduate students, faculty, staff members, and guests.</w:t>
      </w:r>
    </w:p>
    <w:p>
      <w:pPr>
        <w:pStyle w:val="BodyText"/>
        <w:spacing w:line="249" w:lineRule="auto" w:before="2"/>
        <w:ind w:left="199" w:right="65"/>
      </w:pPr>
      <w:r>
        <w:rPr/>
        <w:t>Students take this course for credit at least twice, once when they present their Dissertation Proposal seminar, and once after presenting their Dissertation Defense public seminar. Molecular Medicine students take it for one additional seminar. (section 1, Biochemistry; section 2, Molecular Medicine; section 3, Microbiology; section 4, Neuroscience)</w:t>
      </w:r>
    </w:p>
    <w:p>
      <w:pPr>
        <w:pStyle w:val="Heading6"/>
        <w:spacing w:before="125"/>
        <w:ind w:left="199"/>
      </w:pPr>
      <w:r>
        <w:rPr/>
        <w:t>GPLS 609 - LABORATORY ROTATIONS (1 TO 3)</w:t>
      </w:r>
    </w:p>
    <w:p>
      <w:pPr>
        <w:pStyle w:val="BodyText"/>
        <w:spacing w:line="249" w:lineRule="auto" w:before="192"/>
        <w:ind w:left="199" w:right="26"/>
      </w:pPr>
      <w:r>
        <w:rPr/>
        <w:t>Students gain experience in a variety of techniques, and become familiar with faculty members and their research. Doctoral students generally complete two or three rotations in different laboratories in the program. Rotations usually last six to eight weeks and are graded pass/fail. (section 1, Biochemistry; section 2, Molecular Medicine; section 3, Microbiology; section 4, Neuroscience)</w:t>
      </w:r>
    </w:p>
    <w:p>
      <w:pPr>
        <w:pStyle w:val="Heading6"/>
        <w:spacing w:line="249" w:lineRule="auto" w:before="126"/>
        <w:ind w:left="199" w:right="674"/>
      </w:pPr>
      <w:r>
        <w:rPr/>
        <w:t>GPLS 610 - PRINCIPLE KIDNEY AND BODY FLUIDS (2)</w:t>
      </w:r>
    </w:p>
    <w:p>
      <w:pPr>
        <w:pStyle w:val="BodyText"/>
        <w:spacing w:before="179"/>
        <w:ind w:left="199"/>
      </w:pPr>
      <w:r>
        <w:rPr/>
        <w:t>This course covers contemporary research in renal function</w:t>
      </w:r>
    </w:p>
    <w:p>
      <w:pPr>
        <w:pStyle w:val="BodyText"/>
        <w:spacing w:line="249" w:lineRule="auto" w:before="96"/>
        <w:ind w:left="199" w:right="605"/>
      </w:pPr>
      <w:r>
        <w:rPr/>
        <w:br w:type="column"/>
      </w:r>
      <w:r>
        <w:rPr/>
        <w:t>and epithelial transport. Students read and present an assigned topic, evaluate methodology, interpret results, and discuss models and their experimental verification.</w:t>
      </w:r>
    </w:p>
    <w:p>
      <w:pPr>
        <w:pStyle w:val="Heading6"/>
        <w:spacing w:before="123"/>
        <w:ind w:left="199"/>
      </w:pPr>
      <w:r>
        <w:rPr/>
        <w:t>GPLS 613 - NEUROENDOCRINOLOGY (3)</w:t>
      </w:r>
    </w:p>
    <w:p>
      <w:pPr>
        <w:pStyle w:val="BodyText"/>
        <w:spacing w:line="249" w:lineRule="auto" w:before="187"/>
        <w:ind w:left="199" w:right="653"/>
      </w:pPr>
      <w:r>
        <w:rPr/>
        <w:t>This course takes an integrative approach to the topic of neuroendocrinology. Didactic lectures review in detail the cellular and molecular mechanisms of steroid and peptide hormones. These processes are placed in the context of the control of female and male reproductive physiology and extended to the hormonal control of behavior. Other topics include the hormonal basis of and responses to stress, circadian rhythms, and seasonality and feeding behavior. In addition to lectures, each student will make an in-depth presentation on a topic of her/his choice that is relevant to the field of neuroendocrinology. Grades are based on the presentation, a midterm exam, a final exam, and class participation.</w:t>
      </w:r>
    </w:p>
    <w:p>
      <w:pPr>
        <w:pStyle w:val="Heading6"/>
        <w:spacing w:line="249" w:lineRule="auto"/>
        <w:ind w:left="199" w:right="1214"/>
      </w:pPr>
      <w:r>
        <w:rPr/>
        <w:t>GPLS 616 - MOLECULAR MECHANISMS OF SIGNAL TRANSFER (3)</w:t>
      </w:r>
    </w:p>
    <w:p>
      <w:pPr>
        <w:pStyle w:val="BodyText"/>
        <w:spacing w:line="249" w:lineRule="auto" w:before="184"/>
        <w:ind w:left="199" w:right="611"/>
      </w:pPr>
      <w:r>
        <w:rPr/>
        <w:t>This twice-weekly literature, discussion, and lecture course covers mechanisms of hormone action upon target cells with emphasis on the molecular mechanisms by which hormones mediate their cellular effects. Prerequisite: completion of GPILS core curriculum, GPLS 601.</w:t>
      </w:r>
    </w:p>
    <w:p>
      <w:pPr>
        <w:pStyle w:val="Heading6"/>
        <w:spacing w:line="249" w:lineRule="auto" w:before="123"/>
        <w:ind w:left="199" w:right="847"/>
      </w:pPr>
      <w:r>
        <w:rPr/>
        <w:t>GPLS 618 - READINGS AND SPECIAL TOPICS (1 TO 3)</w:t>
      </w:r>
    </w:p>
    <w:p>
      <w:pPr>
        <w:pStyle w:val="BodyText"/>
        <w:spacing w:before="179"/>
        <w:ind w:left="199"/>
      </w:pPr>
      <w:r>
        <w:rPr/>
        <w:t>Topics vary from term to term.</w:t>
      </w:r>
    </w:p>
    <w:p>
      <w:pPr>
        <w:pStyle w:val="Heading6"/>
        <w:spacing w:line="249" w:lineRule="auto" w:before="131"/>
        <w:ind w:left="199" w:right="1403"/>
      </w:pPr>
      <w:r>
        <w:rPr/>
        <w:t>GPLS 620 - SYNAPTIC PHYSIOLOGY AND PHARMACOLOGY (4)</w:t>
      </w:r>
    </w:p>
    <w:p>
      <w:pPr>
        <w:pStyle w:val="BodyText"/>
        <w:spacing w:line="249" w:lineRule="auto" w:before="183"/>
        <w:ind w:left="199" w:right="754"/>
      </w:pPr>
      <w:r>
        <w:rPr/>
        <w:t>Emphasis is on electrophysiological analysis of synaptic transmission. Topics include ionic basis of excitatory and inhibitory postsynaptic potentials, equivalent circuits of transmitter action, mechanisms and regulation of transmitter release, fast and slow synaptic responses, and functional structural plasticity at synapses.</w:t>
      </w:r>
    </w:p>
    <w:p>
      <w:pPr>
        <w:pStyle w:val="Heading6"/>
        <w:spacing w:before="125"/>
        <w:ind w:left="199"/>
      </w:pPr>
      <w:r>
        <w:rPr/>
        <w:t>GPLS 623 - MOLECULAR TOXICOLOGY (3)</w:t>
      </w:r>
    </w:p>
    <w:p>
      <w:pPr>
        <w:pStyle w:val="BodyText"/>
        <w:spacing w:line="249" w:lineRule="auto" w:before="187"/>
        <w:ind w:left="199" w:right="616"/>
      </w:pPr>
      <w:r>
        <w:rPr/>
        <w:t>This course will focus on areas of toxicology in which significant advances are being made into molecular mechanisms. Faculty mentors of the GPILS Toxicology Graduate Program?s Track in Molecular and Mechanistic Toxicology will present topics related to their research expertise. Emergent technologies will be introduced ? for example, in toxicogenomics, gene therapy, and metabonomics. The course is intended for students in their third semester of graduate studies. Emphasis will be placed on enhancing skills in interpreting and critiquing the</w:t>
      </w:r>
    </w:p>
    <w:p>
      <w:pPr>
        <w:spacing w:after="0" w:line="249" w:lineRule="auto"/>
        <w:sectPr>
          <w:pgSz w:w="12240" w:h="15840"/>
          <w:pgMar w:header="746" w:footer="0" w:top="1320" w:bottom="280" w:left="880" w:right="300"/>
          <w:cols w:num="2" w:equalWidth="0">
            <w:col w:w="4994" w:space="493"/>
            <w:col w:w="5573"/>
          </w:cols>
        </w:sectPr>
      </w:pPr>
    </w:p>
    <w:p>
      <w:pPr>
        <w:pStyle w:val="BodyText"/>
        <w:spacing w:line="249" w:lineRule="auto" w:before="100"/>
        <w:ind w:right="318"/>
      </w:pPr>
      <w:r>
        <w:rPr/>
        <w:t>primary research literature. Grading is based on student presentations and a term paper.</w:t>
      </w:r>
    </w:p>
    <w:p>
      <w:pPr>
        <w:pStyle w:val="Heading6"/>
        <w:spacing w:before="121"/>
      </w:pPr>
      <w:r>
        <w:rPr/>
        <w:t>GPLS 624 - ONCOPHARMACOLOGY (3)</w:t>
      </w:r>
    </w:p>
    <w:p>
      <w:pPr>
        <w:pStyle w:val="BodyText"/>
        <w:spacing w:line="249" w:lineRule="auto" w:before="188"/>
        <w:ind w:left="199" w:right="38"/>
      </w:pPr>
      <w:r>
        <w:rPr/>
        <w:t>Molecular therapy approaches will </w:t>
      </w:r>
      <w:r>
        <w:rPr>
          <w:spacing w:val="-3"/>
        </w:rPr>
        <w:t>be </w:t>
      </w:r>
      <w:r>
        <w:rPr/>
        <w:t>discussed within the context </w:t>
      </w:r>
      <w:r>
        <w:rPr>
          <w:spacing w:val="-3"/>
        </w:rPr>
        <w:t>of </w:t>
      </w:r>
      <w:r>
        <w:rPr/>
        <w:t>modern understanding </w:t>
      </w:r>
      <w:r>
        <w:rPr>
          <w:spacing w:val="-3"/>
        </w:rPr>
        <w:t>of </w:t>
      </w:r>
      <w:r>
        <w:rPr/>
        <w:t>cancer biology and target identification. State-of-the-art approaches </w:t>
      </w:r>
      <w:r>
        <w:rPr>
          <w:spacing w:val="-4"/>
        </w:rPr>
        <w:t>for </w:t>
      </w:r>
      <w:r>
        <w:rPr/>
        <w:t>cancer diagnosis and treatment will </w:t>
      </w:r>
      <w:r>
        <w:rPr>
          <w:spacing w:val="-3"/>
        </w:rPr>
        <w:t>be </w:t>
      </w:r>
      <w:r>
        <w:rPr/>
        <w:t>reviewed. These include signaling pathways associated with tumor development, the role </w:t>
      </w:r>
      <w:r>
        <w:rPr>
          <w:spacing w:val="-3"/>
        </w:rPr>
        <w:t>of </w:t>
      </w:r>
      <w:r>
        <w:rPr/>
        <w:t>endocrine and </w:t>
      </w:r>
      <w:r>
        <w:rPr>
          <w:spacing w:val="-3"/>
        </w:rPr>
        <w:t>other </w:t>
      </w:r>
      <w:r>
        <w:rPr/>
        <w:t>receptors as drug targets, the contribution </w:t>
      </w:r>
      <w:r>
        <w:rPr>
          <w:spacing w:val="-3"/>
        </w:rPr>
        <w:t>of </w:t>
      </w:r>
      <w:r>
        <w:rPr/>
        <w:t>transcriptional regulation, genome instability and DNA repair, and the harnessing </w:t>
      </w:r>
      <w:r>
        <w:rPr>
          <w:spacing w:val="-3"/>
        </w:rPr>
        <w:t>of </w:t>
      </w:r>
      <w:r>
        <w:rPr/>
        <w:t>apoptotic cascades for cancer </w:t>
      </w:r>
      <w:r>
        <w:rPr>
          <w:spacing w:val="-3"/>
        </w:rPr>
        <w:t>therapy. </w:t>
      </w:r>
      <w:r>
        <w:rPr/>
        <w:t>Drugs </w:t>
      </w:r>
      <w:r>
        <w:rPr>
          <w:spacing w:val="-3"/>
        </w:rPr>
        <w:t>involved </w:t>
      </w:r>
      <w:r>
        <w:rPr/>
        <w:t>in cancer treatment and their mechanism </w:t>
      </w:r>
      <w:r>
        <w:rPr>
          <w:spacing w:val="-3"/>
        </w:rPr>
        <w:t>of </w:t>
      </w:r>
      <w:r>
        <w:rPr/>
        <w:t>action, angiogenesis regulation, gene therapy approaches to cancer treatment, the use </w:t>
      </w:r>
      <w:r>
        <w:rPr>
          <w:spacing w:val="-3"/>
        </w:rPr>
        <w:t>of </w:t>
      </w:r>
      <w:r>
        <w:rPr/>
        <w:t>stem cells and dendritic cells in therapy and immunotherapy, drug resistance, and toxicity will also </w:t>
      </w:r>
      <w:r>
        <w:rPr>
          <w:spacing w:val="-3"/>
        </w:rPr>
        <w:t>be </w:t>
      </w:r>
      <w:r>
        <w:rPr/>
        <w:t>highlighted. The format is lectures followed by student discussion </w:t>
      </w:r>
      <w:r>
        <w:rPr>
          <w:spacing w:val="-3"/>
        </w:rPr>
        <w:t>of </w:t>
      </w:r>
      <w:r>
        <w:rPr/>
        <w:t>assigned</w:t>
      </w:r>
      <w:r>
        <w:rPr>
          <w:spacing w:val="9"/>
        </w:rPr>
        <w:t> </w:t>
      </w:r>
      <w:r>
        <w:rPr/>
        <w:t>papers.</w:t>
      </w:r>
    </w:p>
    <w:p>
      <w:pPr>
        <w:pStyle w:val="Heading6"/>
        <w:spacing w:before="131"/>
        <w:ind w:left="199"/>
      </w:pPr>
      <w:r>
        <w:rPr/>
        <w:t>GPLS 625 - ION CHANNELS (2)</w:t>
      </w:r>
    </w:p>
    <w:p>
      <w:pPr>
        <w:pStyle w:val="BodyText"/>
        <w:spacing w:line="249" w:lineRule="auto" w:before="192"/>
        <w:ind w:right="56" w:hanging="1"/>
      </w:pPr>
      <w:r>
        <w:rPr/>
        <w:t>This course covers the role of voltage- and receptor-gated ion channels in cell function. Although the emphasis is on structure and function of channels in excitable tissues such as nerve and muscle, students gain insight into the rapidly developing field of ion channel function in nonexcitable cells such as lymphocytes, transformed cells, and glial cells, and the roles of ion channels in development. Pre- requisites: GPLS 601 and 644, or consent of the instructor.</w:t>
      </w:r>
    </w:p>
    <w:p>
      <w:pPr>
        <w:pStyle w:val="Heading6"/>
        <w:spacing w:line="249" w:lineRule="auto" w:before="126"/>
        <w:ind w:right="1417" w:hanging="1"/>
      </w:pPr>
      <w:r>
        <w:rPr/>
        <w:t>GPLS 626 - MEMBRANE CARRIERS TRANSPORTERS (2)</w:t>
      </w:r>
    </w:p>
    <w:p>
      <w:pPr>
        <w:pStyle w:val="BodyText"/>
        <w:spacing w:line="249" w:lineRule="auto" w:before="179"/>
        <w:ind w:right="47"/>
      </w:pPr>
      <w:r>
        <w:rPr/>
        <w:t>This course is designed to prepare students </w:t>
      </w:r>
      <w:r>
        <w:rPr>
          <w:spacing w:val="-4"/>
        </w:rPr>
        <w:t>for </w:t>
      </w:r>
      <w:r>
        <w:rPr/>
        <w:t>advanced study and laboratory research </w:t>
      </w:r>
      <w:r>
        <w:rPr>
          <w:spacing w:val="-3"/>
        </w:rPr>
        <w:t>on </w:t>
      </w:r>
      <w:r>
        <w:rPr/>
        <w:t>the mechanisms </w:t>
      </w:r>
      <w:r>
        <w:rPr>
          <w:spacing w:val="-3"/>
        </w:rPr>
        <w:t>by </w:t>
      </w:r>
      <w:r>
        <w:rPr/>
        <w:t>which ions and small molecules are transported across biological membranes. The course starts </w:t>
      </w:r>
      <w:r>
        <w:rPr>
          <w:spacing w:val="-3"/>
        </w:rPr>
        <w:t>with </w:t>
      </w:r>
      <w:r>
        <w:rPr/>
        <w:t>consideration </w:t>
      </w:r>
      <w:r>
        <w:rPr>
          <w:spacing w:val="-3"/>
        </w:rPr>
        <w:t>of </w:t>
      </w:r>
      <w:r>
        <w:rPr/>
        <w:t>the general methodology, thermodynamics, and kinetics </w:t>
      </w:r>
      <w:r>
        <w:rPr>
          <w:spacing w:val="-3"/>
        </w:rPr>
        <w:t>of </w:t>
      </w:r>
      <w:r>
        <w:rPr/>
        <w:t>transmembrane, transcellular and transepithelial ion transport. The </w:t>
      </w:r>
      <w:r>
        <w:rPr>
          <w:spacing w:val="-3"/>
        </w:rPr>
        <w:t>focus </w:t>
      </w:r>
      <w:r>
        <w:rPr/>
        <w:t>then shifts to the biochemistry and molecular and structural biology of common plasma membrane active transport </w:t>
      </w:r>
      <w:r>
        <w:rPr>
          <w:spacing w:val="-3"/>
        </w:rPr>
        <w:t>systems </w:t>
      </w:r>
      <w:r>
        <w:rPr/>
        <w:t>for ions, nutrients and neurotransmitters. </w:t>
      </w:r>
      <w:r>
        <w:rPr>
          <w:spacing w:val="-3"/>
        </w:rPr>
        <w:t>It </w:t>
      </w:r>
      <w:r>
        <w:rPr/>
        <w:t>also covers the relationships and interactions </w:t>
      </w:r>
      <w:r>
        <w:rPr>
          <w:spacing w:val="-3"/>
        </w:rPr>
        <w:t>between </w:t>
      </w:r>
      <w:r>
        <w:rPr/>
        <w:t>transport proteins in the </w:t>
      </w:r>
      <w:r>
        <w:rPr>
          <w:spacing w:val="-3"/>
        </w:rPr>
        <w:t>plasma </w:t>
      </w:r>
      <w:r>
        <w:rPr/>
        <w:t>membrane and intracellular membranes. Prerequisites: GPLS 691 GPLS 644 </w:t>
      </w:r>
      <w:r>
        <w:rPr>
          <w:spacing w:val="-3"/>
        </w:rPr>
        <w:t>or </w:t>
      </w:r>
      <w:r>
        <w:rPr/>
        <w:t>equivalent </w:t>
      </w:r>
      <w:r>
        <w:rPr>
          <w:spacing w:val="-3"/>
        </w:rPr>
        <w:t>or </w:t>
      </w:r>
      <w:r>
        <w:rPr/>
        <w:t>consent </w:t>
      </w:r>
      <w:r>
        <w:rPr>
          <w:spacing w:val="-3"/>
        </w:rPr>
        <w:t>of </w:t>
      </w:r>
      <w:r>
        <w:rPr/>
        <w:t>the course</w:t>
      </w:r>
      <w:r>
        <w:rPr>
          <w:spacing w:val="-2"/>
        </w:rPr>
        <w:t> </w:t>
      </w:r>
      <w:r>
        <w:rPr/>
        <w:t>director.</w:t>
      </w:r>
    </w:p>
    <w:p>
      <w:pPr>
        <w:pStyle w:val="Heading6"/>
        <w:spacing w:line="249" w:lineRule="auto" w:before="131"/>
        <w:ind w:right="149"/>
      </w:pPr>
      <w:r>
        <w:rPr/>
        <w:t>GPLS 627 - DEVELOPMENTAL NEUROBIOLOGY (3)</w:t>
      </w:r>
    </w:p>
    <w:p>
      <w:pPr>
        <w:pStyle w:val="BodyText"/>
        <w:spacing w:line="249" w:lineRule="auto" w:before="183"/>
        <w:ind w:right="173"/>
      </w:pPr>
      <w:r>
        <w:rPr/>
        <w:t>This course introduces students to fundamental processes of neuronal development, including cell proliferation, differentiation of neurons and glia/cell lineage, neuronal</w:t>
      </w:r>
    </w:p>
    <w:p>
      <w:pPr>
        <w:pStyle w:val="BodyText"/>
        <w:spacing w:line="249" w:lineRule="auto" w:before="96"/>
        <w:ind w:left="199" w:right="622"/>
      </w:pPr>
      <w:r>
        <w:rPr/>
        <w:br w:type="column"/>
      </w:r>
      <w:r>
        <w:rPr/>
        <w:t>migration, development cell death, regional differentiation, the formation of neuronal connections, and plastic reorganization of the nervous system during development and developmental diseases and malformations. The underlying cellular and molecular mechanisms of these processes are also explored. Each topic is covered by a lecture and a discussion of selected current papers in the literature.</w:t>
      </w:r>
    </w:p>
    <w:p>
      <w:pPr>
        <w:pStyle w:val="Heading6"/>
        <w:spacing w:before="126"/>
        <w:ind w:left="199"/>
      </w:pPr>
      <w:r>
        <w:rPr/>
        <w:t>GPLS 629 - JOURNAL CLUB (1)</w:t>
      </w:r>
    </w:p>
    <w:p>
      <w:pPr>
        <w:pStyle w:val="BodyText"/>
        <w:spacing w:line="249" w:lineRule="auto" w:before="187"/>
        <w:ind w:left="199" w:right="755"/>
      </w:pPr>
      <w:r>
        <w:rPr/>
        <w:t>This course exposes students to advances in their specific disciplines through presentations of recent papers by faculty, research fellows, and students.</w:t>
      </w:r>
    </w:p>
    <w:p>
      <w:pPr>
        <w:pStyle w:val="Heading6"/>
        <w:spacing w:line="249" w:lineRule="auto" w:before="123"/>
        <w:ind w:left="199" w:right="703"/>
      </w:pPr>
      <w:r>
        <w:rPr/>
        <w:t>GPLS 630 - FUNDAMENTALS OF BIOSTATISTICS (3)</w:t>
      </w:r>
    </w:p>
    <w:p>
      <w:pPr>
        <w:pStyle w:val="BodyText"/>
        <w:spacing w:line="249" w:lineRule="auto" w:before="184"/>
        <w:ind w:left="199" w:right="721"/>
      </w:pPr>
      <w:r>
        <w:rPr/>
        <w:t>This course covers most of the basic types of analysis procedures used for continuous and discrete variables. Topics include statistical inference (p-values, confidence intervals, hypothesis tests), t-tests, chi-square tests, power calculations, nonparametric methods, simple and multiple linear regression, ANOVA, logistical regression and survival analysis.</w:t>
      </w:r>
    </w:p>
    <w:p>
      <w:pPr>
        <w:pStyle w:val="Heading6"/>
        <w:spacing w:line="249" w:lineRule="auto" w:before="125"/>
        <w:ind w:right="802"/>
      </w:pPr>
      <w:r>
        <w:rPr/>
        <w:t>GPLS 631 - CARDIAC CELLULAR PHYSIOLOGY (2)</w:t>
      </w:r>
    </w:p>
    <w:p>
      <w:pPr>
        <w:pStyle w:val="BodyText"/>
        <w:spacing w:line="249" w:lineRule="auto" w:before="179"/>
        <w:ind w:right="626"/>
      </w:pPr>
      <w:r>
        <w:rPr/>
        <w:t>This course covers cardiac cellular physiology, electrophysiology, and molecular biology through lectures, readings, and discussions. Topics change yearly. Recent topics have included: channels in the sarcolemma and sarcoplasmic reticulum; ion exchangers and pumps; signal transduction mechanisms; excitation contraction coupling in heart muscle; novel aspects of cardiac muscle mechanics; and review of new molecular, optical, and electrical methods. Students present and discuss assigned papers and write a mock grant application.</w:t>
      </w:r>
    </w:p>
    <w:p>
      <w:pPr>
        <w:pStyle w:val="Heading6"/>
        <w:spacing w:line="249" w:lineRule="auto" w:before="127"/>
        <w:ind w:right="1680"/>
      </w:pPr>
      <w:r>
        <w:rPr/>
        <w:t>GPLS 641 - SYSTEMS AND COGNITIVE NEUROSCIENCE (4)</w:t>
      </w:r>
    </w:p>
    <w:p>
      <w:pPr>
        <w:pStyle w:val="BodyText"/>
        <w:spacing w:line="249" w:lineRule="auto" w:before="184"/>
        <w:ind w:right="670"/>
      </w:pPr>
      <w:r>
        <w:rPr/>
        <w:t>This course begins with an initial module that covers human neuroanatomy (students take lectures and labs with the medical neuroscience students), followed by lectures on general organizations of brain circuits, and sensory and motor systems. The course closes with lectures covering the neural bases of cognitive functions, language, sleep, etc, and with lectures on disorders of the nervous system.</w:t>
      </w:r>
    </w:p>
    <w:p>
      <w:pPr>
        <w:pStyle w:val="Heading6"/>
        <w:spacing w:before="125"/>
      </w:pPr>
      <w:r>
        <w:rPr/>
        <w:t>GPLS 642 - NOCICEPTION OF PAIN (2)</w:t>
      </w:r>
    </w:p>
    <w:p>
      <w:pPr>
        <w:pStyle w:val="BodyText"/>
        <w:spacing w:line="249" w:lineRule="auto" w:before="188"/>
        <w:ind w:right="665"/>
      </w:pPr>
      <w:r>
        <w:rPr/>
        <w:t>This course is designed for graduate students in all health disciplines. Its focus is on the basic science and research aspects of nociception, pain, and analgesia. Topics include</w:t>
      </w:r>
    </w:p>
    <w:p>
      <w:pPr>
        <w:spacing w:after="0" w:line="249" w:lineRule="auto"/>
        <w:sectPr>
          <w:pgSz w:w="12240" w:h="15840"/>
          <w:pgMar w:header="746" w:footer="0" w:top="1320" w:bottom="280" w:left="880" w:right="300"/>
          <w:cols w:num="2" w:equalWidth="0">
            <w:col w:w="4981" w:space="506"/>
            <w:col w:w="5573"/>
          </w:cols>
        </w:sectPr>
      </w:pPr>
    </w:p>
    <w:p>
      <w:pPr>
        <w:pStyle w:val="BodyText"/>
        <w:spacing w:line="249" w:lineRule="auto" w:before="100"/>
      </w:pPr>
      <w:r>
        <w:rPr/>
        <w:t>the neuroanatomy, neurophysiology, neuropharmacology, and the psychophysics of nociception and pain.</w:t>
      </w:r>
    </w:p>
    <w:p>
      <w:pPr>
        <w:pStyle w:val="Heading6"/>
        <w:spacing w:line="249" w:lineRule="auto" w:before="121"/>
        <w:ind w:right="244"/>
      </w:pPr>
      <w:r>
        <w:rPr/>
        <w:t>GPLS 643 - NEUROBIOLOGY OF NOCICEPTION (2)</w:t>
      </w:r>
    </w:p>
    <w:p>
      <w:pPr>
        <w:pStyle w:val="BodyText"/>
        <w:spacing w:line="249" w:lineRule="auto" w:before="179"/>
        <w:ind w:right="80"/>
      </w:pPr>
      <w:r>
        <w:rPr/>
        <w:t>This course is designed for neuroscience graduate students interested in the neurobiology of nociception and pain.</w:t>
      </w:r>
    </w:p>
    <w:p>
      <w:pPr>
        <w:pStyle w:val="BodyText"/>
        <w:spacing w:line="249" w:lineRule="auto" w:before="2"/>
        <w:ind w:right="23"/>
      </w:pPr>
      <w:r>
        <w:rPr/>
        <w:t>While GPILS 642 provides a general background in this field, GPILS 643 provides a solid foundation of knowledge through a combination of lectures, directed reading, and discussion of the primary literature. The focus is on the most contemporary views of nociceptive processing.</w:t>
      </w:r>
    </w:p>
    <w:p>
      <w:pPr>
        <w:pStyle w:val="Heading6"/>
        <w:spacing w:line="249" w:lineRule="auto" w:before="124"/>
        <w:ind w:right="533"/>
      </w:pPr>
      <w:r>
        <w:rPr/>
        <w:t>GPLS 644 - INTRODUCTION TO MEMBRANE BIOPHYSICS (1)</w:t>
      </w:r>
    </w:p>
    <w:p>
      <w:pPr>
        <w:pStyle w:val="BodyText"/>
        <w:spacing w:line="249" w:lineRule="auto" w:before="184"/>
        <w:ind w:right="24"/>
      </w:pPr>
      <w:r>
        <w:rPr/>
        <w:t>This course is designed to provide students with sufficient understanding of a range of electrophysiological concepts, including current flow and intracellular, patch clamp and extracellular recording, which are required for electrophysiological laboratory rotations. In addition, lecture topics will focus on quantitative topics that students must be familiar with for more advanced courses, such as 'Cellular Basis of Synaptic Physiology' and 'Fundamentals of Membrane Transport.' Topics include electrochemical equilibrium, electrochemical potential energy and transport processes, electricity primer, operational amplifiers, equivalent circuits of membranes, voltage-gated channels and action potentials, and extracellular recording and stimulation. This course, in combination with the Core Course and GPLS 691 (Topics in Contemporary Cellular and Molecular Neuroscience), provide neuroscience- oriented students with a strong background in both molecular and cellular neuroscience and electrophysiological concepts, which is necessary for advanced courses in neuroscience. This course is required for students in the Program in Neuroscience and is recommended for GPILS students interested in cellular and molecular neuroscience.</w:t>
      </w:r>
    </w:p>
    <w:p>
      <w:pPr>
        <w:pStyle w:val="Heading6"/>
        <w:spacing w:before="136"/>
      </w:pPr>
      <w:r>
        <w:rPr/>
        <w:t>GPLS 645 - CELL AND SYSTEMS PHYSIOLOGY (3)</w:t>
      </w:r>
    </w:p>
    <w:p>
      <w:pPr>
        <w:pStyle w:val="BodyText"/>
        <w:spacing w:line="249" w:lineRule="auto" w:before="188"/>
        <w:ind w:right="141"/>
      </w:pPr>
      <w:r>
        <w:rPr/>
        <w:t>This course covers the fundamentals of cellular and organ physiology, the integrative function of physiological systems, and homeostasis. The first half of the class focuses on cellular/tissue physiology (sample topics include epithelial, muscle, neuron, bone, blood, and endocrine cell physiology), with the second half focusing on organs and systems (nervous, cardiovascular, respiratory, renal, digestive, immune, and endocrine systems). Weekly discussion groups focus on important techniques in physiology, integrating class lectures with experimental topics and journal articles. Students are evaluated with 2 exams and a class presentation on a</w:t>
      </w:r>
    </w:p>
    <w:p>
      <w:pPr>
        <w:pStyle w:val="BodyText"/>
        <w:spacing w:before="96"/>
      </w:pPr>
      <w:r>
        <w:rPr/>
        <w:br w:type="column"/>
      </w:r>
      <w:r>
        <w:rPr/>
        <w:t>physiological system of their choice.</w:t>
      </w:r>
    </w:p>
    <w:p>
      <w:pPr>
        <w:pStyle w:val="Heading6"/>
        <w:spacing w:line="249" w:lineRule="auto"/>
        <w:ind w:right="628"/>
      </w:pPr>
      <w:r>
        <w:rPr/>
        <w:t>GPLS 647 - MOLECULAR MEDICINE SURVIVAL SKILLS (2)</w:t>
      </w:r>
    </w:p>
    <w:p>
      <w:pPr>
        <w:pStyle w:val="BodyText"/>
        <w:spacing w:line="249" w:lineRule="auto" w:before="179"/>
        <w:ind w:right="619"/>
      </w:pPr>
      <w:r>
        <w:rPr/>
        <w:t>The ability to effectively communicate scientific findings and new ideas not only aids the researcher in promoting his/her program, but helps in the conceptualization </w:t>
      </w:r>
      <w:r>
        <w:rPr>
          <w:spacing w:val="-3"/>
        </w:rPr>
        <w:t>of </w:t>
      </w:r>
      <w:r>
        <w:rPr/>
        <w:t>new areas </w:t>
      </w:r>
      <w:r>
        <w:rPr>
          <w:spacing w:val="-3"/>
        </w:rPr>
        <w:t>of </w:t>
      </w:r>
      <w:r>
        <w:rPr/>
        <w:t>inquiry and generates new insights into recent discoveries. This course is designed to provide</w:t>
      </w:r>
      <w:r>
        <w:rPr>
          <w:spacing w:val="-21"/>
        </w:rPr>
        <w:t> </w:t>
      </w:r>
      <w:r>
        <w:rPr/>
        <w:t>second-year Molecular Medicine Graduate students </w:t>
      </w:r>
      <w:r>
        <w:rPr>
          <w:spacing w:val="-3"/>
        </w:rPr>
        <w:t>with </w:t>
      </w:r>
      <w:r>
        <w:rPr/>
        <w:t>instruction </w:t>
      </w:r>
      <w:r>
        <w:rPr>
          <w:spacing w:val="-4"/>
        </w:rPr>
        <w:t>in </w:t>
      </w:r>
      <w:r>
        <w:rPr/>
        <w:t>five critical areas </w:t>
      </w:r>
      <w:r>
        <w:rPr>
          <w:spacing w:val="-3"/>
        </w:rPr>
        <w:t>of </w:t>
      </w:r>
      <w:r>
        <w:rPr/>
        <w:t>scientific communication that underpin a successful graduate career: 1) Grant Writing Skills; 2) Manuscript Preparation Skills; 3) Presentation Skills (preparation and delivery of an </w:t>
      </w:r>
      <w:r>
        <w:rPr>
          <w:spacing w:val="-3"/>
        </w:rPr>
        <w:t>oral </w:t>
      </w:r>
      <w:r>
        <w:rPr/>
        <w:t>presentation); 4) Bio-informatics; and 5) People Skills (professional skills for future employment opportunities). The format will include formal lectures </w:t>
      </w:r>
      <w:r>
        <w:rPr>
          <w:spacing w:val="-3"/>
        </w:rPr>
        <w:t>on each </w:t>
      </w:r>
      <w:r>
        <w:rPr/>
        <w:t>topic, followed by an accompanying workshop and/or forum in which to engage in interactive learning</w:t>
      </w:r>
      <w:r>
        <w:rPr>
          <w:spacing w:val="-2"/>
        </w:rPr>
        <w:t> </w:t>
      </w:r>
      <w:r>
        <w:rPr/>
        <w:t>sessions.</w:t>
      </w:r>
    </w:p>
    <w:p>
      <w:pPr>
        <w:pStyle w:val="Heading6"/>
        <w:spacing w:before="131"/>
      </w:pPr>
      <w:r>
        <w:rPr/>
        <w:t>GPLS 648 - ROUNDS IN MEMBRANE BIOLOGY (1)</w:t>
      </w:r>
    </w:p>
    <w:p>
      <w:pPr>
        <w:pStyle w:val="BodyText"/>
        <w:spacing w:line="249" w:lineRule="auto" w:before="192"/>
        <w:ind w:right="765"/>
      </w:pPr>
      <w:r>
        <w:rPr/>
        <w:t>Two faculty members in the interdepartment program in membrane biology present two topics in the field of biomembranes each week. Time is reserved for questions and discussion.</w:t>
      </w:r>
    </w:p>
    <w:p>
      <w:pPr>
        <w:pStyle w:val="Heading6"/>
        <w:spacing w:line="249" w:lineRule="auto" w:before="123"/>
        <w:ind w:right="1324"/>
      </w:pPr>
      <w:r>
        <w:rPr/>
        <w:t>GPLS 660 - FUNCTIONAL SYSTEMS: CELL FUNCTION (1)</w:t>
      </w:r>
    </w:p>
    <w:p>
      <w:pPr>
        <w:pStyle w:val="BodyText"/>
        <w:spacing w:line="249" w:lineRule="auto" w:before="179"/>
        <w:ind w:right="607"/>
      </w:pPr>
      <w:r>
        <w:rPr/>
        <w:t>This course provides students with a fundamental knowledge of the biophysical properties of cells and cell membranes in lectures and small-group discussions. Topics include diffusion, permeability, osmotic pressure, electrical consequences of ionic gradients, resting membrane potentials, action potential generation and propagation, ionic channel diversity, active transport, epithelial transport, excitation contraction coupling in skeletal muscle, and the mechanical properties of muscle.</w:t>
      </w:r>
    </w:p>
    <w:p>
      <w:pPr>
        <w:pStyle w:val="BodyText"/>
        <w:spacing w:line="249" w:lineRule="auto" w:before="7"/>
        <w:ind w:right="643"/>
      </w:pPr>
      <w:r>
        <w:rPr/>
        <w:t>Emphasis is on the experimental basis of the biophysical properties of cells (a component of the medical physiology course).</w:t>
      </w:r>
    </w:p>
    <w:p>
      <w:pPr>
        <w:pStyle w:val="Heading6"/>
        <w:spacing w:line="249" w:lineRule="auto" w:before="122"/>
        <w:ind w:right="646"/>
      </w:pPr>
      <w:r>
        <w:rPr/>
        <w:t>GPLS 661 - FUNCTIONAL SYSTEMS: ENDOCRINE FUNCTION (1)</w:t>
      </w:r>
    </w:p>
    <w:p>
      <w:pPr>
        <w:pStyle w:val="BodyText"/>
        <w:spacing w:line="249" w:lineRule="auto" w:before="184"/>
        <w:ind w:right="621"/>
      </w:pPr>
      <w:r>
        <w:rPr/>
        <w:t>Students learn about the endocrine system through lectures and small group conferences. Lectures focus on the biosynthesis of the major hormones, regulation of hormone release, effects of hormones on target tissues, and intracellular mechanisms of hormone action. Students discuss the clinical relevance of endocrine findings and critically evaluate the experimental design, observations, and interpretation of data presented in current papers in small-group conferences (a component of the medical</w:t>
      </w:r>
    </w:p>
    <w:p>
      <w:pPr>
        <w:spacing w:after="0" w:line="249" w:lineRule="auto"/>
        <w:sectPr>
          <w:pgSz w:w="12240" w:h="15840"/>
          <w:pgMar w:header="746" w:footer="0" w:top="1320" w:bottom="280" w:left="880" w:right="300"/>
          <w:cols w:num="2" w:equalWidth="0">
            <w:col w:w="4993" w:space="494"/>
            <w:col w:w="5573"/>
          </w:cols>
        </w:sectPr>
      </w:pPr>
    </w:p>
    <w:p>
      <w:pPr>
        <w:pStyle w:val="BodyText"/>
        <w:spacing w:before="100"/>
      </w:pPr>
      <w:r>
        <w:rPr/>
        <w:t>physiology course).</w:t>
      </w:r>
    </w:p>
    <w:p>
      <w:pPr>
        <w:pStyle w:val="Heading6"/>
        <w:spacing w:line="249" w:lineRule="auto"/>
        <w:ind w:right="1347"/>
      </w:pPr>
      <w:r>
        <w:rPr/>
        <w:t>GPLS 662 - FUNCTIONAL SYSTEMS: CARDIOVASCULAR FUNCTION (2)</w:t>
      </w:r>
    </w:p>
    <w:p>
      <w:pPr>
        <w:pStyle w:val="BodyText"/>
        <w:spacing w:line="249" w:lineRule="auto" w:before="179"/>
        <w:ind w:left="199" w:right="46"/>
      </w:pPr>
      <w:r>
        <w:rPr/>
        <w:t>Students learn about the integrated functioning of the cardiovascular system. Topics include electrophysiology of the heart, at both the cellular and multicellular levels; excitation-contraction coupling mechanisms in cardiac and vascular smooth muscle; cardiac cycle and ventricular mechanics; hemodynamics; short- and long-term mechanisms for regulation of blood pressure; and function of the lymphatic system. Final topics include those that exemplify the integrated functioning of the cardiovascular system: exercise, response to postural changes, heart failure, and others (a component of the medical physiology course).</w:t>
      </w:r>
    </w:p>
    <w:p>
      <w:pPr>
        <w:pStyle w:val="Heading6"/>
        <w:spacing w:line="249" w:lineRule="auto" w:before="129"/>
        <w:ind w:left="199" w:right="598"/>
      </w:pPr>
      <w:r>
        <w:rPr/>
        <w:t>GPLS 663 - FUNCTIONAL SYSTEMS: RENAL FUNCTION (1)</w:t>
      </w:r>
    </w:p>
    <w:p>
      <w:pPr>
        <w:pStyle w:val="BodyText"/>
        <w:spacing w:line="249" w:lineRule="auto" w:before="184"/>
        <w:ind w:left="199" w:right="189"/>
      </w:pPr>
      <w:r>
        <w:rPr/>
        <w:t>Students learn about renal mechanisms responsible for water and electrolyte homeostasis in lecture and small- group format. Topics include body fluids, sodium and water balance, renal blood flow and glomerular filtration, tubular mechanisms of NaCl transport and regulation, solute transport, diuresis, concentrating mechanisms, potassium homeostasis, and acid-base homeostasis (a component of the medical physiology course).</w:t>
      </w:r>
    </w:p>
    <w:p>
      <w:pPr>
        <w:pStyle w:val="Heading6"/>
        <w:spacing w:line="249" w:lineRule="auto" w:before="126"/>
        <w:ind w:left="199" w:right="714"/>
      </w:pPr>
      <w:r>
        <w:rPr/>
        <w:t>GPLS 664 - FUNCTIONAL SYSTEMS: GASTROINTESTINAL AND RESPIRATORY FUNCTION (1)</w:t>
      </w:r>
    </w:p>
    <w:p>
      <w:pPr>
        <w:pStyle w:val="BodyText"/>
        <w:spacing w:line="249" w:lineRule="auto" w:before="179"/>
        <w:ind w:left="199" w:right="621"/>
      </w:pPr>
      <w:r>
        <w:rPr/>
        <w:t>Students learn about respiratory and gastrointestinal systems through lectures and small-group work.</w:t>
      </w:r>
    </w:p>
    <w:p>
      <w:pPr>
        <w:pStyle w:val="BodyText"/>
        <w:spacing w:line="249" w:lineRule="auto" w:before="2"/>
        <w:ind w:left="199" w:right="38"/>
      </w:pPr>
      <w:r>
        <w:rPr/>
        <w:t>Respiratory physiology topics include lung volumes, ventilation, mechanics of breathing, pulmonary blood flow, ventilation-perfusion matching, gas transport, control of breathing, and fetal respiration. Gastrointestinal physiology topics include secretions of the salivary glands, stomach, pancreas, and small intestine; enzymatic digestion and absorption; motility; gastrointestinal hormones and the enteric nervous system; and colonic function (a component of the medical physiology course).</w:t>
      </w:r>
    </w:p>
    <w:p>
      <w:pPr>
        <w:pStyle w:val="Heading6"/>
        <w:spacing w:line="249" w:lineRule="auto" w:before="126"/>
        <w:ind w:left="199" w:right="492"/>
      </w:pPr>
      <w:r>
        <w:rPr/>
        <w:t>GPLS 665 - CANCER BIOLOGY: FROM BASIC RESEARCH TO THE CLINIC (3)</w:t>
      </w:r>
    </w:p>
    <w:p>
      <w:pPr>
        <w:pStyle w:val="BodyText"/>
        <w:spacing w:line="249" w:lineRule="auto" w:before="184"/>
        <w:ind w:left="199" w:right="75"/>
      </w:pPr>
      <w:r>
        <w:rPr/>
        <w:t>This course is designed to introduce students to </w:t>
      </w:r>
      <w:r>
        <w:rPr>
          <w:spacing w:val="-3"/>
        </w:rPr>
        <w:t>both </w:t>
      </w:r>
      <w:r>
        <w:rPr/>
        <w:t>the biology </w:t>
      </w:r>
      <w:r>
        <w:rPr>
          <w:spacing w:val="-3"/>
        </w:rPr>
        <w:t>of </w:t>
      </w:r>
      <w:r>
        <w:rPr/>
        <w:t>specific cancers and to how patients </w:t>
      </w:r>
      <w:r>
        <w:rPr>
          <w:spacing w:val="-3"/>
        </w:rPr>
        <w:t>with </w:t>
      </w:r>
      <w:r>
        <w:rPr/>
        <w:t>these diseases are managed and treated. The course consists </w:t>
      </w:r>
      <w:r>
        <w:rPr>
          <w:spacing w:val="-3"/>
        </w:rPr>
        <w:t>of </w:t>
      </w:r>
      <w:r>
        <w:rPr/>
        <w:t>twice weekly lectures in which a basic </w:t>
      </w:r>
      <w:r>
        <w:rPr>
          <w:spacing w:val="-3"/>
        </w:rPr>
        <w:t>or </w:t>
      </w:r>
      <w:r>
        <w:rPr/>
        <w:t>translational scientist is paired </w:t>
      </w:r>
      <w:r>
        <w:rPr>
          <w:spacing w:val="-3"/>
        </w:rPr>
        <w:t>with </w:t>
      </w:r>
      <w:r>
        <w:rPr/>
        <w:t>a clinician to describe a specific disease and the </w:t>
      </w:r>
      <w:r>
        <w:rPr>
          <w:spacing w:val="-3"/>
        </w:rPr>
        <w:t>major </w:t>
      </w:r>
      <w:r>
        <w:rPr/>
        <w:t>questions that need to </w:t>
      </w:r>
      <w:r>
        <w:rPr>
          <w:spacing w:val="-3"/>
        </w:rPr>
        <w:t>be </w:t>
      </w:r>
      <w:r>
        <w:rPr/>
        <w:t>answered to improve treatments. Thus, the lectures alternate</w:t>
      </w:r>
      <w:r>
        <w:rPr>
          <w:spacing w:val="-12"/>
        </w:rPr>
        <w:t> </w:t>
      </w:r>
      <w:r>
        <w:rPr>
          <w:spacing w:val="-3"/>
        </w:rPr>
        <w:t>between</w:t>
      </w:r>
    </w:p>
    <w:p>
      <w:pPr>
        <w:pStyle w:val="BodyText"/>
        <w:spacing w:line="249" w:lineRule="auto" w:before="96"/>
        <w:ind w:left="199" w:right="654"/>
      </w:pPr>
      <w:r>
        <w:rPr/>
        <w:br w:type="column"/>
      </w:r>
      <w:r>
        <w:rPr/>
        <w:t>lectures </w:t>
      </w:r>
      <w:r>
        <w:rPr>
          <w:spacing w:val="-3"/>
        </w:rPr>
        <w:t>on </w:t>
      </w:r>
      <w:r>
        <w:rPr/>
        <w:t>basic biology and clinical management </w:t>
      </w:r>
      <w:r>
        <w:rPr>
          <w:spacing w:val="-3"/>
        </w:rPr>
        <w:t>of </w:t>
      </w:r>
      <w:r>
        <w:rPr/>
        <w:t>cancer patients. The first half </w:t>
      </w:r>
      <w:r>
        <w:rPr>
          <w:spacing w:val="-3"/>
        </w:rPr>
        <w:t>of </w:t>
      </w:r>
      <w:r>
        <w:rPr/>
        <w:t>the course deals </w:t>
      </w:r>
      <w:r>
        <w:rPr>
          <w:spacing w:val="-3"/>
        </w:rPr>
        <w:t>with </w:t>
      </w:r>
      <w:r>
        <w:rPr/>
        <w:t>hereditary cancers and the second half covers sporadic cancers. </w:t>
      </w:r>
      <w:r>
        <w:rPr>
          <w:spacing w:val="-3"/>
        </w:rPr>
        <w:t>In </w:t>
      </w:r>
      <w:r>
        <w:rPr/>
        <w:t>addition to attending the lectures, students attend one relevant tumor board conference (where</w:t>
      </w:r>
      <w:r>
        <w:rPr>
          <w:spacing w:val="-25"/>
        </w:rPr>
        <w:t> </w:t>
      </w:r>
      <w:r>
        <w:rPr/>
        <w:t>clinical cases are presented and discussed) </w:t>
      </w:r>
      <w:r>
        <w:rPr>
          <w:spacing w:val="-3"/>
        </w:rPr>
        <w:t>each week. </w:t>
      </w:r>
      <w:r>
        <w:rPr/>
        <w:t>Each student is assigned a clinical mentor who helps identify a clinical question </w:t>
      </w:r>
      <w:r>
        <w:rPr>
          <w:spacing w:val="-5"/>
        </w:rPr>
        <w:t>or </w:t>
      </w:r>
      <w:r>
        <w:rPr/>
        <w:t>problem </w:t>
      </w:r>
      <w:r>
        <w:rPr>
          <w:spacing w:val="-3"/>
        </w:rPr>
        <w:t>of </w:t>
      </w:r>
      <w:r>
        <w:rPr/>
        <w:t>current interest, and </w:t>
      </w:r>
      <w:r>
        <w:rPr>
          <w:spacing w:val="-3"/>
        </w:rPr>
        <w:t>each </w:t>
      </w:r>
      <w:r>
        <w:rPr/>
        <w:t>student writes a concise, </w:t>
      </w:r>
      <w:r>
        <w:rPr>
          <w:spacing w:val="-3"/>
        </w:rPr>
        <w:t>focused </w:t>
      </w:r>
      <w:r>
        <w:rPr/>
        <w:t>mini-review of the literature and issues related to this question (guidelines are provided).</w:t>
      </w:r>
    </w:p>
    <w:p>
      <w:pPr>
        <w:pStyle w:val="Heading6"/>
        <w:spacing w:line="249" w:lineRule="auto" w:before="128"/>
        <w:ind w:left="199" w:right="859"/>
      </w:pPr>
      <w:r>
        <w:rPr/>
        <w:t>GPLS 667 - CELLULAR-MOLECULAR BASIS OF AUTISM (3)</w:t>
      </w:r>
    </w:p>
    <w:p>
      <w:pPr>
        <w:pStyle w:val="BodyText"/>
        <w:spacing w:line="249" w:lineRule="auto" w:before="179"/>
        <w:ind w:left="199" w:right="700"/>
      </w:pPr>
      <w:r>
        <w:rPr/>
        <w:t>This course provides an overview of both clinical and neurobiological research on autism spectrum disorder. After an introduction on understanding what autism is - and how it impacts people?s lives ? the course examines the neurobiological processes underlying autism spectrum condition in human as well as animal models. It also investigates changes in brain development, gene expression and sex differences, neurotransmitter systems and synaptogenesis, including recent advances in the stem cell research field.</w:t>
      </w:r>
    </w:p>
    <w:p>
      <w:pPr>
        <w:pStyle w:val="Heading6"/>
        <w:spacing w:line="249" w:lineRule="auto" w:before="127"/>
        <w:ind w:left="199" w:right="615"/>
      </w:pPr>
      <w:r>
        <w:rPr/>
        <w:t>GPLS 690 - CURRENT TOPICS IN VASCULAR AND STEM CELL BIOLOGY (1)</w:t>
      </w:r>
    </w:p>
    <w:p>
      <w:pPr>
        <w:pStyle w:val="BodyText"/>
        <w:spacing w:line="249" w:lineRule="auto" w:before="184"/>
        <w:ind w:left="199" w:right="667"/>
      </w:pPr>
      <w:r>
        <w:rPr/>
        <w:t>This course introduces students to contemporary topics of scientific and clinical importance in vascular and stem cell biology. This lecture and discussion course covers a series of subjects including the nature and origin of stem cells and their application to medicine, inflammation, proteolytic mechanisms of thrombosis, atherosclerosis, angiogenesis, and vascular disease. Offered in the fall semester. This course complements the GPILS Core Course.</w:t>
      </w:r>
    </w:p>
    <w:p>
      <w:pPr>
        <w:pStyle w:val="Heading6"/>
        <w:spacing w:line="249" w:lineRule="auto" w:before="127"/>
        <w:ind w:left="199" w:right="849"/>
      </w:pPr>
      <w:r>
        <w:rPr/>
        <w:t>GPLS 691 - MOLECULAR NEUROSCIENCE AND BIOPHYSICS (1)</w:t>
      </w:r>
    </w:p>
    <w:p>
      <w:pPr>
        <w:pStyle w:val="BodyText"/>
        <w:spacing w:line="249" w:lineRule="auto" w:before="179"/>
        <w:ind w:left="199" w:right="701"/>
      </w:pPr>
      <w:r>
        <w:rPr/>
        <w:t>This course is a lecture and discussion course that complements the GPILS Core course by introducing a variety of current topics in the area of cellular and molecular neuroscience. The class meets once weekly and consists of a series of lectures that introduce students to topics in cellular and molecular neuroscience, including neurogenetics, neural development, neuroendocrinology, neuropharmacology, neuronal survival and degeneration, neuromodulation and synaptic plasticity. Each lecture includes a general introduction to a topic, followed by discussion of recent studies addressing specific questions relevant to that topic. This course is required for the Program in Neuroscience and is recommended for any</w:t>
      </w:r>
    </w:p>
    <w:p>
      <w:pPr>
        <w:spacing w:after="0" w:line="249" w:lineRule="auto"/>
        <w:sectPr>
          <w:pgSz w:w="12240" w:h="15840"/>
          <w:pgMar w:header="746" w:footer="0" w:top="1320" w:bottom="280" w:left="880" w:right="300"/>
          <w:cols w:num="2" w:equalWidth="0">
            <w:col w:w="5001" w:space="485"/>
            <w:col w:w="5574"/>
          </w:cols>
        </w:sectPr>
      </w:pPr>
    </w:p>
    <w:p>
      <w:pPr>
        <w:pStyle w:val="BodyText"/>
        <w:spacing w:before="100"/>
      </w:pPr>
      <w:r>
        <w:rPr/>
        <w:t>student interested in cellular and molecular neurobiology.</w:t>
      </w:r>
    </w:p>
    <w:p>
      <w:pPr>
        <w:pStyle w:val="BodyText"/>
        <w:spacing w:before="187"/>
      </w:pPr>
      <w:r>
        <w:rPr/>
        <w:t>Offered:</w:t>
      </w:r>
      <w:r>
        <w:rPr>
          <w:spacing w:val="-2"/>
        </w:rPr>
        <w:t> </w:t>
      </w:r>
      <w:r>
        <w:rPr/>
        <w:t>202009.</w:t>
      </w:r>
    </w:p>
    <w:p>
      <w:pPr>
        <w:pStyle w:val="Heading6"/>
        <w:spacing w:line="249" w:lineRule="auto"/>
      </w:pPr>
      <w:r>
        <w:rPr/>
        <w:t>GPLS 692 - CURRENT </w:t>
      </w:r>
      <w:r>
        <w:rPr>
          <w:spacing w:val="-2"/>
        </w:rPr>
        <w:t>TOPICS </w:t>
      </w:r>
      <w:r>
        <w:rPr/>
        <w:t>IN GENETICS </w:t>
      </w:r>
      <w:r>
        <w:rPr>
          <w:spacing w:val="-2"/>
        </w:rPr>
        <w:t>AND </w:t>
      </w:r>
      <w:r>
        <w:rPr/>
        <w:t>GENOMICS (1)</w:t>
      </w:r>
    </w:p>
    <w:p>
      <w:pPr>
        <w:pStyle w:val="BodyText"/>
        <w:spacing w:before="184"/>
      </w:pPr>
      <w:r>
        <w:rPr/>
        <w:t>Topics vary from term to term.</w:t>
      </w:r>
    </w:p>
    <w:p>
      <w:pPr>
        <w:pStyle w:val="Heading6"/>
        <w:spacing w:line="249" w:lineRule="auto"/>
      </w:pPr>
      <w:r>
        <w:rPr/>
        <w:t>GPILS 791 - FROM BENCH TO BEDSIDE:STEPS IN TRANSLATIONAL RESEARCH (3)</w:t>
      </w:r>
    </w:p>
    <w:p>
      <w:pPr>
        <w:pStyle w:val="BodyText"/>
        <w:spacing w:line="249" w:lineRule="auto" w:before="180"/>
        <w:ind w:right="89"/>
      </w:pPr>
      <w:r>
        <w:rPr>
          <w:color w:val="303030"/>
        </w:rPr>
        <w:t>Designed to introduce the process of how drugs, devices, and diagnostics are developed, providing students with the experience and skills necessary to facilitate the translation of new biological knowledge into tools to improve human health. A 3-credit course, once a week for 2 hours consisting of a 1-hour lecture by a faculty member, followed by a discussion of an assigned paper. Each student will prepare a 30-minute presentation of a translational study with a faculty mentor.</w:t>
      </w:r>
    </w:p>
    <w:p>
      <w:pPr>
        <w:pStyle w:val="Heading6"/>
        <w:spacing w:line="249" w:lineRule="auto" w:before="127"/>
        <w:ind w:right="215"/>
      </w:pPr>
      <w:r>
        <w:rPr/>
        <w:t>GPLS 701 - ADVANCED MOLECULAR BIOLOGY (3)</w:t>
      </w:r>
    </w:p>
    <w:p>
      <w:pPr>
        <w:pStyle w:val="BodyText"/>
        <w:spacing w:line="249" w:lineRule="auto" w:before="184"/>
        <w:ind w:right="122"/>
      </w:pPr>
      <w:r>
        <w:rPr/>
        <w:t>This is an advanced course for graduate students majoring in molecular biology and genetics. Course covers current developments in DNA replication, repair, recombination, gene expression, and RNA processing in both prokaryotes and eukaryotes (with emphasis on eukaryotic systems).</w:t>
      </w:r>
    </w:p>
    <w:p>
      <w:pPr>
        <w:pStyle w:val="Heading6"/>
        <w:spacing w:before="124"/>
      </w:pPr>
      <w:r>
        <w:rPr/>
        <w:t>GPLS 702 - BASIC IMMUNOLOGY (4)</w:t>
      </w:r>
    </w:p>
    <w:p>
      <w:pPr>
        <w:pStyle w:val="BodyText"/>
        <w:spacing w:line="249" w:lineRule="auto" w:before="187"/>
        <w:ind w:right="63"/>
      </w:pPr>
      <w:r>
        <w:rPr/>
        <w:t>This core course introduces basic ideas of Immunity. In a three-tiered format, the cells (Macrophages, DC, NK, T, B, and others) and molecules (cytokines, antigen receptors, signaling pathways, and others) making up the immune system are introduced, detailed and then placed into a bigger picture relevant to host protection, vaccines, autoimmune disorders and immuno-therapy. Course includes lectures, experiment-design workshops, paper discussions and term papers.</w:t>
      </w:r>
    </w:p>
    <w:p>
      <w:pPr>
        <w:pStyle w:val="Heading6"/>
        <w:spacing w:before="127"/>
      </w:pPr>
      <w:r>
        <w:rPr/>
        <w:t>GPLS 704 - PRINCIPLES OF VIROLOGY (3)</w:t>
      </w:r>
    </w:p>
    <w:p>
      <w:pPr>
        <w:pStyle w:val="BodyText"/>
        <w:spacing w:line="249" w:lineRule="auto" w:before="192"/>
        <w:ind w:right="111"/>
      </w:pPr>
      <w:r>
        <w:rPr/>
        <w:t>This course introduces students to animal virology with a concentration on the pathogenesis, molecular biology, and immunology of selected, medically-important viruses.</w:t>
      </w:r>
    </w:p>
    <w:p>
      <w:pPr>
        <w:pStyle w:val="BodyText"/>
        <w:spacing w:line="249" w:lineRule="auto" w:before="2"/>
        <w:ind w:right="136"/>
      </w:pPr>
      <w:r>
        <w:rPr/>
        <w:t>Lecture material is drawn from both classical and current literature. Lectures are supplemented with literature discussions, team-based learning exercises, interactive presentations, and student defenses of mock grant proposals which highlight key research areas in virology. Pre-requisite: GPLS 601 or completion of M1 curriculum.</w:t>
      </w:r>
    </w:p>
    <w:p>
      <w:pPr>
        <w:pStyle w:val="Heading6"/>
        <w:spacing w:before="98"/>
      </w:pPr>
      <w:r>
        <w:rPr>
          <w:b w:val="0"/>
        </w:rPr>
        <w:br w:type="column"/>
      </w:r>
      <w:r>
        <w:rPr/>
        <w:t>GPLS 705 - BASIC HUMAN GENETICS I (4)</w:t>
      </w:r>
    </w:p>
    <w:p>
      <w:pPr>
        <w:pStyle w:val="BodyText"/>
        <w:spacing w:line="249" w:lineRule="auto" w:before="187"/>
        <w:ind w:right="683"/>
      </w:pPr>
      <w:r>
        <w:rPr/>
        <w:t>Students learn basic genetic principles as they relate to the study of human health and disease. Topics include an overview of human genetics in Mendelian genetics, cytogenetics, population genetics, molecular cytogenetics, oncocytogenetics, clinical applications of principles, and the importance and implications of genetic disease at the levels of the population and individual families.</w:t>
      </w:r>
    </w:p>
    <w:p>
      <w:pPr>
        <w:pStyle w:val="Heading6"/>
        <w:spacing w:before="125"/>
      </w:pPr>
      <w:r>
        <w:rPr/>
        <w:t>GPLS 709 - ADVANCED BIOCHEMISTRY (3)</w:t>
      </w:r>
    </w:p>
    <w:p>
      <w:pPr>
        <w:pStyle w:val="BodyText"/>
        <w:spacing w:line="249" w:lineRule="auto" w:before="193"/>
        <w:ind w:right="771"/>
      </w:pPr>
      <w:r>
        <w:rPr/>
        <w:t>This course covers topics not normally covered in other biochemical courses, including an advanced treatment of enzyme kinetics, with emphasis upon two substrate systems; allosteric control mechanisms; replication and transcription; and the biochemistry of specialized tissues.</w:t>
      </w:r>
    </w:p>
    <w:p>
      <w:pPr>
        <w:pStyle w:val="Heading6"/>
        <w:spacing w:before="124"/>
      </w:pPr>
      <w:r>
        <w:rPr/>
        <w:t>GPLS 710 - MICROBIAL PATHOGENESIS (3)</w:t>
      </w:r>
    </w:p>
    <w:p>
      <w:pPr>
        <w:pStyle w:val="BodyText"/>
        <w:spacing w:line="249" w:lineRule="auto" w:before="187"/>
        <w:ind w:right="635"/>
      </w:pPr>
      <w:r>
        <w:rPr/>
        <w:t>The aim </w:t>
      </w:r>
      <w:r>
        <w:rPr>
          <w:spacing w:val="-3"/>
        </w:rPr>
        <w:t>of </w:t>
      </w:r>
      <w:r>
        <w:rPr/>
        <w:t>this course is to provide a groundwork in basic principles </w:t>
      </w:r>
      <w:r>
        <w:rPr>
          <w:spacing w:val="-3"/>
        </w:rPr>
        <w:t>of </w:t>
      </w:r>
      <w:r>
        <w:rPr/>
        <w:t>bacterial pathogenesis and to illustrate some of the current research topics and methodologies used </w:t>
      </w:r>
      <w:r>
        <w:rPr>
          <w:spacing w:val="-4"/>
        </w:rPr>
        <w:t>in </w:t>
      </w:r>
      <w:r>
        <w:rPr/>
        <w:t>this </w:t>
      </w:r>
      <w:r>
        <w:rPr>
          <w:spacing w:val="-2"/>
        </w:rPr>
        <w:t>field. </w:t>
      </w:r>
      <w:r>
        <w:rPr>
          <w:spacing w:val="-3"/>
        </w:rPr>
        <w:t>It </w:t>
      </w:r>
      <w:r>
        <w:rPr/>
        <w:t>is assumed that students </w:t>
      </w:r>
      <w:r>
        <w:rPr>
          <w:spacing w:val="-3"/>
        </w:rPr>
        <w:t>will </w:t>
      </w:r>
      <w:r>
        <w:rPr/>
        <w:t>already </w:t>
      </w:r>
      <w:r>
        <w:rPr>
          <w:spacing w:val="-3"/>
        </w:rPr>
        <w:t>be </w:t>
      </w:r>
      <w:r>
        <w:rPr/>
        <w:t>somewhat familiar </w:t>
      </w:r>
      <w:r>
        <w:rPr>
          <w:spacing w:val="-3"/>
        </w:rPr>
        <w:t>with </w:t>
      </w:r>
      <w:r>
        <w:rPr/>
        <w:t>fundamentals </w:t>
      </w:r>
      <w:r>
        <w:rPr>
          <w:spacing w:val="-3"/>
        </w:rPr>
        <w:t>of </w:t>
      </w:r>
      <w:r>
        <w:rPr/>
        <w:t>bacterial structure and metabolism. The first part </w:t>
      </w:r>
      <w:r>
        <w:rPr>
          <w:spacing w:val="-3"/>
        </w:rPr>
        <w:t>of </w:t>
      </w:r>
      <w:r>
        <w:rPr/>
        <w:t>the course covers basic concepts, while the second part examines selected specific organisms and topics in further detail. Classes consist </w:t>
      </w:r>
      <w:r>
        <w:rPr>
          <w:spacing w:val="-3"/>
        </w:rPr>
        <w:t>of </w:t>
      </w:r>
      <w:r>
        <w:rPr/>
        <w:t>a mixture </w:t>
      </w:r>
      <w:r>
        <w:rPr>
          <w:spacing w:val="-3"/>
        </w:rPr>
        <w:t>of </w:t>
      </w:r>
      <w:r>
        <w:rPr/>
        <w:t>lecture material and discussion </w:t>
      </w:r>
      <w:r>
        <w:rPr>
          <w:spacing w:val="-3"/>
        </w:rPr>
        <w:t>of </w:t>
      </w:r>
      <w:r>
        <w:rPr/>
        <w:t>research papers, </w:t>
      </w:r>
      <w:r>
        <w:rPr>
          <w:spacing w:val="-3"/>
        </w:rPr>
        <w:t>with </w:t>
      </w:r>
      <w:r>
        <w:rPr/>
        <w:t>the idea </w:t>
      </w:r>
      <w:r>
        <w:rPr>
          <w:spacing w:val="-3"/>
        </w:rPr>
        <w:t>of </w:t>
      </w:r>
      <w:r>
        <w:rPr/>
        <w:t>familiarizing students </w:t>
      </w:r>
      <w:r>
        <w:rPr>
          <w:spacing w:val="-3"/>
        </w:rPr>
        <w:t>with </w:t>
      </w:r>
      <w:r>
        <w:rPr/>
        <w:t>the basic facts and ideas </w:t>
      </w:r>
      <w:r>
        <w:rPr>
          <w:spacing w:val="-3"/>
        </w:rPr>
        <w:t>of </w:t>
      </w:r>
      <w:r>
        <w:rPr/>
        <w:t>a particular </w:t>
      </w:r>
      <w:r>
        <w:rPr>
          <w:spacing w:val="-3"/>
        </w:rPr>
        <w:t>subject </w:t>
      </w:r>
      <w:r>
        <w:rPr/>
        <w:t>and exploring methods </w:t>
      </w:r>
      <w:r>
        <w:rPr>
          <w:spacing w:val="-3"/>
        </w:rPr>
        <w:t>of </w:t>
      </w:r>
      <w:r>
        <w:rPr/>
        <w:t>study and research questions </w:t>
      </w:r>
      <w:r>
        <w:rPr>
          <w:spacing w:val="-3"/>
        </w:rPr>
        <w:t>on </w:t>
      </w:r>
      <w:r>
        <w:rPr/>
        <w:t>that topic. </w:t>
      </w:r>
      <w:r>
        <w:rPr>
          <w:spacing w:val="-3"/>
        </w:rPr>
        <w:t>It </w:t>
      </w:r>
      <w:r>
        <w:rPr/>
        <w:t>is expected that students will read the assigned research papers before class and will participate in class discussions of the material. There are two exams covering the material discussed in </w:t>
      </w:r>
      <w:r>
        <w:rPr>
          <w:spacing w:val="-3"/>
        </w:rPr>
        <w:t>classes, </w:t>
      </w:r>
      <w:r>
        <w:rPr/>
        <w:t>the first just before spring break and the second towards the end </w:t>
      </w:r>
      <w:r>
        <w:rPr>
          <w:spacing w:val="-3"/>
        </w:rPr>
        <w:t>of </w:t>
      </w:r>
      <w:r>
        <w:rPr/>
        <w:t>the semester. Following the second exam, students make presentations based </w:t>
      </w:r>
      <w:r>
        <w:rPr>
          <w:spacing w:val="-3"/>
        </w:rPr>
        <w:t>on </w:t>
      </w:r>
      <w:r>
        <w:rPr/>
        <w:t>assigned reading and research</w:t>
      </w:r>
      <w:r>
        <w:rPr>
          <w:spacing w:val="-7"/>
        </w:rPr>
        <w:t> </w:t>
      </w:r>
      <w:r>
        <w:rPr/>
        <w:t>topics.</w:t>
      </w:r>
    </w:p>
    <w:p>
      <w:pPr>
        <w:pStyle w:val="Heading6"/>
        <w:spacing w:before="134"/>
      </w:pPr>
      <w:r>
        <w:rPr/>
        <w:t>GPLS 711 - GENETIC EPIDEMIOLOGY (3)</w:t>
      </w:r>
    </w:p>
    <w:p>
      <w:pPr>
        <w:pStyle w:val="BodyText"/>
        <w:spacing w:line="249" w:lineRule="auto" w:before="192"/>
        <w:ind w:right="644"/>
      </w:pPr>
      <w:r>
        <w:rPr/>
        <w:t>This course uses qualitative and quantitative traits to discuss genetic and epidemiologic factors affecting normal and abnormal variation within and between populations.</w:t>
      </w:r>
    </w:p>
    <w:p>
      <w:pPr>
        <w:pStyle w:val="BodyText"/>
        <w:spacing w:line="249" w:lineRule="auto" w:before="3"/>
        <w:ind w:right="743"/>
      </w:pPr>
      <w:r>
        <w:rPr/>
        <w:t>Topics include traditional and modern methods of family data analysis, including segregation and linkage analysis; the underlying assumptions of each method (including Hardy-Weinberg equilibrium); steps in each analysis; and computer programs.</w:t>
      </w:r>
    </w:p>
    <w:p>
      <w:pPr>
        <w:pStyle w:val="Heading6"/>
        <w:spacing w:before="123"/>
      </w:pPr>
      <w:r>
        <w:rPr/>
        <w:t>GPLS 712 - HUMAN CYTOGENETICS (2)</w:t>
      </w:r>
    </w:p>
    <w:p>
      <w:pPr>
        <w:pStyle w:val="BodyText"/>
        <w:spacing w:line="249" w:lineRule="auto" w:before="188"/>
        <w:ind w:right="994"/>
      </w:pPr>
      <w:r>
        <w:rPr/>
        <w:t>This course covers the normal human karyotype, chromosome identification methods, numerical and structural abnormalities and their clinical correlates, X</w:t>
      </w:r>
    </w:p>
    <w:p>
      <w:pPr>
        <w:spacing w:after="0" w:line="249" w:lineRule="auto"/>
        <w:sectPr>
          <w:pgSz w:w="12240" w:h="15840"/>
          <w:pgMar w:header="746" w:footer="0" w:top="1320" w:bottom="280" w:left="880" w:right="300"/>
          <w:cols w:num="2" w:equalWidth="0">
            <w:col w:w="4997" w:space="489"/>
            <w:col w:w="5574"/>
          </w:cols>
        </w:sectPr>
      </w:pPr>
    </w:p>
    <w:p>
      <w:pPr>
        <w:pStyle w:val="BodyText"/>
        <w:spacing w:line="249" w:lineRule="auto" w:before="100"/>
        <w:ind w:right="38"/>
      </w:pPr>
      <w:r>
        <w:rPr/>
        <w:t>chromosome gene action, chromosomes and cancer,  human population cytogenetics, gene mapping, and karyotype evolution. Students give a seminar </w:t>
      </w:r>
      <w:r>
        <w:rPr>
          <w:spacing w:val="-3"/>
        </w:rPr>
        <w:t>on </w:t>
      </w:r>
      <w:r>
        <w:rPr/>
        <w:t>a pertinent topic.</w:t>
      </w:r>
    </w:p>
    <w:p>
      <w:pPr>
        <w:pStyle w:val="Heading6"/>
        <w:spacing w:line="249" w:lineRule="auto" w:before="123"/>
        <w:ind w:right="156"/>
      </w:pPr>
      <w:r>
        <w:rPr/>
        <w:t>GPLS 713 - BIOCHEMISTRY STUDENT SEMINAR (2)</w:t>
      </w:r>
    </w:p>
    <w:p>
      <w:pPr>
        <w:pStyle w:val="BodyText"/>
        <w:spacing w:line="249" w:lineRule="auto" w:before="179"/>
        <w:ind w:right="125"/>
      </w:pPr>
      <w:r>
        <w:rPr/>
        <w:t>Under the guidance of a faculty mentor, students critically review a recent scientific paper and deliver a formal presentation to their peers and instructor(s). The topics vary each semester it is offered.</w:t>
      </w:r>
    </w:p>
    <w:p>
      <w:pPr>
        <w:pStyle w:val="Heading6"/>
        <w:spacing w:line="249" w:lineRule="auto" w:before="123"/>
        <w:ind w:right="645"/>
      </w:pPr>
      <w:r>
        <w:rPr/>
        <w:t>GPLS 714 - MUSCLE CONTRACTILITY AND EXCITATION (3)</w:t>
      </w:r>
    </w:p>
    <w:p>
      <w:pPr>
        <w:pStyle w:val="BodyText"/>
        <w:spacing w:line="249" w:lineRule="auto" w:before="184"/>
        <w:ind w:right="86"/>
      </w:pPr>
      <w:r>
        <w:rPr/>
        <w:t>This course covers basic physiology, biochemistry, and biophysics of cardiac, skeletal, and smooth muscle. Topics include ultrastructure of skeletal muscle, mechanical and biochemical features of the crossbridge cycle in contraction, excitation contraction coupling, calcium- induced calcium release in cardiac muscle, and physiology and pharmacology of smooth muscle.</w:t>
      </w:r>
    </w:p>
    <w:p>
      <w:pPr>
        <w:pStyle w:val="Heading6"/>
        <w:spacing w:line="249" w:lineRule="auto" w:before="125"/>
        <w:ind w:right="806"/>
      </w:pPr>
      <w:r>
        <w:rPr/>
        <w:t>GPLS 715 - MUSCLE CELL BIOLOGY AND DEVELOPMENT (3)</w:t>
      </w:r>
    </w:p>
    <w:p>
      <w:pPr>
        <w:pStyle w:val="BodyText"/>
        <w:spacing w:line="249" w:lineRule="auto" w:before="179"/>
        <w:ind w:left="199" w:right="46"/>
      </w:pPr>
      <w:r>
        <w:rPr/>
        <w:t>This course considers the developmental biology of muscle, including its innervation and plasticity. The course begins </w:t>
      </w:r>
      <w:r>
        <w:rPr>
          <w:spacing w:val="-3"/>
        </w:rPr>
        <w:t>with </w:t>
      </w:r>
      <w:r>
        <w:rPr/>
        <w:t>a discussion </w:t>
      </w:r>
      <w:r>
        <w:rPr>
          <w:spacing w:val="-3"/>
        </w:rPr>
        <w:t>of </w:t>
      </w:r>
      <w:r>
        <w:rPr/>
        <w:t>the factors controlling the proliferation and differentiation </w:t>
      </w:r>
      <w:r>
        <w:rPr>
          <w:spacing w:val="-3"/>
        </w:rPr>
        <w:t>of </w:t>
      </w:r>
      <w:r>
        <w:rPr/>
        <w:t>myoblasts. Next are a consideration </w:t>
      </w:r>
      <w:r>
        <w:rPr>
          <w:spacing w:val="-3"/>
        </w:rPr>
        <w:t>of </w:t>
      </w:r>
      <w:r>
        <w:rPr/>
        <w:t>fiber  </w:t>
      </w:r>
      <w:r>
        <w:rPr>
          <w:spacing w:val="-3"/>
        </w:rPr>
        <w:t>type </w:t>
      </w:r>
      <w:r>
        <w:rPr/>
        <w:t>determination, its relationship to use, and the </w:t>
      </w:r>
      <w:r>
        <w:rPr>
          <w:spacing w:val="-3"/>
        </w:rPr>
        <w:t>effects </w:t>
      </w:r>
      <w:r>
        <w:rPr/>
        <w:t>of hypertrophy and atrophy </w:t>
      </w:r>
      <w:r>
        <w:rPr>
          <w:spacing w:val="-3"/>
        </w:rPr>
        <w:t>on </w:t>
      </w:r>
      <w:r>
        <w:rPr/>
        <w:t>muscle. The structure, function, and formation </w:t>
      </w:r>
      <w:r>
        <w:rPr>
          <w:spacing w:val="-3"/>
        </w:rPr>
        <w:t>of </w:t>
      </w:r>
      <w:r>
        <w:rPr/>
        <w:t>the neuromuscular junction and its relationship to the organization </w:t>
      </w:r>
      <w:r>
        <w:rPr>
          <w:spacing w:val="-3"/>
        </w:rPr>
        <w:t>of </w:t>
      </w:r>
      <w:r>
        <w:rPr/>
        <w:t>structures in the extrajunctional region forms the next </w:t>
      </w:r>
      <w:r>
        <w:rPr>
          <w:spacing w:val="-2"/>
        </w:rPr>
        <w:t>set </w:t>
      </w:r>
      <w:r>
        <w:rPr>
          <w:spacing w:val="-3"/>
        </w:rPr>
        <w:t>of </w:t>
      </w:r>
      <w:r>
        <w:rPr/>
        <w:t>topics. Emphasis is placed </w:t>
      </w:r>
      <w:r>
        <w:rPr>
          <w:spacing w:val="-3"/>
        </w:rPr>
        <w:t>on </w:t>
      </w:r>
      <w:r>
        <w:rPr/>
        <w:t>the extracellular matrix and the cytoskeleton. The last part </w:t>
      </w:r>
      <w:r>
        <w:rPr>
          <w:spacing w:val="-3"/>
        </w:rPr>
        <w:t>of </w:t>
      </w:r>
      <w:r>
        <w:rPr/>
        <w:t>the course deals with the relationship </w:t>
      </w:r>
      <w:r>
        <w:rPr>
          <w:spacing w:val="-3"/>
        </w:rPr>
        <w:t>of </w:t>
      </w:r>
      <w:r>
        <w:rPr/>
        <w:t>activity and hormonal influences to the biochemical properties </w:t>
      </w:r>
      <w:r>
        <w:rPr>
          <w:spacing w:val="-3"/>
        </w:rPr>
        <w:t>of </w:t>
      </w:r>
      <w:r>
        <w:rPr/>
        <w:t>muscle. The course meets twice weekly and consists </w:t>
      </w:r>
      <w:r>
        <w:rPr>
          <w:spacing w:val="-3"/>
        </w:rPr>
        <w:t>of </w:t>
      </w:r>
      <w:r>
        <w:rPr/>
        <w:t>one lecture and one session </w:t>
      </w:r>
      <w:r>
        <w:rPr>
          <w:spacing w:val="-4"/>
        </w:rPr>
        <w:t>for </w:t>
      </w:r>
      <w:r>
        <w:rPr/>
        <w:t>student oral presentations and discussion </w:t>
      </w:r>
      <w:r>
        <w:rPr>
          <w:spacing w:val="-3"/>
        </w:rPr>
        <w:t>of </w:t>
      </w:r>
      <w:r>
        <w:rPr/>
        <w:t>assigned research pertinent to the lecture topic.</w:t>
      </w:r>
    </w:p>
    <w:p>
      <w:pPr>
        <w:pStyle w:val="Heading6"/>
        <w:spacing w:line="249" w:lineRule="auto" w:before="133"/>
        <w:ind w:left="199" w:right="291"/>
      </w:pPr>
      <w:r>
        <w:rPr/>
        <w:t>GPLS 716 - GENOMICS AND BIOINFORMATICS (3)</w:t>
      </w:r>
    </w:p>
    <w:p>
      <w:pPr>
        <w:pStyle w:val="BodyText"/>
        <w:spacing w:line="249" w:lineRule="auto" w:before="183"/>
        <w:ind w:left="199" w:right="87"/>
      </w:pPr>
      <w:r>
        <w:rPr/>
        <w:t>This course provides a comprehensive introduction to genomics and bioinformatics. It focuses on commonly- used skills and tools commonly employed by students in the analyses of data generated in their thesis work. The course focuses on the uses of genomics and bioinformatics resources, as opposed to the development of these resources. No prior experience with programming, genomics, or bioinformatics is expected or required.</w:t>
      </w:r>
    </w:p>
    <w:p>
      <w:pPr>
        <w:pStyle w:val="BodyText"/>
        <w:spacing w:line="249" w:lineRule="auto" w:before="96"/>
        <w:ind w:left="199" w:right="655"/>
      </w:pPr>
      <w:r>
        <w:rPr/>
        <w:br w:type="column"/>
      </w:r>
      <w:r>
        <w:rPr/>
        <w:t>Topics include applications of high throughput sequencing common to biological questions, understanding alignment tools and scores, understanding and performing phylogenetic analysis, comparative genomics, metagenomics, expression analysis/transcriptomics, systems biology, and the use of public databases and resources.</w:t>
      </w:r>
    </w:p>
    <w:p>
      <w:pPr>
        <w:pStyle w:val="Heading6"/>
        <w:spacing w:line="249" w:lineRule="auto" w:before="125"/>
        <w:ind w:left="199" w:right="704"/>
      </w:pPr>
      <w:r>
        <w:rPr/>
        <w:t>GPLS 717 - GENOMICS OF MODEL SPECIES AND HUMANS (3)</w:t>
      </w:r>
    </w:p>
    <w:p>
      <w:pPr>
        <w:pStyle w:val="BodyText"/>
        <w:spacing w:line="249" w:lineRule="auto" w:before="179"/>
        <w:ind w:left="199" w:right="634"/>
      </w:pPr>
      <w:r>
        <w:rPr/>
        <w:t>This course addresses important aspects of model organismal molecular genetics as well as the application of tools and resources in the field of genomics. Emphasis is on both human and model species, the latter of which includes E. coli, yeast, flies and zebra fish. The course covers a broad view of biological processes that are at the frontier of current knowledge in biology. The instructors are specialists in their respective fields and give lectures and assign papers related to the subject of the related lecture or class topic.</w:t>
      </w:r>
    </w:p>
    <w:p>
      <w:pPr>
        <w:pStyle w:val="Heading6"/>
        <w:spacing w:line="249" w:lineRule="auto" w:before="128"/>
        <w:ind w:left="199" w:right="2221"/>
      </w:pPr>
      <w:r>
        <w:rPr/>
        <w:t>GPLS 718 - PROGRAMMING FOR BIOINFORMATICS (2)</w:t>
      </w:r>
    </w:p>
    <w:p>
      <w:pPr>
        <w:pStyle w:val="BodyText"/>
        <w:spacing w:line="249" w:lineRule="auto" w:before="183"/>
        <w:ind w:left="199" w:right="600"/>
      </w:pPr>
      <w:r>
        <w:rPr/>
        <w:t>This class is designed to teach students robust practices for storing and analyzing large datasets and the accompanying metadata. It provides an introduction to fundamental programming techniques that can be applied to solve straightforward, common analysis tasks. The course is designed for the biologist who has little or no experience in programming. Topics include an introduction to the Linux computing environment, the basics of database structure, design and querying, an introduction to Python programming, and a review of the R statistical analysis package.</w:t>
      </w:r>
    </w:p>
    <w:p>
      <w:pPr>
        <w:pStyle w:val="Heading6"/>
        <w:spacing w:before="129"/>
        <w:ind w:left="199"/>
      </w:pPr>
      <w:r>
        <w:rPr/>
        <w:t>GPLS 719 - ADVANCED PARASITOLOGY (3)</w:t>
      </w:r>
    </w:p>
    <w:p>
      <w:pPr>
        <w:pStyle w:val="BodyText"/>
        <w:spacing w:line="249" w:lineRule="auto" w:before="187"/>
        <w:ind w:left="199" w:right="640"/>
      </w:pPr>
      <w:r>
        <w:rPr/>
        <w:t>This course presents a comprehensive review of the parasites of humans and the diseases they cause. Topics include the biology of selected parasites causing human diseases, including host-parasite interactions at the molecular level and vaccine use; immunological aspects of human parasite-interactions, including ways in which the immune response can mediate pathology and protection; and the epidemiology of human parasitic diseases, including parasite population dynamics, ecology, and transmission.</w:t>
      </w:r>
    </w:p>
    <w:p>
      <w:pPr>
        <w:pStyle w:val="Heading6"/>
        <w:spacing w:line="249" w:lineRule="auto" w:before="128"/>
        <w:ind w:left="199" w:right="704"/>
      </w:pPr>
      <w:r>
        <w:rPr/>
        <w:t>GPLS 721 - MICROSCOPY FUNDAMENTALS AND MODERN IMAGING APPLICATIONS (2)</w:t>
      </w:r>
    </w:p>
    <w:p>
      <w:pPr>
        <w:pStyle w:val="BodyText"/>
        <w:spacing w:line="249" w:lineRule="auto" w:before="183"/>
        <w:ind w:left="199" w:right="1378"/>
      </w:pPr>
      <w:r>
        <w:rPr/>
        <w:t>The goal of this course is for students to gain a comprehensive understanding of modern optical microscopy and its fundamental principles. These</w:t>
      </w:r>
    </w:p>
    <w:p>
      <w:pPr>
        <w:spacing w:after="0" w:line="249" w:lineRule="auto"/>
        <w:sectPr>
          <w:headerReference w:type="default" r:id="rId90"/>
          <w:headerReference w:type="even" r:id="rId91"/>
          <w:pgSz w:w="12240" w:h="15840"/>
          <w:pgMar w:header="746" w:footer="0" w:top="1320" w:bottom="280" w:left="880" w:right="300"/>
          <w:cols w:num="2" w:equalWidth="0">
            <w:col w:w="5005" w:space="481"/>
            <w:col w:w="5574"/>
          </w:cols>
        </w:sectPr>
      </w:pPr>
    </w:p>
    <w:p>
      <w:pPr>
        <w:pStyle w:val="BodyText"/>
        <w:spacing w:line="249" w:lineRule="auto" w:before="100"/>
        <w:ind w:right="90"/>
      </w:pPr>
      <w:r>
        <w:rPr/>
        <w:t>principles are explored through discussions of techniques in biological microscopy of living systems. The main, organizational strategy of the course is centered on the student group as a whole building a working super- resolution microscope. Thus, lectures are minimized, and the emphasis is on student presentations of key topics facilitated by outside reading, interactive demonstrations including time in the School of Medicine/Physiology Confocal Microscopy Core Facility, and build-time for the microscope in class. Students may expect 2 hours of class time per week, with demonstrations and hands-on assignments that periodically add additional time.</w:t>
      </w:r>
    </w:p>
    <w:p>
      <w:pPr>
        <w:pStyle w:val="Heading6"/>
        <w:spacing w:before="129"/>
      </w:pPr>
      <w:r>
        <w:rPr/>
        <w:t>GPLS 722 - GENETICS AND METABOLISM (2)</w:t>
      </w:r>
    </w:p>
    <w:p>
      <w:pPr>
        <w:pStyle w:val="BodyText"/>
        <w:spacing w:line="249" w:lineRule="auto" w:before="187"/>
        <w:ind w:left="199" w:right="38"/>
      </w:pPr>
      <w:r>
        <w:rPr/>
        <w:t>Students study mechanisms </w:t>
      </w:r>
      <w:r>
        <w:rPr>
          <w:spacing w:val="-3"/>
        </w:rPr>
        <w:t>of </w:t>
      </w:r>
      <w:r>
        <w:rPr/>
        <w:t>gene action as illustrated by inherited human biochemical defects. Topics include fundamental aspects </w:t>
      </w:r>
      <w:r>
        <w:rPr>
          <w:spacing w:val="-3"/>
        </w:rPr>
        <w:t>of </w:t>
      </w:r>
      <w:r>
        <w:rPr/>
        <w:t>the function and malfunction </w:t>
      </w:r>
      <w:r>
        <w:rPr>
          <w:spacing w:val="-3"/>
        </w:rPr>
        <w:t>of </w:t>
      </w:r>
      <w:r>
        <w:rPr/>
        <w:t>enzymes, vitamins, and structural and regulatory proteins at the biochemical and molecular levels, clinical features </w:t>
      </w:r>
      <w:r>
        <w:rPr>
          <w:spacing w:val="-3"/>
        </w:rPr>
        <w:t>of </w:t>
      </w:r>
      <w:r>
        <w:rPr/>
        <w:t>metabolic diseases, differential diagnosis, and laboratory follow-up. Offered in the Fall semester </w:t>
      </w:r>
      <w:r>
        <w:rPr>
          <w:spacing w:val="-3"/>
        </w:rPr>
        <w:t>of </w:t>
      </w:r>
      <w:r>
        <w:rPr/>
        <w:t>every other</w:t>
      </w:r>
      <w:r>
        <w:rPr>
          <w:spacing w:val="-7"/>
        </w:rPr>
        <w:t> </w:t>
      </w:r>
      <w:r>
        <w:rPr/>
        <w:t>year.</w:t>
      </w:r>
    </w:p>
    <w:p>
      <w:pPr>
        <w:pStyle w:val="Heading6"/>
        <w:spacing w:line="249" w:lineRule="auto" w:before="125"/>
        <w:ind w:right="1344"/>
      </w:pPr>
      <w:r>
        <w:rPr/>
        <w:t>GPLS 725 - ADVANCED MICROBIAL PATHOGENESIS (3)</w:t>
      </w:r>
    </w:p>
    <w:p>
      <w:pPr>
        <w:pStyle w:val="BodyText"/>
        <w:spacing w:line="249" w:lineRule="auto" w:before="184"/>
        <w:ind w:right="40"/>
      </w:pPr>
      <w:r>
        <w:rPr/>
        <w:t>This course addresses important aspects </w:t>
      </w:r>
      <w:r>
        <w:rPr>
          <w:spacing w:val="-3"/>
        </w:rPr>
        <w:t>of </w:t>
      </w:r>
      <w:r>
        <w:rPr/>
        <w:t>microbial pathogenesis and molecular genetics at an advanced level. The course is based exclusively </w:t>
      </w:r>
      <w:r>
        <w:rPr>
          <w:spacing w:val="-3"/>
        </w:rPr>
        <w:t>on </w:t>
      </w:r>
      <w:r>
        <w:rPr/>
        <w:t>current primary research literature; no textbook is assigned </w:t>
      </w:r>
      <w:r>
        <w:rPr>
          <w:spacing w:val="-4"/>
        </w:rPr>
        <w:t>for </w:t>
      </w:r>
      <w:r>
        <w:rPr/>
        <w:t>this course. The course is intended to extend students? knowledge from previous courses and to prepare them </w:t>
      </w:r>
      <w:r>
        <w:rPr>
          <w:spacing w:val="-4"/>
        </w:rPr>
        <w:t>for </w:t>
      </w:r>
      <w:r>
        <w:rPr/>
        <w:t>PhD level studies in these disciplines. Potential topics include pathogenic mechanisms in relevant organisms while covering </w:t>
      </w:r>
      <w:r>
        <w:rPr>
          <w:spacing w:val="-3"/>
        </w:rPr>
        <w:t>both </w:t>
      </w:r>
      <w:r>
        <w:rPr/>
        <w:t>Gram-positive and Gram-negative bacteria, and pathogenic fungi and parasites. Detailed elements </w:t>
      </w:r>
      <w:r>
        <w:rPr>
          <w:spacing w:val="-3"/>
        </w:rPr>
        <w:t>of </w:t>
      </w:r>
      <w:r>
        <w:rPr/>
        <w:t>common pathogenic mechanisms including secretion </w:t>
      </w:r>
      <w:r>
        <w:rPr>
          <w:spacing w:val="-3"/>
        </w:rPr>
        <w:t>systems, </w:t>
      </w:r>
      <w:r>
        <w:rPr/>
        <w:t>surface structures, toxin production and gene regulation will also </w:t>
      </w:r>
      <w:r>
        <w:rPr>
          <w:spacing w:val="-3"/>
        </w:rPr>
        <w:t>be </w:t>
      </w:r>
      <w:r>
        <w:rPr/>
        <w:t>examined. The course attempts to integrate topics of immune modulation and evasion, and to provide a broad view of the host pathogen interaction, and to integrate the </w:t>
      </w:r>
      <w:r>
        <w:rPr>
          <w:spacing w:val="-3"/>
        </w:rPr>
        <w:t>newer </w:t>
      </w:r>
      <w:r>
        <w:rPr/>
        <w:t>microbiota studies into the class. The course therefore covers a broad view of biological processes that are at the frontier </w:t>
      </w:r>
      <w:r>
        <w:rPr>
          <w:spacing w:val="-3"/>
        </w:rPr>
        <w:t>of </w:t>
      </w:r>
      <w:r>
        <w:rPr/>
        <w:t>current knowledge in biology. The instructors are specialists in their fields and give lectures and assign papers related to the subject </w:t>
      </w:r>
      <w:r>
        <w:rPr>
          <w:spacing w:val="-3"/>
        </w:rPr>
        <w:t>of </w:t>
      </w:r>
      <w:r>
        <w:rPr/>
        <w:t>the lecture discussed in class. Additionally, students are involved in lecture and paper presentations that encourage the interaction and direction </w:t>
      </w:r>
      <w:r>
        <w:rPr>
          <w:spacing w:val="-3"/>
        </w:rPr>
        <w:t>of </w:t>
      </w:r>
      <w:r>
        <w:rPr/>
        <w:t>the material</w:t>
      </w:r>
      <w:r>
        <w:rPr>
          <w:spacing w:val="-2"/>
        </w:rPr>
        <w:t> </w:t>
      </w:r>
      <w:r>
        <w:rPr/>
        <w:t>covered.</w:t>
      </w:r>
    </w:p>
    <w:p>
      <w:pPr>
        <w:pStyle w:val="Heading6"/>
        <w:spacing w:line="249" w:lineRule="auto" w:before="137"/>
        <w:ind w:right="299"/>
      </w:pPr>
      <w:r>
        <w:rPr/>
        <w:t>GPLS 732 - POPULATION ASPECTS OF HUMAN GENETICS (1)</w:t>
      </w:r>
    </w:p>
    <w:p>
      <w:pPr>
        <w:pStyle w:val="BodyText"/>
        <w:spacing w:line="249" w:lineRule="auto" w:before="179"/>
        <w:ind w:right="34"/>
      </w:pPr>
      <w:r>
        <w:rPr/>
        <w:t>This course covers basic concepts in genetic epidemiology, including assessment of familial aggregation. It is designed</w:t>
      </w:r>
    </w:p>
    <w:p>
      <w:pPr>
        <w:pStyle w:val="BodyText"/>
        <w:spacing w:line="249" w:lineRule="auto" w:before="96"/>
        <w:ind w:right="993"/>
      </w:pPr>
      <w:r>
        <w:rPr/>
        <w:br w:type="column"/>
      </w:r>
      <w:r>
        <w:rPr/>
        <w:t>to provide the student with a basic understanding of approaches used in gene mapping, such as linkage and association analysis.</w:t>
      </w:r>
    </w:p>
    <w:p>
      <w:pPr>
        <w:pStyle w:val="Heading6"/>
        <w:spacing w:before="122"/>
      </w:pPr>
      <w:r>
        <w:rPr/>
        <w:t>GPLS 735 - BEHAVIORAL NEUROSCIENCE (3)</w:t>
      </w:r>
    </w:p>
    <w:p>
      <w:pPr>
        <w:pStyle w:val="BodyText"/>
        <w:spacing w:line="249" w:lineRule="auto" w:before="188"/>
        <w:ind w:right="645"/>
      </w:pPr>
      <w:r>
        <w:rPr/>
        <w:t>Behavioral neuroscience is the study of behavior and </w:t>
      </w:r>
      <w:r>
        <w:rPr>
          <w:spacing w:val="-3"/>
        </w:rPr>
        <w:t>of </w:t>
      </w:r>
      <w:r>
        <w:rPr/>
        <w:t>its biological underpinnings.  </w:t>
      </w:r>
      <w:r>
        <w:rPr>
          <w:spacing w:val="-3"/>
        </w:rPr>
        <w:t>In </w:t>
      </w:r>
      <w:r>
        <w:rPr/>
        <w:t>this course students learn how behavior is generated in response to events in the world around </w:t>
      </w:r>
      <w:r>
        <w:rPr>
          <w:spacing w:val="-3"/>
        </w:rPr>
        <w:t>us. </w:t>
      </w:r>
      <w:r>
        <w:rPr/>
        <w:t>Students gain a significant understanding of the nervous system, how it is organized, and how it works in response to the environment. First, the course examines some </w:t>
      </w:r>
      <w:r>
        <w:rPr>
          <w:spacing w:val="-3"/>
        </w:rPr>
        <w:t>of </w:t>
      </w:r>
      <w:r>
        <w:rPr/>
        <w:t>the techniques used currently in behavioral neuroscience. Next, it covers how organisms are built to receive information from the senses and how they turn that information into plans to  </w:t>
      </w:r>
      <w:r>
        <w:rPr>
          <w:spacing w:val="-3"/>
        </w:rPr>
        <w:t>move  </w:t>
      </w:r>
      <w:r>
        <w:rPr/>
        <w:t>our  </w:t>
      </w:r>
      <w:r>
        <w:rPr>
          <w:spacing w:val="-3"/>
        </w:rPr>
        <w:t>bodies </w:t>
      </w:r>
      <w:r>
        <w:rPr/>
        <w:t>to  react  to  those  sensations.   The course also covers how the endocrine </w:t>
      </w:r>
      <w:r>
        <w:rPr>
          <w:spacing w:val="-3"/>
        </w:rPr>
        <w:t>system, </w:t>
      </w:r>
      <w:r>
        <w:rPr/>
        <w:t>which releases hormones, interacts   </w:t>
      </w:r>
      <w:r>
        <w:rPr>
          <w:spacing w:val="-3"/>
        </w:rPr>
        <w:t>with </w:t>
      </w:r>
      <w:r>
        <w:rPr/>
        <w:t>the nervous system and influences behavior. Further, it considers a biological basis </w:t>
      </w:r>
      <w:r>
        <w:rPr>
          <w:spacing w:val="-4"/>
        </w:rPr>
        <w:t>for </w:t>
      </w:r>
      <w:r>
        <w:rPr/>
        <w:t>higher order function (e.g. learning and </w:t>
      </w:r>
      <w:r>
        <w:rPr>
          <w:spacing w:val="-3"/>
        </w:rPr>
        <w:t>memory) </w:t>
      </w:r>
      <w:r>
        <w:rPr/>
        <w:t>as </w:t>
      </w:r>
      <w:r>
        <w:rPr>
          <w:spacing w:val="-3"/>
        </w:rPr>
        <w:t>well </w:t>
      </w:r>
      <w:r>
        <w:rPr/>
        <w:t>as psychological disorders </w:t>
      </w:r>
      <w:r>
        <w:rPr>
          <w:spacing w:val="-3"/>
        </w:rPr>
        <w:t>such </w:t>
      </w:r>
      <w:r>
        <w:rPr/>
        <w:t>as schizophrenia, </w:t>
      </w:r>
      <w:r>
        <w:rPr>
          <w:spacing w:val="-3"/>
        </w:rPr>
        <w:t>mood </w:t>
      </w:r>
      <w:r>
        <w:rPr/>
        <w:t>disorders, and drug addiction. The course also expects students to gain an ability to understand and critique research literature as it applies to the formal study of behavior.</w:t>
      </w:r>
    </w:p>
    <w:p>
      <w:pPr>
        <w:pStyle w:val="Heading6"/>
        <w:spacing w:line="249" w:lineRule="auto" w:before="134"/>
        <w:ind w:right="992" w:hanging="1"/>
      </w:pPr>
      <w:r>
        <w:rPr/>
        <w:t>GPLS 737 - PROSEMINAR IN EXPERIMENTAL DESIGN (2)</w:t>
      </w:r>
    </w:p>
    <w:p>
      <w:pPr>
        <w:pStyle w:val="BodyText"/>
        <w:spacing w:line="249" w:lineRule="auto" w:before="184"/>
        <w:ind w:right="670"/>
      </w:pPr>
      <w:r>
        <w:rPr/>
        <w:t>This course is designed to promote strengths in critical thinking, experimental design and development of testable hypotheses. Skills in both written and oral scientific communication are emphasized. The course format consists of a series of two-hour sessions once per week.</w:t>
      </w:r>
    </w:p>
    <w:p>
      <w:pPr>
        <w:pStyle w:val="BodyText"/>
        <w:spacing w:line="249" w:lineRule="auto" w:before="4"/>
        <w:ind w:right="648"/>
      </w:pPr>
      <w:r>
        <w:rPr/>
        <w:t>Each student does three presentations during the term: a critical analysis of a scientific paper, including identification of hypothesis, predictions, and alternative hypotheses; a proposal based on a previous research experience; and a research project based on a hypothetical data set. For the second and third presentations, students write proposals in the format of NIH predoctoral fellowship applications. Students revise their proposals after receiving oral and written critiques by faculty and students. This course is intended for neuroscience-oriented PhD students in various programs who are about to complete their course work.</w:t>
      </w:r>
    </w:p>
    <w:p>
      <w:pPr>
        <w:pStyle w:val="Heading6"/>
        <w:spacing w:line="249" w:lineRule="auto" w:before="129"/>
        <w:ind w:right="830"/>
      </w:pPr>
      <w:r>
        <w:rPr/>
        <w:t>GPLS 750 - TOPICS IN MOLECULAR MEDICINE (2)</w:t>
      </w:r>
    </w:p>
    <w:p>
      <w:pPr>
        <w:pStyle w:val="BodyText"/>
        <w:spacing w:line="249" w:lineRule="auto" w:before="179"/>
        <w:ind w:right="654"/>
      </w:pPr>
      <w:r>
        <w:rPr/>
        <w:t>This course is aimed at developing skills necessary for understanding and discovering how changes in gene function cause human disease. The course revolves around a series of topics that use inherited disease processes to</w:t>
      </w:r>
    </w:p>
    <w:p>
      <w:pPr>
        <w:spacing w:after="0" w:line="249" w:lineRule="auto"/>
        <w:sectPr>
          <w:pgSz w:w="12240" w:h="15840"/>
          <w:pgMar w:header="746" w:footer="0" w:top="1320" w:bottom="280" w:left="880" w:right="300"/>
          <w:cols w:num="2" w:equalWidth="0">
            <w:col w:w="4998" w:space="489"/>
            <w:col w:w="5573"/>
          </w:cols>
        </w:sectPr>
      </w:pPr>
    </w:p>
    <w:p>
      <w:pPr>
        <w:pStyle w:val="BodyText"/>
        <w:spacing w:line="249" w:lineRule="auto" w:before="100"/>
        <w:ind w:left="199" w:right="38"/>
      </w:pPr>
      <w:r>
        <w:rPr/>
        <w:t>illustrate the physiological consequences of molecular, cellular, genetic phenomena. Recent breakthroughs in the identification </w:t>
      </w:r>
      <w:r>
        <w:rPr>
          <w:spacing w:val="-3"/>
        </w:rPr>
        <w:t>of </w:t>
      </w:r>
      <w:r>
        <w:rPr/>
        <w:t>disease-related genes are presented and extended to a discussion about their impact </w:t>
      </w:r>
      <w:r>
        <w:rPr>
          <w:spacing w:val="-3"/>
        </w:rPr>
        <w:t>on </w:t>
      </w:r>
      <w:r>
        <w:rPr/>
        <w:t>cell and organ function. Critical reading and discussion </w:t>
      </w:r>
      <w:r>
        <w:rPr>
          <w:spacing w:val="-3"/>
        </w:rPr>
        <w:t>of  </w:t>
      </w:r>
      <w:r>
        <w:rPr/>
        <w:t>landmark and/or timely papers are stressed. </w:t>
      </w:r>
      <w:r>
        <w:rPr>
          <w:spacing w:val="-3"/>
        </w:rPr>
        <w:t>In </w:t>
      </w:r>
      <w:r>
        <w:rPr/>
        <w:t>this </w:t>
      </w:r>
      <w:r>
        <w:rPr>
          <w:spacing w:val="-6"/>
        </w:rPr>
        <w:t>way, </w:t>
      </w:r>
      <w:r>
        <w:rPr/>
        <w:t>students learn interesting state-of-the-art material while developing skills and expertise in integrative biology and molecular medicine. Topics change </w:t>
      </w:r>
      <w:r>
        <w:rPr>
          <w:spacing w:val="-3"/>
        </w:rPr>
        <w:t>yearly, </w:t>
      </w:r>
      <w:r>
        <w:rPr/>
        <w:t>but have included: paralysis, malignant hyperthermia, cardiac arrhythmias, congestive heart failure, glomerulitis-Alport's, cystic fibrosis, Liddle's syndrome, hyperinsulinemia </w:t>
      </w:r>
      <w:r>
        <w:rPr>
          <w:spacing w:val="-3"/>
        </w:rPr>
        <w:t>of </w:t>
      </w:r>
      <w:r>
        <w:rPr/>
        <w:t>infancy, </w:t>
      </w:r>
      <w:r>
        <w:rPr>
          <w:spacing w:val="-3"/>
        </w:rPr>
        <w:t>type </w:t>
      </w:r>
      <w:r>
        <w:rPr/>
        <w:t>II diabetes mellitus, influenza, migraine headache and neurogenic inflammation, and Duchenne dystrophy. Two </w:t>
      </w:r>
      <w:r>
        <w:rPr>
          <w:spacing w:val="-3"/>
        </w:rPr>
        <w:t>or </w:t>
      </w:r>
      <w:r>
        <w:rPr/>
        <w:t>three one-hour classes per topic consist of interactive discussions following assigned readings and brief lectures. Required </w:t>
      </w:r>
      <w:r>
        <w:rPr>
          <w:spacing w:val="-4"/>
        </w:rPr>
        <w:t>for </w:t>
      </w:r>
      <w:r>
        <w:rPr/>
        <w:t>all molecular cell biology and physiology students, </w:t>
      </w:r>
      <w:r>
        <w:rPr>
          <w:spacing w:val="-3"/>
        </w:rPr>
        <w:t>open </w:t>
      </w:r>
      <w:r>
        <w:rPr/>
        <w:t>to</w:t>
      </w:r>
      <w:r>
        <w:rPr>
          <w:spacing w:val="-5"/>
        </w:rPr>
        <w:t> </w:t>
      </w:r>
      <w:r>
        <w:rPr/>
        <w:t>others.</w:t>
      </w:r>
    </w:p>
    <w:p>
      <w:pPr>
        <w:pStyle w:val="Heading6"/>
        <w:spacing w:line="249" w:lineRule="auto" w:before="133"/>
        <w:ind w:right="1035"/>
      </w:pPr>
      <w:r>
        <w:rPr/>
        <w:t>GPLS 755 - READINGS IN MOLECULAR SIGNALING AND STRUCTURE (1)</w:t>
      </w:r>
    </w:p>
    <w:p>
      <w:pPr>
        <w:pStyle w:val="BodyText"/>
        <w:spacing w:line="249" w:lineRule="auto" w:before="179"/>
        <w:ind w:right="44"/>
      </w:pPr>
      <w:r>
        <w:rPr/>
        <w:t>This course teaches advanced students contemporary topics of scientific importance pertaining to the interface between macromolecular structure and intracellular signaling pathways. The course revolves around reading and presenting a series </w:t>
      </w:r>
      <w:r>
        <w:rPr>
          <w:spacing w:val="-3"/>
        </w:rPr>
        <w:t>of </w:t>
      </w:r>
      <w:r>
        <w:rPr/>
        <w:t>manuscripts relevant to molecular signaling and structure. Manuscripts are selected by the course director(s) </w:t>
      </w:r>
      <w:r>
        <w:rPr>
          <w:spacing w:val="-4"/>
        </w:rPr>
        <w:t>for </w:t>
      </w:r>
      <w:r>
        <w:rPr/>
        <w:t>presentation by the students, focusing </w:t>
      </w:r>
      <w:r>
        <w:rPr>
          <w:spacing w:val="-3"/>
        </w:rPr>
        <w:t>on </w:t>
      </w:r>
      <w:r>
        <w:rPr/>
        <w:t>features that will complement the student?s thesis research plan. Students work </w:t>
      </w:r>
      <w:r>
        <w:rPr>
          <w:spacing w:val="-3"/>
        </w:rPr>
        <w:t>on </w:t>
      </w:r>
      <w:r>
        <w:rPr/>
        <w:t>each manuscript as a team and present the product. </w:t>
      </w:r>
      <w:r>
        <w:rPr>
          <w:spacing w:val="-2"/>
        </w:rPr>
        <w:t>New </w:t>
      </w:r>
      <w:r>
        <w:rPr/>
        <w:t>knowledge, critical assessment, and the understanding </w:t>
      </w:r>
      <w:r>
        <w:rPr>
          <w:spacing w:val="-3"/>
        </w:rPr>
        <w:t>of </w:t>
      </w:r>
      <w:r>
        <w:rPr/>
        <w:t>methodology </w:t>
      </w:r>
      <w:r>
        <w:rPr>
          <w:spacing w:val="3"/>
        </w:rPr>
        <w:t>are </w:t>
      </w:r>
      <w:r>
        <w:rPr/>
        <w:t>stressed. Students relate their </w:t>
      </w:r>
      <w:r>
        <w:rPr>
          <w:spacing w:val="-4"/>
        </w:rPr>
        <w:t>own </w:t>
      </w:r>
      <w:r>
        <w:rPr/>
        <w:t>scientific work to the contents </w:t>
      </w:r>
      <w:r>
        <w:rPr>
          <w:spacing w:val="-3"/>
        </w:rPr>
        <w:t>of </w:t>
      </w:r>
      <w:r>
        <w:rPr/>
        <w:t>the paper. Students </w:t>
      </w:r>
      <w:r>
        <w:rPr>
          <w:spacing w:val="-3"/>
        </w:rPr>
        <w:t>develop </w:t>
      </w:r>
      <w:r>
        <w:rPr/>
        <w:t>new knowledge and analytical skills. </w:t>
      </w:r>
      <w:r>
        <w:rPr>
          <w:spacing w:val="-3"/>
        </w:rPr>
        <w:t>In </w:t>
      </w:r>
      <w:r>
        <w:rPr/>
        <w:t>later sessions students apply these skills by presenting and discussing </w:t>
      </w:r>
      <w:r>
        <w:rPr>
          <w:spacing w:val="-3"/>
        </w:rPr>
        <w:t>their </w:t>
      </w:r>
      <w:r>
        <w:rPr/>
        <w:t>independent research projects and by reviewing research projects by other students in the class.  The Readings course is required </w:t>
      </w:r>
      <w:r>
        <w:rPr>
          <w:spacing w:val="-4"/>
        </w:rPr>
        <w:t>for </w:t>
      </w:r>
      <w:r>
        <w:rPr/>
        <w:t>Molecular Signaling and Structure Training Program (MSSTP) students. Prerequisites: GPLS</w:t>
      </w:r>
      <w:r>
        <w:rPr>
          <w:spacing w:val="-2"/>
        </w:rPr>
        <w:t> </w:t>
      </w:r>
      <w:r>
        <w:rPr/>
        <w:t>601.</w:t>
      </w:r>
    </w:p>
    <w:p>
      <w:pPr>
        <w:pStyle w:val="BodyText"/>
        <w:spacing w:before="14"/>
      </w:pPr>
      <w:r>
        <w:rPr/>
        <w:t>Completion of GPLS 616 and 709 is recommended.</w:t>
      </w:r>
    </w:p>
    <w:p>
      <w:pPr>
        <w:pStyle w:val="Heading6"/>
      </w:pPr>
      <w:r>
        <w:rPr/>
        <w:t>GPLS 769 - ADVANCES IN IMMUNOLOGY (2)</w:t>
      </w:r>
    </w:p>
    <w:p>
      <w:pPr>
        <w:pStyle w:val="BodyText"/>
        <w:spacing w:line="249" w:lineRule="auto" w:before="192"/>
        <w:ind w:right="126"/>
      </w:pPr>
      <w:r>
        <w:rPr/>
        <w:t>This course will comprise immunologic topics chosen by faculty students. The material will come mainly from the primary literature and will be a discussion heavy course. Students will be expect to write short summaries of the papers before class begins. In additional question sets will be prepared by the instructors after the discussions which the students will complete before the next class.</w:t>
      </w:r>
    </w:p>
    <w:p>
      <w:pPr>
        <w:pStyle w:val="Heading6"/>
        <w:spacing w:line="249" w:lineRule="auto" w:before="96"/>
        <w:ind w:right="936"/>
      </w:pPr>
      <w:r>
        <w:rPr>
          <w:b w:val="0"/>
        </w:rPr>
        <w:br w:type="column"/>
      </w:r>
      <w:r>
        <w:rPr/>
        <w:t>GPLS 775 - INTERFACE OF PAIN AFFECT AND ADDICTION (3)</w:t>
      </w:r>
    </w:p>
    <w:p>
      <w:pPr>
        <w:pStyle w:val="BodyText"/>
        <w:spacing w:line="249" w:lineRule="auto" w:before="179"/>
        <w:ind w:right="696"/>
      </w:pPr>
      <w:r>
        <w:rPr/>
        <w:t>This course integrates various topics in pain, affect, and addiction research, including circuits and behaviors, molecular mechanisms and chemical synapses, neuroimaging and neuromodulation, and treatments. The format of the course is lecture-based discussions, and evaluation is based on participation, a presentation, and an NRSA-style grant application.</w:t>
      </w:r>
    </w:p>
    <w:p>
      <w:pPr>
        <w:pStyle w:val="Heading6"/>
        <w:spacing w:before="125"/>
      </w:pPr>
      <w:r>
        <w:rPr/>
        <w:t>GPLS 781 - TRANSLATIONAL PSYCHIATRY (3)</w:t>
      </w:r>
    </w:p>
    <w:p>
      <w:pPr>
        <w:pStyle w:val="BodyText"/>
        <w:spacing w:line="249" w:lineRule="auto" w:before="192"/>
        <w:ind w:right="636"/>
      </w:pPr>
      <w:r>
        <w:rPr/>
        <w:t>The primary goal </w:t>
      </w:r>
      <w:r>
        <w:rPr>
          <w:spacing w:val="-3"/>
        </w:rPr>
        <w:t>of </w:t>
      </w:r>
      <w:r>
        <w:rPr/>
        <w:t>this course is to provide students </w:t>
      </w:r>
      <w:r>
        <w:rPr>
          <w:spacing w:val="-3"/>
        </w:rPr>
        <w:t>with </w:t>
      </w:r>
      <w:r>
        <w:rPr/>
        <w:t>an opportunity to integrate molecular and </w:t>
      </w:r>
      <w:r>
        <w:rPr>
          <w:spacing w:val="-3"/>
        </w:rPr>
        <w:t>systems </w:t>
      </w:r>
      <w:r>
        <w:rPr/>
        <w:t>models of the brain into the context </w:t>
      </w:r>
      <w:r>
        <w:rPr>
          <w:spacing w:val="-3"/>
        </w:rPr>
        <w:t>of </w:t>
      </w:r>
      <w:r>
        <w:rPr/>
        <w:t>thought disorder and mental illness and the translation </w:t>
      </w:r>
      <w:r>
        <w:rPr>
          <w:spacing w:val="-3"/>
        </w:rPr>
        <w:t>of </w:t>
      </w:r>
      <w:r>
        <w:rPr/>
        <w:t>this work into the clinical setting. The course utilizes a paired teaching technique (basic scientist paired </w:t>
      </w:r>
      <w:r>
        <w:rPr>
          <w:spacing w:val="-3"/>
        </w:rPr>
        <w:t>with </w:t>
      </w:r>
      <w:r>
        <w:rPr/>
        <w:t>clinician) time </w:t>
      </w:r>
      <w:r>
        <w:rPr>
          <w:spacing w:val="-4"/>
        </w:rPr>
        <w:t>for </w:t>
      </w:r>
      <w:r>
        <w:rPr>
          <w:spacing w:val="-3"/>
        </w:rPr>
        <w:t>integration </w:t>
      </w:r>
      <w:r>
        <w:rPr/>
        <w:t>and discussion. Field trips to imaging facilities, virtual reality labs and clinical research facilities facilitate a better understanding </w:t>
      </w:r>
      <w:r>
        <w:rPr>
          <w:spacing w:val="-3"/>
        </w:rPr>
        <w:t>of </w:t>
      </w:r>
      <w:r>
        <w:rPr/>
        <w:t>translational research. Course work includes a 'translational' grant writing exercise, a mock review and student presentations.  The course culminates in a 'reviewed' grant proposal </w:t>
      </w:r>
      <w:r>
        <w:rPr>
          <w:spacing w:val="-5"/>
        </w:rPr>
        <w:t>on </w:t>
      </w:r>
      <w:r>
        <w:rPr/>
        <w:t>Innovative Translational research.</w:t>
      </w:r>
    </w:p>
    <w:p>
      <w:pPr>
        <w:pStyle w:val="Heading6"/>
      </w:pPr>
      <w:r>
        <w:rPr/>
        <w:t>GPLS 790 - ADVANCED CANCER BIOLOGY (3)</w:t>
      </w:r>
    </w:p>
    <w:p>
      <w:pPr>
        <w:pStyle w:val="BodyText"/>
        <w:spacing w:line="249" w:lineRule="auto" w:before="187"/>
        <w:ind w:right="604"/>
      </w:pPr>
      <w:r>
        <w:rPr/>
        <w:t>This course introduces students to the fundamentals of cancer from diagnosis to treatment as well as the latest research discoveries. The course begins with the biology of cancer cells, the stages of cancer and the types of tumors, and ends with topics related to animal models for studying cancer. Lectures include tumor suppressors, oncogenes, signal transduction, disruption of growth control networks, DNA damage, oncopharmacology, drug design, robotics, and common forms of cancer. Required for all molecular and cellular cancer biology students.</w:t>
      </w:r>
    </w:p>
    <w:p>
      <w:pPr>
        <w:pStyle w:val="Heading6"/>
        <w:spacing w:line="249" w:lineRule="auto" w:before="128"/>
        <w:ind w:right="1407"/>
      </w:pPr>
      <w:r>
        <w:rPr/>
        <w:t>GPLS 791 - TRANSLATIONAL RESEARCH SEMINAR (2)</w:t>
      </w:r>
    </w:p>
    <w:p>
      <w:pPr>
        <w:pStyle w:val="BodyText"/>
        <w:spacing w:line="249" w:lineRule="auto" w:before="184"/>
        <w:ind w:right="604"/>
      </w:pPr>
      <w:r>
        <w:rPr/>
        <w:t>This seminar course designed to give scientists (graduate students </w:t>
      </w:r>
      <w:r>
        <w:rPr>
          <w:spacing w:val="-3"/>
        </w:rPr>
        <w:t>or </w:t>
      </w:r>
      <w:r>
        <w:rPr/>
        <w:t>postdoctoral fellows), clinicians, and </w:t>
      </w:r>
      <w:r>
        <w:rPr>
          <w:spacing w:val="-3"/>
        </w:rPr>
        <w:t>other </w:t>
      </w:r>
      <w:r>
        <w:rPr/>
        <w:t>interested parties the basic information to assess the therapeutic and diagnostic potential </w:t>
      </w:r>
      <w:r>
        <w:rPr>
          <w:spacing w:val="-3"/>
        </w:rPr>
        <w:t>of </w:t>
      </w:r>
      <w:r>
        <w:rPr/>
        <w:t>basic science research discoveries. It also provides students </w:t>
      </w:r>
      <w:r>
        <w:rPr>
          <w:spacing w:val="-3"/>
        </w:rPr>
        <w:t>with </w:t>
      </w:r>
      <w:r>
        <w:rPr/>
        <w:t>the tools to approach translational research in their present and future work. The course </w:t>
      </w:r>
      <w:r>
        <w:rPr>
          <w:spacing w:val="-3"/>
        </w:rPr>
        <w:t>covers </w:t>
      </w:r>
      <w:r>
        <w:rPr/>
        <w:t>the core competencies in clinical and translational research; </w:t>
      </w:r>
      <w:r>
        <w:rPr>
          <w:spacing w:val="-3"/>
        </w:rPr>
        <w:t>each </w:t>
      </w:r>
      <w:r>
        <w:rPr/>
        <w:t>session addresses core thematic areas. Students meet </w:t>
      </w:r>
      <w:r>
        <w:rPr>
          <w:spacing w:val="-3"/>
        </w:rPr>
        <w:t>once </w:t>
      </w:r>
      <w:r>
        <w:rPr/>
        <w:t>per </w:t>
      </w:r>
      <w:r>
        <w:rPr>
          <w:spacing w:val="-4"/>
        </w:rPr>
        <w:t>week </w:t>
      </w:r>
      <w:r>
        <w:rPr/>
        <w:t>for a 1.5- hour period </w:t>
      </w:r>
      <w:r>
        <w:rPr>
          <w:spacing w:val="-4"/>
        </w:rPr>
        <w:t>for </w:t>
      </w:r>
      <w:r>
        <w:rPr/>
        <w:t>10 </w:t>
      </w:r>
      <w:r>
        <w:rPr>
          <w:spacing w:val="-3"/>
        </w:rPr>
        <w:t>weeks. </w:t>
      </w:r>
      <w:r>
        <w:rPr/>
        <w:t>Faculty members give a 40- minute lecture, followed by a 20-minute PowerPoint presentation by a student. The presentation is </w:t>
      </w:r>
      <w:r>
        <w:rPr>
          <w:spacing w:val="-3"/>
        </w:rPr>
        <w:t>followed</w:t>
      </w:r>
      <w:r>
        <w:rPr>
          <w:spacing w:val="-2"/>
        </w:rPr>
        <w:t> </w:t>
      </w:r>
      <w:r>
        <w:rPr/>
        <w:t>by</w:t>
      </w:r>
    </w:p>
    <w:p>
      <w:pPr>
        <w:spacing w:after="0" w:line="249" w:lineRule="auto"/>
        <w:sectPr>
          <w:headerReference w:type="even" r:id="rId92"/>
          <w:headerReference w:type="default" r:id="rId93"/>
          <w:pgSz w:w="12240" w:h="15840"/>
          <w:pgMar w:header="746" w:footer="0" w:top="1320" w:bottom="280" w:left="880" w:right="300"/>
          <w:pgNumType w:start="122"/>
          <w:cols w:num="2" w:equalWidth="0">
            <w:col w:w="4995" w:space="492"/>
            <w:col w:w="5573"/>
          </w:cols>
        </w:sectPr>
      </w:pPr>
    </w:p>
    <w:p>
      <w:pPr>
        <w:pStyle w:val="BodyText"/>
        <w:spacing w:line="249" w:lineRule="auto" w:before="100"/>
        <w:ind w:right="84"/>
      </w:pPr>
      <w:r>
        <w:rPr/>
        <w:t>a 30-minute discussion in which all students are encouraged to participate. Students are given a take-home short answer question, based on each lecture. The student presentations and short answers count toward the final grade. An assigned paper is also given.</w:t>
      </w:r>
    </w:p>
    <w:p>
      <w:pPr>
        <w:pStyle w:val="Heading6"/>
        <w:spacing w:line="249" w:lineRule="auto" w:before="124"/>
        <w:ind w:right="120"/>
      </w:pPr>
      <w:r>
        <w:rPr/>
        <w:t>GPLS 799 - MASTER?S THESIS RESEARCH (1 TO 6)</w:t>
      </w:r>
    </w:p>
    <w:p>
      <w:pPr>
        <w:pStyle w:val="BodyText"/>
        <w:spacing w:line="249" w:lineRule="auto" w:before="179"/>
        <w:ind w:right="406"/>
      </w:pPr>
      <w:r>
        <w:rPr/>
        <w:t>Required enrollment for students engaged in master?s thesis studies.</w:t>
      </w:r>
    </w:p>
    <w:p>
      <w:pPr>
        <w:pStyle w:val="Heading6"/>
        <w:spacing w:before="121"/>
      </w:pPr>
      <w:r>
        <w:rPr/>
        <w:t>GPLS 898 - PRE-CANDIDACY RESEARCH (1 TO 8)</w:t>
      </w:r>
    </w:p>
    <w:p>
      <w:pPr>
        <w:pStyle w:val="BodyText"/>
        <w:spacing w:line="249" w:lineRule="auto" w:before="193"/>
        <w:ind w:right="150"/>
      </w:pPr>
      <w:r>
        <w:rPr/>
        <w:t>Required enrollment for students engaged in doctoral dissertation studies prior to their admission to candidacy.</w:t>
      </w:r>
    </w:p>
    <w:p>
      <w:pPr>
        <w:pStyle w:val="Heading6"/>
        <w:spacing w:line="249" w:lineRule="auto" w:before="121"/>
        <w:ind w:right="959"/>
      </w:pPr>
      <w:r>
        <w:rPr/>
        <w:t>GPLS 899 - DOCTORAL DISSERTATION RESEARCH (1 TO 12)</w:t>
      </w:r>
    </w:p>
    <w:p>
      <w:pPr>
        <w:pStyle w:val="BodyText"/>
        <w:spacing w:line="249" w:lineRule="auto" w:before="179"/>
        <w:ind w:right="450"/>
      </w:pPr>
      <w:r>
        <w:rPr/>
        <w:t>Required enrollment for students engaged in doctoral dissertation studies.</w:t>
      </w:r>
    </w:p>
    <w:p>
      <w:pPr>
        <w:pStyle w:val="Heading2"/>
        <w:spacing w:before="188"/>
      </w:pPr>
      <w:bookmarkStart w:name="HGEN" w:id="111"/>
      <w:bookmarkEnd w:id="111"/>
      <w:r>
        <w:rPr/>
      </w:r>
      <w:bookmarkStart w:name="_bookmark55" w:id="112"/>
      <w:bookmarkEnd w:id="112"/>
      <w:r>
        <w:rPr/>
      </w:r>
      <w:r>
        <w:rPr/>
        <w:t>HGEN</w:t>
      </w:r>
    </w:p>
    <w:p>
      <w:pPr>
        <w:pStyle w:val="Heading6"/>
        <w:spacing w:before="128"/>
      </w:pPr>
      <w:r>
        <w:rPr/>
        <w:t>HGEN 601 - BASIC HUMAN GENETICS I (4)</w:t>
      </w:r>
    </w:p>
    <w:p>
      <w:pPr>
        <w:pStyle w:val="BodyText"/>
        <w:spacing w:line="249" w:lineRule="auto" w:before="193"/>
        <w:ind w:right="34"/>
      </w:pPr>
      <w:r>
        <w:rPr/>
        <w:t>This course provides an introduction to the application of basic genetic principles to the study of human health and disease. An overview of basic human genetics is provided in Mendelian genetics, cytogenetics, population genetics, molecular cytogenetics, oncocytogenetics and clinical applications of principles. The importance and implication of genetic disease at the levels of the population and individual families are discussed.</w:t>
      </w:r>
    </w:p>
    <w:p>
      <w:pPr>
        <w:pStyle w:val="Heading6"/>
        <w:spacing w:before="126"/>
      </w:pPr>
      <w:r>
        <w:rPr/>
        <w:t>HGEN 602 - BASIC HUMAN GENETICS II (4)</w:t>
      </w:r>
    </w:p>
    <w:p>
      <w:pPr>
        <w:pStyle w:val="BodyText"/>
        <w:spacing w:line="249" w:lineRule="auto" w:before="187"/>
        <w:ind w:left="199" w:right="23"/>
      </w:pPr>
      <w:r>
        <w:rPr/>
        <w:t>Introductory material in basic genetic principles, with emphasis on biochemical and molecular approaches to the study of human health and metabolic disease are provided. Primary genetic defects underlying a diversity of disorders are discussed. Subjects will include molecular and biochemical genetics, immunogenetics, cancer genetics, neurogenetics and developmental genetics. Clinical applications of metabolic and molecular studies are discussed. (Prerequisite: Biochemistry)</w:t>
      </w:r>
    </w:p>
    <w:p>
      <w:pPr>
        <w:pStyle w:val="Heading6"/>
        <w:spacing w:before="127"/>
        <w:ind w:left="199"/>
      </w:pPr>
      <w:r>
        <w:rPr/>
        <w:t>HGEN 608 - HUMAN GENETICS SEMINAR (1)</w:t>
      </w:r>
    </w:p>
    <w:p>
      <w:pPr>
        <w:pStyle w:val="BodyText"/>
        <w:spacing w:line="249" w:lineRule="auto" w:before="192"/>
        <w:ind w:left="199" w:right="340"/>
      </w:pPr>
      <w:r>
        <w:rPr/>
        <w:t>Graduate students, faculty and guests participate in the presentation and critical review of current topics and interests in the field of human genetics. (Prerequisites: Consent of the program director)</w:t>
      </w:r>
    </w:p>
    <w:p>
      <w:pPr>
        <w:pStyle w:val="Heading6"/>
        <w:spacing w:line="249" w:lineRule="auto" w:before="98"/>
        <w:ind w:left="199" w:right="637"/>
      </w:pPr>
      <w:r>
        <w:rPr>
          <w:b w:val="0"/>
        </w:rPr>
        <w:br w:type="column"/>
      </w:r>
      <w:r>
        <w:rPr/>
        <w:t>HGEN 609 - SPECIAL PROBLEMS IN GENETICS (1 TO 3)</w:t>
      </w:r>
    </w:p>
    <w:p>
      <w:pPr>
        <w:pStyle w:val="BodyText"/>
        <w:spacing w:before="179"/>
        <w:ind w:left="199"/>
      </w:pPr>
      <w:r>
        <w:rPr/>
        <w:t>Topics vary from term to term.</w:t>
      </w:r>
    </w:p>
    <w:p>
      <w:pPr>
        <w:pStyle w:val="Heading6"/>
        <w:ind w:left="199"/>
      </w:pPr>
      <w:r>
        <w:rPr/>
        <w:t>HGEN 610 - GENETIC COUNSELING SEMINAR (1)</w:t>
      </w:r>
    </w:p>
    <w:p>
      <w:pPr>
        <w:pStyle w:val="BodyText"/>
        <w:spacing w:line="249" w:lineRule="auto" w:before="192"/>
        <w:ind w:left="199" w:right="689"/>
      </w:pPr>
      <w:r>
        <w:rPr/>
        <w:t>Through case presentation, group discussion and role- playing with first year M.G.C. students and faculty, 2nd year students evaluate their role and improve his/her skills in the genetic counseling process. The medical, psychosocial and ethical issues encountered in concurrent clinical rotations will be thoroughly explored. Recent literature relevant to these issues will also be reviewed.</w:t>
      </w:r>
    </w:p>
    <w:p>
      <w:pPr>
        <w:pStyle w:val="Heading6"/>
        <w:spacing w:line="249" w:lineRule="auto" w:before="126"/>
        <w:ind w:left="199" w:right="732"/>
      </w:pPr>
      <w:r>
        <w:rPr/>
        <w:t>HGEN 611 - WORKING WITH SUPPORT GROUPS (2)</w:t>
      </w:r>
    </w:p>
    <w:p>
      <w:pPr>
        <w:pStyle w:val="BodyText"/>
        <w:spacing w:line="249" w:lineRule="auto" w:before="179"/>
        <w:ind w:left="199" w:right="722"/>
      </w:pPr>
      <w:r>
        <w:rPr/>
        <w:t>This two-semester course will give students hands-on experience with genetic support groups. Each student will be assigned a local, regional, or national support group to work with during their first year of study. Students will assist the group in organizing weekly, monthly, or annual meetings, and other activities of the group including newsletter distributions, sending information packets to interested individuals, updating packet materials, etc. The student will spend at least one day with the family of a child with a genetic disorder, interview a parent of a child with a genetic disorder and write a final paper describing the experience. Students also attend a rotation at the Genetic Alliance in Washington, D.C.</w:t>
      </w:r>
    </w:p>
    <w:p>
      <w:pPr>
        <w:pStyle w:val="Heading6"/>
        <w:spacing w:line="249" w:lineRule="auto" w:before="129"/>
        <w:ind w:left="199" w:right="1687"/>
      </w:pPr>
      <w:r>
        <w:rPr/>
        <w:t>HGEN 615 - CLINICAL APPLICATIONS WORKSHOP (1)</w:t>
      </w:r>
    </w:p>
    <w:p>
      <w:pPr>
        <w:pStyle w:val="BodyText"/>
        <w:spacing w:line="249" w:lineRule="auto" w:before="184"/>
        <w:ind w:left="199" w:right="617"/>
      </w:pPr>
      <w:r>
        <w:rPr/>
        <w:t>This course is designed to give both 1st and 2nd year students a forum to critically evaluate current topics in the genetics profession and develop various clinical skills that will enhance clinical practice. Students will participate in group discussion of current topics in the genetics literature. Additionally, they will complete a series of assignments and presentations designed to develop creative educational tools and improve familiarity with genetics activities and resources.</w:t>
      </w:r>
    </w:p>
    <w:p>
      <w:pPr>
        <w:pStyle w:val="Heading6"/>
        <w:spacing w:line="249" w:lineRule="auto" w:before="127"/>
        <w:ind w:left="199" w:right="1337"/>
      </w:pPr>
      <w:r>
        <w:rPr/>
        <w:t>HGEN 620 - INTRODUCTION TO GENETIC COUNSELING (2)</w:t>
      </w:r>
    </w:p>
    <w:p>
      <w:pPr>
        <w:pStyle w:val="BodyText"/>
        <w:spacing w:line="249" w:lineRule="auto" w:before="179"/>
        <w:ind w:left="199" w:right="767"/>
      </w:pPr>
      <w:r>
        <w:rPr/>
        <w:t>This course is designed to introduce the principles of the field of genetic counseling. This lecture series will cover the history behind the development of genetic counseling as a profession, and the concepts of nondirectiveness and patient autonomy will be emphasized through the course. In addition, applications of genetic counseling in medical care will be demonstrated, with special attention to the psychosocial aspects of the field. This course is designed</w:t>
      </w:r>
    </w:p>
    <w:p>
      <w:pPr>
        <w:spacing w:after="0" w:line="249" w:lineRule="auto"/>
        <w:sectPr>
          <w:pgSz w:w="12240" w:h="15840"/>
          <w:pgMar w:header="746" w:footer="0" w:top="1320" w:bottom="280" w:left="880" w:right="300"/>
          <w:cols w:num="2" w:equalWidth="0">
            <w:col w:w="4936" w:space="550"/>
            <w:col w:w="5574"/>
          </w:cols>
        </w:sectPr>
      </w:pPr>
    </w:p>
    <w:p>
      <w:pPr>
        <w:pStyle w:val="BodyText"/>
        <w:spacing w:line="249" w:lineRule="auto" w:before="100"/>
        <w:ind w:right="152"/>
      </w:pPr>
      <w:r>
        <w:rPr/>
        <w:t>to complement HGEN 728, Clinical Genetics I, and along with HGEN 621, will help prepare students for clinical rotations the following year.</w:t>
      </w:r>
    </w:p>
    <w:p>
      <w:pPr>
        <w:pStyle w:val="Heading6"/>
        <w:spacing w:line="249" w:lineRule="auto" w:before="122"/>
        <w:ind w:right="34"/>
      </w:pPr>
      <w:r>
        <w:rPr/>
        <w:t>HGEN 621 - GENETIC COUNSELING: PRINCIPLES AND PRACTICE (2)</w:t>
      </w:r>
    </w:p>
    <w:p>
      <w:pPr>
        <w:pStyle w:val="BodyText"/>
        <w:spacing w:line="249" w:lineRule="auto" w:before="179"/>
        <w:ind w:right="52"/>
      </w:pPr>
      <w:r>
        <w:rPr/>
        <w:t>This course is designed to complement HGEN 620 and introduces the student to advanced topics in genetic counseling. Genetic counseling in specific practice areas including </w:t>
      </w:r>
      <w:r>
        <w:rPr>
          <w:spacing w:val="-3"/>
        </w:rPr>
        <w:t>cancer </w:t>
      </w:r>
      <w:r>
        <w:rPr/>
        <w:t>genetics, assisted reproductive technology and teratology will </w:t>
      </w:r>
      <w:r>
        <w:rPr>
          <w:spacing w:val="-3"/>
        </w:rPr>
        <w:t>be </w:t>
      </w:r>
      <w:r>
        <w:rPr/>
        <w:t>presented. Client-centered counseling theory and multicultural counseling will also </w:t>
      </w:r>
      <w:r>
        <w:rPr>
          <w:spacing w:val="-3"/>
        </w:rPr>
        <w:t>be </w:t>
      </w:r>
      <w:r>
        <w:rPr/>
        <w:t>addressed. To emphasize the psychosocial aspects </w:t>
      </w:r>
      <w:r>
        <w:rPr>
          <w:spacing w:val="-3"/>
        </w:rPr>
        <w:t>of </w:t>
      </w:r>
      <w:r>
        <w:rPr/>
        <w:t>genetic disease, guest lecturers who have direct experience with a particular genetic disease will discuss their experiences. This course is designed to fine-tune the students? sensitivity to the psychosocial issues and to prepare them </w:t>
      </w:r>
      <w:r>
        <w:rPr>
          <w:spacing w:val="-4"/>
        </w:rPr>
        <w:t>for </w:t>
      </w:r>
      <w:r>
        <w:rPr/>
        <w:t>clinical rotations. Prerequisite: HGEN 620 </w:t>
      </w:r>
      <w:r>
        <w:rPr>
          <w:spacing w:val="-3"/>
        </w:rPr>
        <w:t>or</w:t>
      </w:r>
      <w:r>
        <w:rPr>
          <w:spacing w:val="3"/>
        </w:rPr>
        <w:t> </w:t>
      </w:r>
      <w:r>
        <w:rPr/>
        <w:t>equivalent.</w:t>
      </w:r>
    </w:p>
    <w:p>
      <w:pPr>
        <w:pStyle w:val="Heading6"/>
        <w:spacing w:line="249" w:lineRule="auto"/>
        <w:ind w:right="1106"/>
      </w:pPr>
      <w:r>
        <w:rPr/>
        <w:t>HGEN 700 - PSYCHOSOCIAL GENETIC COUNSELING (3)</w:t>
      </w:r>
    </w:p>
    <w:p>
      <w:pPr>
        <w:pStyle w:val="BodyText"/>
        <w:spacing w:line="249" w:lineRule="auto" w:before="184"/>
        <w:ind w:right="136"/>
      </w:pPr>
      <w:r>
        <w:rPr/>
        <w:t>Through didactic lectures, case discussion and role- playing, students learn to identify and understand the psychosocial aspects of genetic counseling and the impact of genetic knowledge on the individual and the family.</w:t>
      </w:r>
    </w:p>
    <w:p>
      <w:pPr>
        <w:pStyle w:val="BodyText"/>
        <w:spacing w:line="249" w:lineRule="auto" w:before="2"/>
        <w:ind w:right="153"/>
      </w:pPr>
      <w:r>
        <w:rPr/>
        <w:t>Human development and the theoretical underpinnings of various counseling models and psychotherapy, as they relate to genetic counseling, are reviewed. The course focuses on specific techniques of the counseling process, including the rationale for the technique, the timing of the technique and the evaluation of the technique. Students learn to differentiate between content and process in the genetic counseling process and to formulate a comprehensive biopsychosocial assessment, with an appreciation of the function of race, gender, social class and sexual orientation in human behavior.</w:t>
      </w:r>
    </w:p>
    <w:p>
      <w:pPr>
        <w:pStyle w:val="Heading6"/>
        <w:spacing w:before="129"/>
      </w:pPr>
      <w:r>
        <w:rPr/>
        <w:t>HGEN 701 - HUMAN CYTOGENETICS (2)</w:t>
      </w:r>
    </w:p>
    <w:p>
      <w:pPr>
        <w:pStyle w:val="BodyText"/>
        <w:spacing w:line="249" w:lineRule="auto" w:before="187"/>
        <w:ind w:right="38"/>
      </w:pPr>
      <w:r>
        <w:rPr/>
        <w:t>This course covers the normal human karyotype, chromosome identification methods, numerical and structural abnormalities and their clinical correlates, X chromosome gene action, chromosomes and cancer,  human population cytogenetics, gene mapping, and karyotype evolution. Students give a seminar </w:t>
      </w:r>
      <w:r>
        <w:rPr>
          <w:spacing w:val="-3"/>
        </w:rPr>
        <w:t>on </w:t>
      </w:r>
      <w:r>
        <w:rPr/>
        <w:t>a pertinent topic. Prerequisite: HGEN 601 </w:t>
      </w:r>
      <w:r>
        <w:rPr>
          <w:spacing w:val="-5"/>
        </w:rPr>
        <w:t>or</w:t>
      </w:r>
      <w:r>
        <w:rPr>
          <w:spacing w:val="12"/>
        </w:rPr>
        <w:t> </w:t>
      </w:r>
      <w:r>
        <w:rPr/>
        <w:t>equivalent.</w:t>
      </w:r>
    </w:p>
    <w:p>
      <w:pPr>
        <w:pStyle w:val="Heading6"/>
        <w:spacing w:line="249" w:lineRule="auto" w:before="125"/>
        <w:ind w:right="1123"/>
      </w:pPr>
      <w:r>
        <w:rPr/>
        <w:t>HGEN 703 - RESEARCH FOR GENETIC COUNSELORS (1)</w:t>
      </w:r>
    </w:p>
    <w:p>
      <w:pPr>
        <w:pStyle w:val="BodyText"/>
        <w:spacing w:line="249" w:lineRule="auto" w:before="184"/>
        <w:ind w:right="181"/>
      </w:pPr>
      <w:r>
        <w:rPr/>
        <w:t>This course is designed to introduce the principles of research in the field of genetic counseling. This lecture series will cover an overview of various types of research</w:t>
      </w:r>
    </w:p>
    <w:p>
      <w:pPr>
        <w:pStyle w:val="BodyText"/>
        <w:spacing w:line="249" w:lineRule="auto" w:before="96"/>
        <w:ind w:right="1127"/>
      </w:pPr>
      <w:r>
        <w:rPr/>
        <w:br w:type="column"/>
      </w:r>
      <w:r>
        <w:rPr/>
        <w:t>while students create and develop their own research project.</w:t>
      </w:r>
    </w:p>
    <w:p>
      <w:pPr>
        <w:pStyle w:val="Heading6"/>
        <w:spacing w:before="122"/>
      </w:pPr>
      <w:r>
        <w:rPr/>
        <w:t>HGEN 718 - LABORATORY ROTATION (1 TO 3)</w:t>
      </w:r>
    </w:p>
    <w:p>
      <w:pPr>
        <w:pStyle w:val="BodyText"/>
        <w:spacing w:line="249" w:lineRule="auto" w:before="187"/>
        <w:ind w:right="603" w:hanging="1"/>
      </w:pPr>
      <w:r>
        <w:rPr/>
        <w:t>Students participate in 1-3 week rotations in each of the University of Maryland Medical System?s clinical service laboratories (Cytogenetics, Prenatal Screening, Biochemical Molecular) to gain an understanding of various laboratory techniques as well as an appreciation for the complexity of genetic testing.</w:t>
      </w:r>
    </w:p>
    <w:p>
      <w:pPr>
        <w:pStyle w:val="Heading6"/>
        <w:spacing w:before="125"/>
      </w:pPr>
      <w:r>
        <w:rPr/>
        <w:t>HGEN 720 - METABOLIC GENETICS (2)</w:t>
      </w:r>
    </w:p>
    <w:p>
      <w:pPr>
        <w:pStyle w:val="BodyText"/>
        <w:spacing w:line="249" w:lineRule="auto" w:before="192"/>
        <w:ind w:right="721"/>
      </w:pPr>
      <w:r>
        <w:rPr/>
        <w:t>This course focuses on the study of mechanisms of gene action as illustrated by inherited biochemical defects in man. The function and malfunction of enzymes, vitamins, and structural proteins are discussed. The molecular basis of the specific defects are covered. And the clinical features of metabolic diseases, differential diagnosis, and laboratory follow-up are reviewed. Class discussions assume a prior background in basic biochemistry and human genetics. Prerequisites; Biochemistry and HGEN 602 or equivalent.</w:t>
      </w:r>
    </w:p>
    <w:p>
      <w:pPr>
        <w:pStyle w:val="Heading6"/>
        <w:spacing w:before="127"/>
      </w:pPr>
      <w:r>
        <w:rPr/>
        <w:t>HGEN 728 - CLINICAL GENETICS I (2 TO 4)</w:t>
      </w:r>
    </w:p>
    <w:p>
      <w:pPr>
        <w:pStyle w:val="BodyText"/>
        <w:spacing w:line="249" w:lineRule="auto" w:before="188"/>
        <w:ind w:right="705"/>
      </w:pPr>
      <w:r>
        <w:rPr/>
        <w:t>Topics in this course include collection and interpretation of pedigree information and an introduction to genetic nosology. Normal prenatal and pediatric development and embryology will be reviewed to give the student a better understanding of the disease process. In addition, medical terminology, components of medical charts and physical examinations, and the organizations and administration of medical centers will be covered.</w:t>
      </w:r>
    </w:p>
    <w:p>
      <w:pPr>
        <w:pStyle w:val="Heading6"/>
        <w:spacing w:before="126"/>
      </w:pPr>
      <w:r>
        <w:rPr/>
        <w:t>HGEN 731 - CLINICAL GENETICS II (2)</w:t>
      </w:r>
    </w:p>
    <w:p>
      <w:pPr>
        <w:pStyle w:val="BodyText"/>
        <w:spacing w:line="249" w:lineRule="auto" w:before="192"/>
        <w:ind w:right="794"/>
      </w:pPr>
      <w:r>
        <w:rPr/>
        <w:t>This course is designed to complement HGEN 728, and covers all clinical aspects of genetic disease. This lecture series will cover specific genetic disorders and birth defects, organ systems, and both metabolic and dysmorphic syndromes. Prerequisite: HGEN 728 or equivalent</w:t>
      </w:r>
    </w:p>
    <w:p>
      <w:pPr>
        <w:pStyle w:val="Heading6"/>
        <w:spacing w:line="249" w:lineRule="auto" w:before="125"/>
        <w:ind w:right="1142"/>
      </w:pPr>
      <w:r>
        <w:rPr/>
        <w:t>HGEN 740 - MOLECULAR BASIS OF HUMAN DISEASE (2)</w:t>
      </w:r>
    </w:p>
    <w:p>
      <w:pPr>
        <w:pStyle w:val="BodyText"/>
        <w:spacing w:line="249" w:lineRule="auto" w:before="179"/>
        <w:ind w:right="627"/>
      </w:pPr>
      <w:r>
        <w:rPr/>
        <w:t>This course provides students with a detailed analysis of molecular approaches used to characterize the genetic defects of inherited human disorders. Topics include the diversity of technical approaches with emphasis on recent developments; the general utility and limitations of various approaches; the importance of analysis of mutational spectra, and; potentials for gene therapy. Prerequisites: biochemistry and HGEN 602 or equivalent.</w:t>
      </w:r>
    </w:p>
    <w:p>
      <w:pPr>
        <w:spacing w:after="0" w:line="249" w:lineRule="auto"/>
        <w:sectPr>
          <w:pgSz w:w="12240" w:h="15840"/>
          <w:pgMar w:header="746" w:footer="0" w:top="1320" w:bottom="280" w:left="880" w:right="300"/>
          <w:cols w:num="2" w:equalWidth="0">
            <w:col w:w="5005" w:space="481"/>
            <w:col w:w="5574"/>
          </w:cols>
        </w:sectPr>
      </w:pPr>
    </w:p>
    <w:p>
      <w:pPr>
        <w:pStyle w:val="Heading6"/>
        <w:spacing w:line="249" w:lineRule="auto" w:before="100"/>
        <w:ind w:right="1057"/>
      </w:pPr>
      <w:r>
        <w:rPr/>
        <w:t>HGEN 745 - CLINICAL TRAINING SITE ROTATION (3)</w:t>
      </w:r>
    </w:p>
    <w:p>
      <w:pPr>
        <w:pStyle w:val="BodyText"/>
        <w:spacing w:line="249" w:lineRule="auto" w:before="179"/>
        <w:ind w:left="199" w:right="116"/>
      </w:pPr>
      <w:r>
        <w:rPr/>
        <w:t>Master's in Genetic Counseling (MGC) students gain practical experience through clinical rotations, working at various clinical training sites approved by the American Board of Genetic Counseling (ABGC). Each student is supervised at each site by a board certified genetic counselor or geneticist. Hands on training in genetic counseling is essential to each student's learning experience and allows the student to gain confidence and expertise in the field of genetic counseling.</w:t>
      </w:r>
    </w:p>
    <w:p>
      <w:pPr>
        <w:pStyle w:val="Heading6"/>
        <w:spacing w:line="249" w:lineRule="auto" w:before="126"/>
        <w:ind w:left="199" w:right="452"/>
      </w:pPr>
      <w:r>
        <w:rPr/>
        <w:t>HGEN 750 - ADVANCED TOPICS IN GENETIC COUNSELING (2)</w:t>
      </w:r>
    </w:p>
    <w:p>
      <w:pPr>
        <w:pStyle w:val="BodyText"/>
        <w:spacing w:line="249" w:lineRule="auto" w:before="184"/>
        <w:ind w:left="199" w:right="116"/>
      </w:pPr>
      <w:r>
        <w:rPr/>
        <w:t>This course is designed as a forum for discussing the ethical, legal, and societal issues dealing with genetic counseling. Guest lecturers from the Departments of Pastoral Care, Neonatology, and Risk Management, and the Schools of Law and Social Work will present topics relevant to genetic counseling. The National Society of Genetic Counselors' Code of Ethics is critically analyzed.</w:t>
      </w:r>
    </w:p>
    <w:p>
      <w:pPr>
        <w:pStyle w:val="Heading6"/>
        <w:spacing w:before="126"/>
        <w:ind w:left="199"/>
      </w:pPr>
      <w:r>
        <w:rPr/>
        <w:t>HGEN 760 - CLINICAL CANCER GENETICS (2)</w:t>
      </w:r>
    </w:p>
    <w:p>
      <w:pPr>
        <w:pStyle w:val="BodyText"/>
        <w:spacing w:line="249" w:lineRule="auto" w:before="187"/>
        <w:ind w:right="47"/>
      </w:pPr>
      <w:r>
        <w:rPr/>
        <w:t>This course is designed to introduce the principles and practice of genetic counseling for hereditary cancer syndromes. Cancer epidemiology, terminology and pathology; current prevention, surveillance, and treatment options; clinical characteristics of common and rare hereditary cancer syndromes; genetic risk assessment and testing; and the psychosocial aspects of genetic counseling for hereditary cancer syndromes will be covered.</w:t>
      </w:r>
    </w:p>
    <w:p>
      <w:pPr>
        <w:pStyle w:val="Heading6"/>
        <w:spacing w:before="126"/>
      </w:pPr>
      <w:r>
        <w:rPr/>
        <w:t>HGEN 780 - ADVANCED CLINICAL GENETICS (1)</w:t>
      </w:r>
    </w:p>
    <w:p>
      <w:pPr>
        <w:pStyle w:val="BodyText"/>
        <w:spacing w:line="249" w:lineRule="auto" w:before="192"/>
        <w:ind w:left="199" w:right="21"/>
      </w:pPr>
      <w:r>
        <w:rPr/>
        <w:t>This course is a review of various structural fetal abnormalities by organ system (brain, face and neck, limbs and growth, etc.) from a clinical genetics perspective focusing on embryology, differential diagnosis, prenatal diagnosis, and postnatal prognosis.</w:t>
      </w:r>
    </w:p>
    <w:p>
      <w:pPr>
        <w:pStyle w:val="Heading6"/>
        <w:spacing w:line="249" w:lineRule="auto" w:before="124"/>
        <w:ind w:left="199" w:right="124"/>
      </w:pPr>
      <w:r>
        <w:rPr/>
        <w:t>HGEN 799 - MASTER'S THESIS RESEARCH (1 TO 12)</w:t>
      </w:r>
    </w:p>
    <w:p>
      <w:pPr>
        <w:pStyle w:val="BodyText"/>
        <w:spacing w:line="249" w:lineRule="auto" w:before="179"/>
        <w:ind w:left="199" w:right="432"/>
      </w:pPr>
      <w:r>
        <w:rPr/>
        <w:t>Required enrollment for students engaged in master?s thesisstudies.</w:t>
      </w:r>
    </w:p>
    <w:p>
      <w:pPr>
        <w:pStyle w:val="Heading2"/>
        <w:spacing w:before="190"/>
      </w:pPr>
      <w:bookmarkStart w:name="HPE" w:id="113"/>
      <w:bookmarkEnd w:id="113"/>
      <w:r>
        <w:rPr/>
      </w:r>
      <w:bookmarkStart w:name="_bookmark56" w:id="114"/>
      <w:bookmarkEnd w:id="114"/>
      <w:r>
        <w:rPr/>
      </w:r>
      <w:r>
        <w:rPr/>
        <w:t>HPE</w:t>
      </w:r>
    </w:p>
    <w:p>
      <w:pPr>
        <w:pStyle w:val="Heading6"/>
        <w:spacing w:line="249" w:lineRule="auto" w:before="128"/>
        <w:ind w:right="390"/>
      </w:pPr>
      <w:r>
        <w:rPr/>
        <w:t>HPE 610 - THEORETICAL FOUNDATIONS OF TEACHING AND LEARNING IN THE HEALTH PROFESSIONS (3)</w:t>
      </w:r>
    </w:p>
    <w:p>
      <w:pPr>
        <w:pStyle w:val="BodyText"/>
      </w:pPr>
      <w:r>
        <w:rPr/>
        <w:t>Offered: 202009.</w:t>
      </w:r>
    </w:p>
    <w:p>
      <w:pPr>
        <w:pStyle w:val="Heading6"/>
        <w:spacing w:line="249" w:lineRule="auto" w:before="100"/>
        <w:ind w:left="199" w:right="643"/>
      </w:pPr>
      <w:r>
        <w:rPr>
          <w:b w:val="0"/>
        </w:rPr>
        <w:br w:type="column"/>
      </w:r>
      <w:r>
        <w:rPr/>
        <w:t>HPE 620 - CRITICAL APPRAISAL AND EVIDENCE BASED PRACTICE (3)</w:t>
      </w:r>
    </w:p>
    <w:p>
      <w:pPr>
        <w:pStyle w:val="BodyText"/>
        <w:spacing w:line="249" w:lineRule="auto" w:before="179"/>
        <w:ind w:right="623"/>
      </w:pPr>
      <w:r>
        <w:rPr>
          <w:color w:val="303030"/>
        </w:rPr>
        <w:t>Clinical appraisal skills are now as much a part </w:t>
      </w:r>
      <w:r>
        <w:rPr>
          <w:color w:val="303030"/>
          <w:spacing w:val="-3"/>
        </w:rPr>
        <w:t>of </w:t>
      </w:r>
      <w:r>
        <w:rPr>
          <w:color w:val="303030"/>
        </w:rPr>
        <w:t>the clinician’s </w:t>
      </w:r>
      <w:r>
        <w:rPr>
          <w:color w:val="303030"/>
          <w:spacing w:val="-3"/>
        </w:rPr>
        <w:t>toolbox </w:t>
      </w:r>
      <w:r>
        <w:rPr>
          <w:color w:val="303030"/>
        </w:rPr>
        <w:t>as the ability to diagnose conditions and prescribe treatments. Critical appraisal skills allow clinicians to prioritize evidence that </w:t>
      </w:r>
      <w:r>
        <w:rPr>
          <w:color w:val="303030"/>
          <w:spacing w:val="-3"/>
        </w:rPr>
        <w:t>can </w:t>
      </w:r>
      <w:r>
        <w:rPr>
          <w:color w:val="303030"/>
        </w:rPr>
        <w:t>improve outcomes. It is critical that inter-professional team members all demonstrate this skill and that faculty are adept at teaching this skills as it is now routinely tested in medical, dental, pharmacy and nursing</w:t>
      </w:r>
      <w:r>
        <w:rPr>
          <w:color w:val="303030"/>
          <w:spacing w:val="-11"/>
        </w:rPr>
        <w:t> </w:t>
      </w:r>
      <w:r>
        <w:rPr>
          <w:color w:val="303030"/>
        </w:rPr>
        <w:t>examination.</w:t>
      </w:r>
    </w:p>
    <w:p>
      <w:pPr>
        <w:pStyle w:val="BodyText"/>
        <w:spacing w:before="189"/>
      </w:pPr>
      <w:r>
        <w:rPr/>
        <w:t>Offered: 202009.</w:t>
      </w:r>
    </w:p>
    <w:p>
      <w:pPr>
        <w:pStyle w:val="Heading6"/>
        <w:spacing w:line="249" w:lineRule="auto"/>
        <w:ind w:right="925"/>
      </w:pPr>
      <w:r>
        <w:rPr/>
        <w:t>HPE 625 - INSTRUCTIONAL STRATEGIES AND ASSESSMENT IN HPE (3)</w:t>
      </w:r>
    </w:p>
    <w:p>
      <w:pPr>
        <w:pStyle w:val="BodyText"/>
        <w:spacing w:line="249" w:lineRule="auto" w:before="179"/>
        <w:ind w:right="805"/>
      </w:pPr>
      <w:r>
        <w:rPr>
          <w:color w:val="303030"/>
        </w:rPr>
        <w:t>the learner, the content to be taught, the behavioral objectives of the learning material, and the processes of learning. The course includes both didactic and experiential experiences and provides a strong linkage to techniques for evaluating the impact of various instructional strategies on learning. Attention is given to basic measurement principles of reliability and validity, test construction, assessing skill acquisition and competence, and interpreting results from measures.</w:t>
      </w:r>
    </w:p>
    <w:p>
      <w:pPr>
        <w:pStyle w:val="Heading6"/>
        <w:spacing w:line="249" w:lineRule="auto" w:before="128"/>
        <w:ind w:right="709" w:hanging="1"/>
      </w:pPr>
      <w:r>
        <w:rPr/>
        <w:t>HPE 710 - LEADERSHIP IN HIGHER EDUCATION (3)</w:t>
      </w:r>
    </w:p>
    <w:p>
      <w:pPr>
        <w:pStyle w:val="BodyText"/>
        <w:spacing w:line="249" w:lineRule="auto" w:before="184"/>
        <w:ind w:right="754"/>
      </w:pPr>
      <w:r>
        <w:rPr>
          <w:color w:val="303030"/>
        </w:rPr>
        <w:t>This course is designed to create a community of scholar- practitioners working together to explore a variety of constructs, principles, and models of leadership and to apply that learning to current, and future leadership experiences and opportunities. The course encourages a scholar-practitioner analysis of these experiences/opportunities with focused application to academic and professional goals of Ph.D. students.</w:t>
      </w:r>
    </w:p>
    <w:p>
      <w:pPr>
        <w:pStyle w:val="BodyText"/>
        <w:spacing w:line="249" w:lineRule="auto" w:before="6"/>
        <w:ind w:right="639"/>
      </w:pPr>
      <w:r>
        <w:rPr>
          <w:color w:val="303030"/>
        </w:rPr>
        <w:t>Students are expected to draw on learning from prior life experiences, and new learning acquired in this course to complete the course activities and produce products that focus on context-based problems in urban educational organizations (or others) and demonstrate evidenced-based leadership strategies for leveraging change.</w:t>
      </w:r>
    </w:p>
    <w:p>
      <w:pPr>
        <w:pStyle w:val="Heading6"/>
        <w:spacing w:before="125"/>
      </w:pPr>
      <w:r>
        <w:rPr/>
        <w:t>HPE 715 - DATA ANALYSIS 1</w:t>
      </w:r>
      <w:r>
        <w:rPr>
          <w:spacing w:val="-1"/>
        </w:rPr>
        <w:t> </w:t>
      </w:r>
      <w:r>
        <w:rPr/>
        <w:t>(3)</w:t>
      </w:r>
    </w:p>
    <w:p>
      <w:pPr>
        <w:pStyle w:val="Heading6"/>
        <w:spacing w:before="10"/>
      </w:pPr>
      <w:r>
        <w:rPr/>
        <w:t>HPE 720 - DATA ANALYSIS 2</w:t>
      </w:r>
      <w:r>
        <w:rPr>
          <w:spacing w:val="-1"/>
        </w:rPr>
        <w:t> </w:t>
      </w:r>
      <w:r>
        <w:rPr/>
        <w:t>(3)</w:t>
      </w:r>
    </w:p>
    <w:p>
      <w:pPr>
        <w:pStyle w:val="Heading6"/>
        <w:spacing w:line="249" w:lineRule="auto" w:before="10"/>
        <w:ind w:right="770"/>
      </w:pPr>
      <w:r>
        <w:rPr/>
        <w:t>HPE 725 - QUALITATIVE RESEARCH METHODS (3)</w:t>
      </w:r>
    </w:p>
    <w:p>
      <w:pPr>
        <w:pStyle w:val="BodyText"/>
        <w:spacing w:line="249" w:lineRule="auto" w:before="179"/>
        <w:ind w:right="666"/>
      </w:pPr>
      <w:r>
        <w:rPr>
          <w:color w:val="303030"/>
        </w:rPr>
        <w:t>This doctoral course is designed to introduce students to the history, principles, and practice of qualitative research. The course will cover the theoretical and multidisciplinary origins of the methods as well as the application of qualitative methods germane to health professional</w:t>
      </w:r>
    </w:p>
    <w:p>
      <w:pPr>
        <w:spacing w:after="0" w:line="249" w:lineRule="auto"/>
        <w:sectPr>
          <w:pgSz w:w="12240" w:h="15840"/>
          <w:pgMar w:header="746" w:footer="0" w:top="1320" w:bottom="280" w:left="880" w:right="300"/>
          <w:cols w:num="2" w:equalWidth="0">
            <w:col w:w="4961" w:space="525"/>
            <w:col w:w="5574"/>
          </w:cols>
        </w:sectPr>
      </w:pPr>
    </w:p>
    <w:p>
      <w:pPr>
        <w:pStyle w:val="BodyText"/>
        <w:spacing w:line="249" w:lineRule="auto" w:before="100"/>
        <w:ind w:right="29"/>
      </w:pPr>
      <w:r>
        <w:rPr>
          <w:color w:val="303030"/>
        </w:rPr>
        <w:t>practice, programs, and policy. This course is an experiential course embedded with the core qualitative methods of observation, interviews and document analysis (including ethnography, narrative analysis text or discourse analysis, visual analysis, case study, grounded theory, oral/life history, focus groups, phenomenology, and action research.</w:t>
      </w:r>
    </w:p>
    <w:p>
      <w:pPr>
        <w:pStyle w:val="Heading6"/>
        <w:spacing w:before="125"/>
      </w:pPr>
      <w:r>
        <w:rPr/>
        <w:t>HPE 730 - TEACHING PRACTICUM (3)</w:t>
      </w:r>
    </w:p>
    <w:p>
      <w:pPr>
        <w:pStyle w:val="BodyText"/>
        <w:spacing w:line="249" w:lineRule="auto" w:before="188"/>
        <w:ind w:right="61"/>
      </w:pPr>
      <w:r>
        <w:rPr>
          <w:color w:val="303030"/>
        </w:rPr>
        <w:t>Theoretical knowledge acquired in concepts and strategies courses will </w:t>
      </w:r>
      <w:r>
        <w:rPr>
          <w:color w:val="303030"/>
          <w:spacing w:val="-3"/>
        </w:rPr>
        <w:t>be </w:t>
      </w:r>
      <w:r>
        <w:rPr>
          <w:color w:val="303030"/>
        </w:rPr>
        <w:t>synthesized through seminars and a practicum in an educational setting.  Seminars will </w:t>
      </w:r>
      <w:r>
        <w:rPr>
          <w:color w:val="303030"/>
          <w:spacing w:val="-3"/>
        </w:rPr>
        <w:t>focus on </w:t>
      </w:r>
      <w:r>
        <w:rPr>
          <w:color w:val="303030"/>
        </w:rPr>
        <w:t>issues related to the teaching </w:t>
      </w:r>
      <w:r>
        <w:rPr>
          <w:color w:val="303030"/>
          <w:spacing w:val="-3"/>
        </w:rPr>
        <w:t>of </w:t>
      </w:r>
      <w:r>
        <w:rPr>
          <w:color w:val="303030"/>
        </w:rPr>
        <w:t>nursing and health professional. The practicum is a precepted experience </w:t>
      </w:r>
      <w:r>
        <w:rPr>
          <w:color w:val="303030"/>
          <w:spacing w:val="-3"/>
        </w:rPr>
        <w:t>with </w:t>
      </w:r>
      <w:r>
        <w:rPr>
          <w:color w:val="303030"/>
        </w:rPr>
        <w:t>a master teacher selected by the</w:t>
      </w:r>
      <w:r>
        <w:rPr>
          <w:color w:val="303030"/>
          <w:spacing w:val="-5"/>
        </w:rPr>
        <w:t> </w:t>
      </w:r>
      <w:r>
        <w:rPr>
          <w:color w:val="303030"/>
        </w:rPr>
        <w:t>faculty</w:t>
      </w:r>
    </w:p>
    <w:p>
      <w:pPr>
        <w:pStyle w:val="BodyText"/>
        <w:spacing w:line="249" w:lineRule="auto" w:before="5"/>
        <w:ind w:right="474"/>
      </w:pPr>
      <w:r>
        <w:rPr>
          <w:color w:val="303030"/>
        </w:rPr>
        <w:t>facilitator. Individual aspects and deliverables of the practicum experience will be negotiated between the student, preceptor, and faculty facilitator in a learning contract.</w:t>
      </w:r>
    </w:p>
    <w:p>
      <w:pPr>
        <w:pStyle w:val="Heading6"/>
        <w:spacing w:before="123"/>
      </w:pPr>
      <w:r>
        <w:rPr/>
        <w:t>HPE 840 - IMPACT INSTITUTE 1</w:t>
      </w:r>
    </w:p>
    <w:p>
      <w:pPr>
        <w:pStyle w:val="Heading6"/>
        <w:spacing w:before="10"/>
      </w:pPr>
      <w:r>
        <w:rPr/>
        <w:t>HPE  850 - </w:t>
      </w:r>
      <w:r>
        <w:rPr>
          <w:spacing w:val="-3"/>
        </w:rPr>
        <w:t>IMPACT </w:t>
      </w:r>
      <w:r>
        <w:rPr/>
        <w:t>INSTITUTE 2</w:t>
      </w:r>
      <w:r>
        <w:rPr>
          <w:spacing w:val="11"/>
        </w:rPr>
        <w:t> </w:t>
      </w:r>
      <w:r>
        <w:rPr/>
        <w:t>(3)</w:t>
      </w:r>
    </w:p>
    <w:p>
      <w:pPr>
        <w:pStyle w:val="Heading6"/>
        <w:spacing w:before="10"/>
        <w:ind w:left="199"/>
      </w:pPr>
      <w:r>
        <w:rPr/>
        <w:t>HPE  851 - </w:t>
      </w:r>
      <w:r>
        <w:rPr>
          <w:spacing w:val="-3"/>
        </w:rPr>
        <w:t>RESEARCH </w:t>
      </w:r>
      <w:r>
        <w:rPr/>
        <w:t>SEMINAR</w:t>
      </w:r>
      <w:r>
        <w:rPr>
          <w:spacing w:val="19"/>
        </w:rPr>
        <w:t> </w:t>
      </w:r>
      <w:r>
        <w:rPr/>
        <w:t>(6)</w:t>
      </w:r>
    </w:p>
    <w:p>
      <w:pPr>
        <w:pStyle w:val="BodyText"/>
        <w:spacing w:line="249" w:lineRule="auto" w:before="193"/>
        <w:ind w:right="73"/>
      </w:pPr>
      <w:r>
        <w:rPr>
          <w:color w:val="303030"/>
        </w:rPr>
        <w:t>Candidates will work with committee members to advance research and progress of project, dissertation and prepare for publication throughout the semester online and attend a 4-day residency requirement.</w:t>
      </w:r>
    </w:p>
    <w:p>
      <w:pPr>
        <w:pStyle w:val="Heading6"/>
        <w:spacing w:before="123"/>
      </w:pPr>
      <w:r>
        <w:rPr/>
        <w:t>HPE 899 - DISSERTATION RESEARCH</w:t>
      </w:r>
    </w:p>
    <w:p>
      <w:pPr>
        <w:pStyle w:val="BodyText"/>
        <w:spacing w:line="249" w:lineRule="auto" w:before="188"/>
        <w:ind w:right="157"/>
      </w:pPr>
      <w:r>
        <w:rPr>
          <w:color w:val="303030"/>
        </w:rPr>
        <w:t>Candidates will have completed HPE 851 proposal, literature review, methods, data analysis at this juncture and will continue to work with committee members to advance research and progress of project, dissertation and prepare for publication. Dissertation Boot camp, Defense and publication.</w:t>
      </w:r>
    </w:p>
    <w:p>
      <w:pPr>
        <w:pStyle w:val="Heading2"/>
        <w:spacing w:before="190"/>
      </w:pPr>
      <w:bookmarkStart w:name="INCL -" w:id="115"/>
      <w:bookmarkEnd w:id="115"/>
      <w:r>
        <w:rPr/>
      </w:r>
      <w:bookmarkStart w:name="_bookmark57" w:id="116"/>
      <w:bookmarkEnd w:id="116"/>
      <w:r>
        <w:rPr/>
      </w:r>
      <w:r>
        <w:rPr/>
        <w:t>INCL -</w:t>
      </w:r>
    </w:p>
    <w:p>
      <w:pPr>
        <w:pStyle w:val="Heading6"/>
        <w:spacing w:line="249" w:lineRule="auto" w:before="128"/>
        <w:ind w:left="199" w:right="617"/>
      </w:pPr>
      <w:r>
        <w:rPr/>
        <w:t>INCL 632 - HISTORICAL EXPLORATION OF RACE IN THE US (3)</w:t>
      </w:r>
    </w:p>
    <w:p>
      <w:pPr>
        <w:pStyle w:val="BodyText"/>
        <w:spacing w:line="249" w:lineRule="auto" w:before="184"/>
        <w:ind w:right="161"/>
        <w:jc w:val="both"/>
      </w:pPr>
      <w:r>
        <w:rPr>
          <w:color w:val="303030"/>
        </w:rPr>
        <w:t>This course will build on fundamental terms and concepts discussed in course one while examining identity-specific public policy and its impacts on various communities.</w:t>
      </w:r>
    </w:p>
    <w:p>
      <w:pPr>
        <w:pStyle w:val="BodyText"/>
        <w:spacing w:line="249" w:lineRule="auto" w:before="3"/>
        <w:ind w:right="159"/>
        <w:jc w:val="both"/>
      </w:pPr>
      <w:r>
        <w:rPr>
          <w:color w:val="303030"/>
        </w:rPr>
        <w:t>Students will develop a deeper understanding of identities and intersectionality through the historical experiences of racial, ethnic, and cultural groups in the U.S.</w:t>
      </w:r>
    </w:p>
    <w:p>
      <w:pPr>
        <w:pStyle w:val="Heading6"/>
        <w:spacing w:line="249" w:lineRule="auto" w:before="122"/>
        <w:ind w:left="199" w:right="617"/>
      </w:pPr>
      <w:r>
        <w:rPr/>
        <w:t>INCL 633 - HISTORICAL EXPLORATION OF CULTURE IN THE US (3)</w:t>
      </w:r>
    </w:p>
    <w:p>
      <w:pPr>
        <w:pStyle w:val="BodyText"/>
        <w:spacing w:line="249" w:lineRule="auto" w:before="179"/>
        <w:ind w:right="234"/>
      </w:pPr>
      <w:r>
        <w:rPr>
          <w:color w:val="303030"/>
        </w:rPr>
        <w:t>Students will continue to examine the history of group identities in the U.S. through public policy and historical</w:t>
      </w:r>
    </w:p>
    <w:p>
      <w:pPr>
        <w:pStyle w:val="BodyText"/>
        <w:spacing w:line="249" w:lineRule="auto" w:before="100"/>
        <w:ind w:right="615"/>
      </w:pPr>
      <w:r>
        <w:rPr/>
        <w:br w:type="column"/>
      </w:r>
      <w:r>
        <w:rPr>
          <w:color w:val="303030"/>
        </w:rPr>
        <w:t>experiences. Special attention will be paid to the impact of social movements, advocacy, and allyship, while providing practical skills for self- care.</w:t>
      </w:r>
    </w:p>
    <w:p>
      <w:pPr>
        <w:pStyle w:val="Heading6"/>
        <w:spacing w:line="249" w:lineRule="auto" w:before="122"/>
        <w:ind w:right="1369"/>
      </w:pPr>
      <w:r>
        <w:rPr/>
        <w:t>INCL 640 - PRACTICAL APPLICATION OF INTERCULTURAL LEADERSHIP (3)</w:t>
      </w:r>
    </w:p>
    <w:p>
      <w:pPr>
        <w:pStyle w:val="BodyText"/>
        <w:spacing w:line="249" w:lineRule="auto" w:before="179"/>
        <w:ind w:right="593"/>
      </w:pPr>
      <w:r>
        <w:rPr>
          <w:color w:val="303030"/>
        </w:rPr>
        <w:t>In this course students will learn and practice applying concepts of intercultural development to various aspects of their personal and professional life. Students will also gain tools to continue learning and developing their intercultural skills over the course of their lifetime.</w:t>
      </w:r>
    </w:p>
    <w:p>
      <w:pPr>
        <w:pStyle w:val="Heading6"/>
        <w:spacing w:line="249" w:lineRule="auto" w:before="125"/>
        <w:ind w:right="903"/>
      </w:pPr>
      <w:r>
        <w:rPr/>
        <w:t>INCL 643 - INTERCULTURAL IMPACT INSTITUTE (3)</w:t>
      </w:r>
    </w:p>
    <w:p>
      <w:pPr>
        <w:pStyle w:val="BodyText"/>
        <w:spacing w:line="249" w:lineRule="auto" w:before="184"/>
        <w:ind w:right="594"/>
      </w:pPr>
      <w:r>
        <w:rPr>
          <w:color w:val="303030"/>
        </w:rPr>
        <w:t>The Intercultural Leadership Institute is an opportunity for students to engage in face-to-face intercultural learning and develop a deeper understanding of the concepts and skills learned over the four online courses. Additionally, this institute will provide the reflection and intergroup dialogue that is integral to intercultural development. Students will present their culminating project, an organizational assessment of their professional organization.</w:t>
      </w:r>
    </w:p>
    <w:p>
      <w:pPr>
        <w:pStyle w:val="Heading2"/>
        <w:spacing w:before="192"/>
      </w:pPr>
      <w:bookmarkStart w:name="INNO -" w:id="117"/>
      <w:bookmarkEnd w:id="117"/>
      <w:r>
        <w:rPr/>
      </w:r>
      <w:bookmarkStart w:name="_bookmark58" w:id="118"/>
      <w:bookmarkEnd w:id="118"/>
      <w:r>
        <w:rPr/>
      </w:r>
      <w:r>
        <w:rPr/>
        <w:t>INNO -</w:t>
      </w:r>
    </w:p>
    <w:p>
      <w:pPr>
        <w:pStyle w:val="Heading6"/>
        <w:spacing w:line="249" w:lineRule="auto" w:before="128"/>
        <w:ind w:right="903"/>
      </w:pPr>
      <w:r>
        <w:rPr/>
        <w:t>INNO 600 - FOUNDATIONS IN HEALTH AND SOCIAL INNOVATION (3)</w:t>
      </w:r>
    </w:p>
    <w:p>
      <w:pPr>
        <w:pStyle w:val="BodyText"/>
        <w:spacing w:line="249" w:lineRule="auto" w:before="179"/>
        <w:ind w:right="653"/>
      </w:pPr>
      <w:r>
        <w:rPr>
          <w:color w:val="303030"/>
        </w:rPr>
        <w:t>This course introduces students to social and health entrepreneurship through case studies, key readings, and primary information resources. Students will </w:t>
      </w:r>
      <w:r>
        <w:rPr>
          <w:color w:val="303030"/>
          <w:spacing w:val="-3"/>
        </w:rPr>
        <w:t>become </w:t>
      </w:r>
      <w:r>
        <w:rPr>
          <w:color w:val="303030"/>
        </w:rPr>
        <w:t>familiar </w:t>
      </w:r>
      <w:r>
        <w:rPr>
          <w:color w:val="303030"/>
          <w:spacing w:val="-3"/>
        </w:rPr>
        <w:t>with </w:t>
      </w:r>
      <w:r>
        <w:rPr>
          <w:color w:val="303030"/>
        </w:rPr>
        <w:t>the social determinants </w:t>
      </w:r>
      <w:r>
        <w:rPr>
          <w:color w:val="303030"/>
          <w:spacing w:val="-3"/>
        </w:rPr>
        <w:t>of </w:t>
      </w:r>
      <w:r>
        <w:rPr>
          <w:color w:val="303030"/>
        </w:rPr>
        <w:t>health, </w:t>
      </w:r>
      <w:r>
        <w:rPr>
          <w:color w:val="303030"/>
          <w:spacing w:val="-3"/>
        </w:rPr>
        <w:t>systems </w:t>
      </w:r>
      <w:r>
        <w:rPr>
          <w:color w:val="303030"/>
        </w:rPr>
        <w:t>of public health, the science </w:t>
      </w:r>
      <w:r>
        <w:rPr>
          <w:color w:val="303030"/>
          <w:spacing w:val="-3"/>
        </w:rPr>
        <w:t>of </w:t>
      </w:r>
      <w:r>
        <w:rPr>
          <w:color w:val="303030"/>
        </w:rPr>
        <w:t>team-based innovation, basic business fundamentals, and the essentials </w:t>
      </w:r>
      <w:r>
        <w:rPr>
          <w:color w:val="303030"/>
          <w:spacing w:val="-3"/>
        </w:rPr>
        <w:t>of </w:t>
      </w:r>
      <w:r>
        <w:rPr>
          <w:color w:val="303030"/>
        </w:rPr>
        <w:t>social and health improvement through the lens </w:t>
      </w:r>
      <w:r>
        <w:rPr>
          <w:color w:val="303030"/>
          <w:spacing w:val="-3"/>
        </w:rPr>
        <w:t>of </w:t>
      </w:r>
      <w:r>
        <w:rPr>
          <w:color w:val="303030"/>
        </w:rPr>
        <w:t>entrepreneurship. Students will begin to </w:t>
      </w:r>
      <w:r>
        <w:rPr>
          <w:color w:val="303030"/>
          <w:spacing w:val="-3"/>
        </w:rPr>
        <w:t>develop </w:t>
      </w:r>
      <w:r>
        <w:rPr>
          <w:color w:val="303030"/>
        </w:rPr>
        <w:t>skills demonstrated by successful social entrepreneurs, including team building and leadership, negotiation, and working in complex</w:t>
      </w:r>
      <w:r>
        <w:rPr>
          <w:color w:val="303030"/>
          <w:spacing w:val="-28"/>
        </w:rPr>
        <w:t> </w:t>
      </w:r>
      <w:r>
        <w:rPr>
          <w:color w:val="303030"/>
        </w:rPr>
        <w:t>social and cultural environments. They will explore the </w:t>
      </w:r>
      <w:r>
        <w:rPr>
          <w:color w:val="303030"/>
          <w:spacing w:val="-3"/>
        </w:rPr>
        <w:t>sources </w:t>
      </w:r>
      <w:r>
        <w:rPr>
          <w:color w:val="303030"/>
        </w:rPr>
        <w:t>of funding </w:t>
      </w:r>
      <w:r>
        <w:rPr>
          <w:color w:val="303030"/>
          <w:spacing w:val="-4"/>
        </w:rPr>
        <w:t>for </w:t>
      </w:r>
      <w:r>
        <w:rPr>
          <w:color w:val="303030"/>
        </w:rPr>
        <w:t>social enterprises, including philanthropy, governmental funding, and income generating, self- sustaining social enterprises. Students will also begin to plan their course </w:t>
      </w:r>
      <w:r>
        <w:rPr>
          <w:color w:val="303030"/>
          <w:spacing w:val="-3"/>
        </w:rPr>
        <w:t>of </w:t>
      </w:r>
      <w:r>
        <w:rPr>
          <w:color w:val="303030"/>
        </w:rPr>
        <w:t>study in their selected concentration and consider an initial proposal </w:t>
      </w:r>
      <w:r>
        <w:rPr>
          <w:color w:val="303030"/>
          <w:spacing w:val="-4"/>
        </w:rPr>
        <w:t>for </w:t>
      </w:r>
      <w:r>
        <w:rPr>
          <w:color w:val="303030"/>
        </w:rPr>
        <w:t>a Master’s project.</w:t>
      </w:r>
    </w:p>
    <w:p>
      <w:pPr>
        <w:pStyle w:val="Heading6"/>
        <w:spacing w:before="133"/>
      </w:pPr>
      <w:r>
        <w:rPr/>
        <w:t>INNO 602 - METHODS IN INNOVATION (3)</w:t>
      </w:r>
    </w:p>
    <w:p>
      <w:pPr>
        <w:pStyle w:val="BodyText"/>
        <w:spacing w:line="249" w:lineRule="auto" w:before="193"/>
        <w:ind w:right="632"/>
      </w:pPr>
      <w:r>
        <w:rPr>
          <w:color w:val="303030"/>
        </w:rPr>
        <w:t>This course provides an overview of the entrepreneurial process, while examining entrepreneurship from a range of several scholarly contexts, including the social, health and behavioral sciences. The course introduces the student to the language of entrepreneurship and covers the initial stages of idea formation and initial development of</w:t>
      </w:r>
    </w:p>
    <w:p>
      <w:pPr>
        <w:spacing w:after="0" w:line="249" w:lineRule="auto"/>
        <w:sectPr>
          <w:pgSz w:w="12240" w:h="15840"/>
          <w:pgMar w:header="746" w:footer="0" w:top="1320" w:bottom="280" w:left="880" w:right="300"/>
          <w:cols w:num="2" w:equalWidth="0">
            <w:col w:w="4998" w:space="489"/>
            <w:col w:w="5573"/>
          </w:cols>
        </w:sectPr>
      </w:pPr>
    </w:p>
    <w:p>
      <w:pPr>
        <w:pStyle w:val="BodyText"/>
        <w:spacing w:line="249" w:lineRule="auto" w:before="100"/>
        <w:ind w:right="61"/>
      </w:pPr>
      <w:r>
        <w:rPr>
          <w:color w:val="303030"/>
        </w:rPr>
        <w:t>entrepreneurial opportunities. Emphasis is given in this course to developing theoretical frameworks for enhancing entrepreneurial success. Students will learn to engage with their ideas in early-stage market and rapid prototyping.</w:t>
      </w:r>
    </w:p>
    <w:p>
      <w:pPr>
        <w:pStyle w:val="BodyText"/>
        <w:spacing w:line="249" w:lineRule="auto" w:before="3"/>
        <w:ind w:right="38"/>
      </w:pPr>
      <w:r>
        <w:rPr>
          <w:color w:val="303030"/>
        </w:rPr>
        <w:t>Students will engage in </w:t>
      </w:r>
      <w:r>
        <w:rPr>
          <w:color w:val="303030"/>
          <w:spacing w:val="-3"/>
        </w:rPr>
        <w:t>both </w:t>
      </w:r>
      <w:r>
        <w:rPr>
          <w:color w:val="303030"/>
        </w:rPr>
        <w:t>qualitative and quantitative approaches to understanding innovation. Students will learn the tools, methods, and self-reflection techniques necessary to bring new ideas to reality while also providing them </w:t>
      </w:r>
      <w:r>
        <w:rPr>
          <w:color w:val="303030"/>
          <w:spacing w:val="-3"/>
        </w:rPr>
        <w:t>with ways </w:t>
      </w:r>
      <w:r>
        <w:rPr>
          <w:color w:val="303030"/>
        </w:rPr>
        <w:t>to learn about how to test the viability of and response to their ideas in the market. Learning through iteration is a key component </w:t>
      </w:r>
      <w:r>
        <w:rPr>
          <w:color w:val="303030"/>
          <w:spacing w:val="-3"/>
        </w:rPr>
        <w:t>of </w:t>
      </w:r>
      <w:r>
        <w:rPr>
          <w:color w:val="303030"/>
        </w:rPr>
        <w:t>this course as it is expected that the first </w:t>
      </w:r>
      <w:r>
        <w:rPr>
          <w:color w:val="303030"/>
          <w:spacing w:val="-3"/>
        </w:rPr>
        <w:t>version of </w:t>
      </w:r>
      <w:r>
        <w:rPr>
          <w:color w:val="303030"/>
        </w:rPr>
        <w:t>any idea is not likely the</w:t>
      </w:r>
      <w:r>
        <w:rPr>
          <w:color w:val="303030"/>
          <w:spacing w:val="-1"/>
        </w:rPr>
        <w:t> </w:t>
      </w:r>
      <w:r>
        <w:rPr>
          <w:color w:val="303030"/>
        </w:rPr>
        <w:t>last.</w:t>
      </w:r>
    </w:p>
    <w:p>
      <w:pPr>
        <w:pStyle w:val="BodyText"/>
        <w:spacing w:line="249" w:lineRule="auto" w:before="7"/>
        <w:ind w:right="90"/>
      </w:pPr>
      <w:r>
        <w:rPr>
          <w:color w:val="303030"/>
        </w:rPr>
        <w:t>Human-centered design methodologies will </w:t>
      </w:r>
      <w:r>
        <w:rPr>
          <w:color w:val="303030"/>
          <w:spacing w:val="-3"/>
        </w:rPr>
        <w:t>be </w:t>
      </w:r>
      <w:r>
        <w:rPr>
          <w:color w:val="303030"/>
        </w:rPr>
        <w:t>front-and- center in this course </w:t>
      </w:r>
      <w:r>
        <w:rPr>
          <w:color w:val="303030"/>
          <w:spacing w:val="-3"/>
        </w:rPr>
        <w:t>from </w:t>
      </w:r>
      <w:r>
        <w:rPr>
          <w:color w:val="303030"/>
        </w:rPr>
        <w:t>the perspective </w:t>
      </w:r>
      <w:r>
        <w:rPr>
          <w:color w:val="303030"/>
          <w:spacing w:val="-3"/>
        </w:rPr>
        <w:t>of </w:t>
      </w:r>
      <w:r>
        <w:rPr>
          <w:color w:val="303030"/>
        </w:rPr>
        <w:t>how to innovate based not </w:t>
      </w:r>
      <w:r>
        <w:rPr>
          <w:color w:val="303030"/>
          <w:spacing w:val="-5"/>
        </w:rPr>
        <w:t>on </w:t>
      </w:r>
      <w:r>
        <w:rPr>
          <w:color w:val="303030"/>
        </w:rPr>
        <w:t>the ideas </w:t>
      </w:r>
      <w:r>
        <w:rPr>
          <w:color w:val="303030"/>
          <w:spacing w:val="-3"/>
        </w:rPr>
        <w:t>of </w:t>
      </w:r>
      <w:r>
        <w:rPr>
          <w:color w:val="303030"/>
        </w:rPr>
        <w:t>the innovator but based first </w:t>
      </w:r>
      <w:r>
        <w:rPr>
          <w:color w:val="303030"/>
          <w:spacing w:val="-5"/>
        </w:rPr>
        <w:t>on </w:t>
      </w:r>
      <w:r>
        <w:rPr>
          <w:color w:val="303030"/>
        </w:rPr>
        <w:t>the needs </w:t>
      </w:r>
      <w:r>
        <w:rPr>
          <w:color w:val="303030"/>
          <w:spacing w:val="-3"/>
        </w:rPr>
        <w:t>of </w:t>
      </w:r>
      <w:r>
        <w:rPr>
          <w:color w:val="303030"/>
        </w:rPr>
        <w:t>the customer. This course will provide practical, real world knowledge about the lean approach, human centered design, how to design a minimum viable product, </w:t>
      </w:r>
      <w:r>
        <w:rPr>
          <w:color w:val="303030"/>
          <w:spacing w:val="-3"/>
        </w:rPr>
        <w:t>when </w:t>
      </w:r>
      <w:r>
        <w:rPr>
          <w:color w:val="303030"/>
        </w:rPr>
        <w:t>to pivot, and </w:t>
      </w:r>
      <w:r>
        <w:rPr>
          <w:color w:val="303030"/>
          <w:spacing w:val="-3"/>
        </w:rPr>
        <w:t>other </w:t>
      </w:r>
      <w:r>
        <w:rPr>
          <w:color w:val="303030"/>
        </w:rPr>
        <w:t>aspects </w:t>
      </w:r>
      <w:r>
        <w:rPr>
          <w:color w:val="303030"/>
          <w:spacing w:val="-3"/>
        </w:rPr>
        <w:t>of </w:t>
      </w:r>
      <w:r>
        <w:rPr>
          <w:color w:val="303030"/>
        </w:rPr>
        <w:t>entrepreneurial </w:t>
      </w:r>
      <w:r>
        <w:rPr>
          <w:color w:val="303030"/>
          <w:spacing w:val="-3"/>
        </w:rPr>
        <w:t>strategy. </w:t>
      </w:r>
      <w:r>
        <w:rPr>
          <w:color w:val="303030"/>
        </w:rPr>
        <w:t>At the end </w:t>
      </w:r>
      <w:r>
        <w:rPr>
          <w:color w:val="303030"/>
          <w:spacing w:val="-3"/>
        </w:rPr>
        <w:t>of </w:t>
      </w:r>
      <w:r>
        <w:rPr>
          <w:color w:val="303030"/>
        </w:rPr>
        <w:t>the course students will </w:t>
      </w:r>
      <w:r>
        <w:rPr>
          <w:color w:val="303030"/>
          <w:spacing w:val="-3"/>
        </w:rPr>
        <w:t>be </w:t>
      </w:r>
      <w:r>
        <w:rPr>
          <w:color w:val="303030"/>
        </w:rPr>
        <w:t>able to develop a strategy to launch their</w:t>
      </w:r>
      <w:r>
        <w:rPr>
          <w:color w:val="303030"/>
          <w:spacing w:val="-6"/>
        </w:rPr>
        <w:t> </w:t>
      </w:r>
      <w:r>
        <w:rPr>
          <w:color w:val="303030"/>
        </w:rPr>
        <w:t>ideas.</w:t>
      </w:r>
    </w:p>
    <w:p>
      <w:pPr>
        <w:pStyle w:val="Heading6"/>
        <w:spacing w:before="127"/>
      </w:pPr>
      <w:r>
        <w:rPr/>
        <w:t>INNO 612 - IMPACT LABS (1)</w:t>
      </w:r>
    </w:p>
    <w:p>
      <w:pPr>
        <w:pStyle w:val="BodyText"/>
        <w:spacing w:line="249" w:lineRule="auto" w:before="188"/>
        <w:ind w:right="43"/>
      </w:pPr>
      <w:r>
        <w:rPr>
          <w:color w:val="303030"/>
        </w:rPr>
        <w:t>Impact labs are co-curricular offerings bundled for academic credit. These programs are designed around themes of innovation and entrepreneurship including concepts such as customer discovery, design-thinking, intellectual property, business model generation, the art of the pitch, social policy, determinants of public health, and regulatory issues. Students will select topics that align with their capstone project. Impact Labs will help students deeply examine their topics through the lens and context of entrepreneurship and design thinking. 1 academic credit is the equivalent of 15 hours of participation in Impact Labs during the course of the semester. Students will take 3 credits of Impact Lab through the course of their program.</w:t>
      </w:r>
    </w:p>
    <w:p>
      <w:pPr>
        <w:pStyle w:val="Heading6"/>
      </w:pPr>
      <w:r>
        <w:rPr/>
        <w:t>INNO 622 - PROJECT MANAGEMENT (3)</w:t>
      </w:r>
    </w:p>
    <w:p>
      <w:pPr>
        <w:pStyle w:val="BodyText"/>
        <w:spacing w:line="249" w:lineRule="auto" w:before="193"/>
        <w:ind w:right="55"/>
      </w:pPr>
      <w:r>
        <w:rPr>
          <w:color w:val="303030"/>
        </w:rPr>
        <w:t>Project management has been proven to be the most effective method of delivering products within cost, schedule, and resource constraints. This course teaches students the skills to ensure their projects are completed on time and on budget while giving the user the product they expect. Students will gain a strong working knowledge of the basics of project management and be able to immediately use that knowledge to effectively manage work projects. At the end of the series you will be able to identify and manage the product scope, build a work breakdown structure, create a project plan, create the project budget, define and allocate resources, manage the project development, identify and manage risks, and understand the project procurement process.</w:t>
      </w:r>
    </w:p>
    <w:p>
      <w:pPr>
        <w:pStyle w:val="Heading6"/>
        <w:spacing w:line="249" w:lineRule="auto" w:before="100"/>
        <w:ind w:right="807"/>
      </w:pPr>
      <w:r>
        <w:rPr>
          <w:b w:val="0"/>
        </w:rPr>
        <w:br w:type="column"/>
      </w:r>
      <w:r>
        <w:rPr/>
        <w:t>INNO 630 - MARKET RESEARCH AND VALUE PROPOSITION (3)</w:t>
      </w:r>
    </w:p>
    <w:p>
      <w:pPr>
        <w:pStyle w:val="BodyText"/>
        <w:spacing w:line="249" w:lineRule="auto" w:before="179"/>
        <w:ind w:right="738"/>
      </w:pPr>
      <w:r>
        <w:rPr>
          <w:color w:val="303030"/>
        </w:rPr>
        <w:t>Learn the skills to translate management problems into market research problems. Gain the ability to analyze problems systematically. Develop critical eyes for market research and understand its contributions and limitations. Gain a working "hands-on" experience with the full process of market research and customer discovery.</w:t>
      </w:r>
    </w:p>
    <w:p>
      <w:pPr>
        <w:pStyle w:val="Heading6"/>
        <w:spacing w:line="249" w:lineRule="auto" w:before="125"/>
        <w:ind w:right="807"/>
      </w:pPr>
      <w:r>
        <w:rPr/>
        <w:t>INNO 632 - CASE STUDIES IN NEW VENTURE CREATION (3)</w:t>
      </w:r>
    </w:p>
    <w:p>
      <w:pPr>
        <w:pStyle w:val="BodyText"/>
        <w:spacing w:line="249" w:lineRule="auto" w:before="184"/>
        <w:ind w:right="672"/>
      </w:pPr>
      <w:r>
        <w:rPr>
          <w:color w:val="303030"/>
        </w:rPr>
        <w:t>Using research case studies and other real life examples, students will gain the tools necessary to develop biomedical start-ups. Topics include creativity, value creation, customer discovery, stage gate processes, intellectual property, strategic communications, entrepreneurship, and market research. This course will be taught in an accelerated format on the weekends.</w:t>
      </w:r>
    </w:p>
    <w:p>
      <w:pPr>
        <w:pStyle w:val="Heading6"/>
        <w:spacing w:line="249" w:lineRule="auto" w:before="126"/>
        <w:ind w:right="807"/>
      </w:pPr>
      <w:r>
        <w:rPr/>
        <w:t>INNO 634 - PRACTICUM IN BIOMEDICAL ENTREPRENEURSHIP (3)</w:t>
      </w:r>
    </w:p>
    <w:p>
      <w:pPr>
        <w:pStyle w:val="BodyText"/>
        <w:spacing w:line="249" w:lineRule="auto" w:before="179"/>
        <w:ind w:right="636"/>
      </w:pPr>
      <w:r>
        <w:rPr>
          <w:color w:val="303030"/>
        </w:rPr>
        <w:t>Students in this course are required to identify commercialization opportunities and take a product concept through the commercialization process. Students will be able to conceptualize, strategize, design, plan, and pitch an idea that they’ve developed. This allows for a unique individual training experience for students to understand the application of their research and shape their research questions as they progress through their careers. INNO 542 is a pre-requisite. This course will be taught in an accelerated format on the weekends.</w:t>
      </w:r>
    </w:p>
    <w:p>
      <w:pPr>
        <w:pStyle w:val="Heading6"/>
        <w:spacing w:before="128"/>
      </w:pPr>
      <w:r>
        <w:rPr/>
        <w:t>INNO 640 - BUSINESS AND FINANCE (3)</w:t>
      </w:r>
    </w:p>
    <w:p>
      <w:pPr>
        <w:pStyle w:val="BodyText"/>
        <w:spacing w:line="249" w:lineRule="auto" w:before="192"/>
        <w:ind w:right="649"/>
      </w:pPr>
      <w:r>
        <w:rPr/>
        <w:t>This course is designed to provide students with an understanding of the essential elements of successful business strategy and financing. Students will create a business canvas and will gain an understanding of basic principles in accounting, financing models, equity financing, and investing. In addition, students will be exposed to different types of funding including crowdfunding, angel investors, grants, and venture capital. At the end of the course, students will be able to develop a sustainable business and financing model to advance their health or social innovation concepts. Emphasis will be placed on principles of growth strategies and scaling growth opportunities and other social enterprises: A benefits approach. Prerequisites: INNO 600, 602, 622, 652 or permission of the instructor.</w:t>
      </w:r>
    </w:p>
    <w:p>
      <w:pPr>
        <w:pStyle w:val="BodyText"/>
        <w:spacing w:before="189"/>
      </w:pPr>
      <w:r>
        <w:rPr/>
        <w:t>Offered: 202009.</w:t>
      </w:r>
    </w:p>
    <w:p>
      <w:pPr>
        <w:spacing w:after="0"/>
        <w:sectPr>
          <w:pgSz w:w="12240" w:h="15840"/>
          <w:pgMar w:header="746" w:footer="0" w:top="1320" w:bottom="280" w:left="880" w:right="300"/>
          <w:cols w:num="2" w:equalWidth="0">
            <w:col w:w="5002" w:space="484"/>
            <w:col w:w="5574"/>
          </w:cols>
        </w:sectPr>
      </w:pPr>
    </w:p>
    <w:p>
      <w:pPr>
        <w:pStyle w:val="Heading6"/>
        <w:spacing w:before="100"/>
      </w:pPr>
      <w:r>
        <w:rPr/>
        <w:t>INNO 642 - MARKETING STRATEGIES (3)</w:t>
      </w:r>
    </w:p>
    <w:p>
      <w:pPr>
        <w:pStyle w:val="BodyText"/>
        <w:spacing w:line="249" w:lineRule="auto" w:before="187"/>
        <w:ind w:right="61"/>
      </w:pPr>
      <w:r>
        <w:rPr/>
        <w:t>In this course, students learn how to conduct a market analysis and apply the marketing mix as it relates to health and social enterprises. Students will employ techniques to market their ideas effectively using best practices in digital marketing, SEO, social media, and public relations.</w:t>
      </w:r>
    </w:p>
    <w:p>
      <w:pPr>
        <w:pStyle w:val="BodyText"/>
        <w:spacing w:line="249" w:lineRule="auto" w:before="4"/>
        <w:ind w:right="116"/>
      </w:pPr>
      <w:r>
        <w:rPr/>
        <w:t>Emphasis is placed on customer discovery, determining segments and positioning, the importance of branding, consumer behavior, and strategic marketing management. By the end of the course students will be able to develop a marketing plan for their health and social venture and examining marketing needs in context of their goals and business strategy. Prerequisites: INNO 600, 602, 622, 652 and 640 or permission of the instructor.</w:t>
      </w:r>
    </w:p>
    <w:p>
      <w:pPr>
        <w:pStyle w:val="BodyText"/>
        <w:spacing w:before="188"/>
      </w:pPr>
      <w:r>
        <w:rPr/>
        <w:t>Offered: 202009.</w:t>
      </w:r>
    </w:p>
    <w:p>
      <w:pPr>
        <w:pStyle w:val="Heading6"/>
        <w:spacing w:line="249" w:lineRule="auto"/>
        <w:ind w:right="127"/>
      </w:pPr>
      <w:r>
        <w:rPr/>
        <w:t>INNO 650 - COMMUNITY ENGAGEMENT AND PARTNERSHIPS (3)</w:t>
      </w:r>
    </w:p>
    <w:p>
      <w:pPr>
        <w:pStyle w:val="BodyText"/>
        <w:spacing w:line="249" w:lineRule="auto" w:before="181"/>
        <w:ind w:right="38"/>
      </w:pPr>
      <w:r>
        <w:rPr>
          <w:color w:val="303030"/>
        </w:rPr>
        <w:t>This course is designed to help students gain insights into economic and social value creation. Specifically, the purpose of this course is to provide students </w:t>
      </w:r>
      <w:r>
        <w:rPr>
          <w:color w:val="303030"/>
          <w:spacing w:val="-3"/>
        </w:rPr>
        <w:t>with </w:t>
      </w:r>
      <w:r>
        <w:rPr>
          <w:color w:val="303030"/>
        </w:rPr>
        <w:t>hands-on exposure to the entrepreneurial pursuit </w:t>
      </w:r>
      <w:r>
        <w:rPr>
          <w:color w:val="303030"/>
          <w:spacing w:val="-3"/>
        </w:rPr>
        <w:t>of </w:t>
      </w:r>
      <w:r>
        <w:rPr>
          <w:color w:val="303030"/>
        </w:rPr>
        <w:t>social and health impact and innovation. Students will learn to recognize and critically assess various forms </w:t>
      </w:r>
      <w:r>
        <w:rPr>
          <w:color w:val="303030"/>
          <w:spacing w:val="-3"/>
        </w:rPr>
        <w:t>of </w:t>
      </w:r>
      <w:r>
        <w:rPr>
          <w:color w:val="303030"/>
        </w:rPr>
        <w:t>social and health enterprise strategies as tools of economic development and social transformation. Students will gain a greater understanding </w:t>
      </w:r>
      <w:r>
        <w:rPr>
          <w:color w:val="303030"/>
          <w:spacing w:val="-3"/>
        </w:rPr>
        <w:t>of </w:t>
      </w:r>
      <w:r>
        <w:rPr>
          <w:color w:val="303030"/>
        </w:rPr>
        <w:t>the challenges </w:t>
      </w:r>
      <w:r>
        <w:rPr>
          <w:color w:val="303030"/>
          <w:spacing w:val="-3"/>
        </w:rPr>
        <w:t>of </w:t>
      </w:r>
      <w:r>
        <w:rPr>
          <w:color w:val="303030"/>
        </w:rPr>
        <w:t>growing and sustaining a social </w:t>
      </w:r>
      <w:r>
        <w:rPr>
          <w:color w:val="303030"/>
          <w:spacing w:val="-3"/>
        </w:rPr>
        <w:t>or </w:t>
      </w:r>
      <w:r>
        <w:rPr>
          <w:color w:val="303030"/>
        </w:rPr>
        <w:t>health enterprise. Students </w:t>
      </w:r>
      <w:r>
        <w:rPr>
          <w:color w:val="303030"/>
          <w:spacing w:val="-3"/>
        </w:rPr>
        <w:t>can </w:t>
      </w:r>
      <w:r>
        <w:rPr>
          <w:color w:val="303030"/>
        </w:rPr>
        <w:t>expect to improve their consulting skills, including project planning, issue analysis, formulation </w:t>
      </w:r>
      <w:r>
        <w:rPr>
          <w:color w:val="303030"/>
          <w:spacing w:val="-3"/>
        </w:rPr>
        <w:t>of </w:t>
      </w:r>
      <w:r>
        <w:rPr>
          <w:color w:val="303030"/>
        </w:rPr>
        <w:t>strategic and tactical recommendations, and client relationship management. By participating in this course, students will </w:t>
      </w:r>
      <w:r>
        <w:rPr>
          <w:color w:val="303030"/>
          <w:spacing w:val="-3"/>
        </w:rPr>
        <w:t>be </w:t>
      </w:r>
      <w:r>
        <w:rPr>
          <w:color w:val="303030"/>
        </w:rPr>
        <w:t>better able to adapt and apply business skills and academic disciplines in the social and health sectors, and will have increased skills for effective and thoughtful leadership in business and society.</w:t>
      </w:r>
    </w:p>
    <w:p>
      <w:pPr>
        <w:pStyle w:val="Heading6"/>
        <w:spacing w:before="134"/>
      </w:pPr>
      <w:r>
        <w:rPr/>
        <w:t>INNO 652 - CAPSTONE PROJECT AND PITCH (3)</w:t>
      </w:r>
    </w:p>
    <w:p>
      <w:pPr>
        <w:pStyle w:val="BodyText"/>
        <w:spacing w:line="249" w:lineRule="auto" w:before="193"/>
        <w:ind w:right="63"/>
      </w:pPr>
      <w:r>
        <w:rPr>
          <w:color w:val="303030"/>
        </w:rPr>
        <w:t>This course will draw together the experiential, curricular, and individual components </w:t>
      </w:r>
      <w:r>
        <w:rPr>
          <w:color w:val="303030"/>
          <w:spacing w:val="-3"/>
        </w:rPr>
        <w:t>of </w:t>
      </w:r>
      <w:r>
        <w:rPr>
          <w:color w:val="303030"/>
        </w:rPr>
        <w:t>the Master’s degree. The Capstone project serves as a vehicle to integrate what students learn in their graduate coursework, impact lab participation, community engagement field work, and study abroad (if applicable). It </w:t>
      </w:r>
      <w:r>
        <w:rPr>
          <w:color w:val="303030"/>
          <w:spacing w:val="-3"/>
        </w:rPr>
        <w:t>does </w:t>
      </w:r>
      <w:r>
        <w:rPr>
          <w:color w:val="303030"/>
        </w:rPr>
        <w:t>this by providing an opportunity for students to demonstrate their ability to apply what they have learned in the program in a situation that approximates aspects </w:t>
      </w:r>
      <w:r>
        <w:rPr>
          <w:color w:val="303030"/>
          <w:spacing w:val="-3"/>
        </w:rPr>
        <w:t>of </w:t>
      </w:r>
      <w:r>
        <w:rPr>
          <w:color w:val="303030"/>
        </w:rPr>
        <w:t>the post-graduate professional activities in </w:t>
      </w:r>
      <w:r>
        <w:rPr>
          <w:color w:val="303030"/>
          <w:spacing w:val="-3"/>
        </w:rPr>
        <w:t>which </w:t>
      </w:r>
      <w:r>
        <w:rPr>
          <w:color w:val="303030"/>
        </w:rPr>
        <w:t>they intend to engage. It is a bridge between full-time graduate study and fulltime involvement in the world </w:t>
      </w:r>
      <w:r>
        <w:rPr>
          <w:color w:val="303030"/>
          <w:spacing w:val="-3"/>
        </w:rPr>
        <w:t>of </w:t>
      </w:r>
      <w:r>
        <w:rPr>
          <w:color w:val="303030"/>
        </w:rPr>
        <w:t>social and health innovation and entrepreneurship. </w:t>
      </w:r>
      <w:r>
        <w:rPr>
          <w:color w:val="303030"/>
          <w:spacing w:val="-3"/>
        </w:rPr>
        <w:t>By </w:t>
      </w:r>
      <w:r>
        <w:rPr>
          <w:color w:val="303030"/>
        </w:rPr>
        <w:t>the end </w:t>
      </w:r>
      <w:r>
        <w:rPr>
          <w:color w:val="303030"/>
          <w:spacing w:val="-3"/>
        </w:rPr>
        <w:t>of </w:t>
      </w:r>
      <w:r>
        <w:rPr>
          <w:color w:val="303030"/>
        </w:rPr>
        <w:t>the capstone,</w:t>
      </w:r>
      <w:r>
        <w:rPr>
          <w:color w:val="303030"/>
          <w:spacing w:val="3"/>
        </w:rPr>
        <w:t> </w:t>
      </w:r>
      <w:r>
        <w:rPr>
          <w:color w:val="303030"/>
        </w:rPr>
        <w:t>students</w:t>
      </w:r>
    </w:p>
    <w:p>
      <w:pPr>
        <w:pStyle w:val="BodyText"/>
        <w:spacing w:line="249" w:lineRule="auto" w:before="100"/>
        <w:ind w:right="621"/>
      </w:pPr>
      <w:r>
        <w:rPr/>
        <w:br w:type="column"/>
      </w:r>
      <w:r>
        <w:rPr>
          <w:color w:val="303030"/>
        </w:rPr>
        <w:t>must demonstrate their ability to develop and execute a work plan that leads to a social </w:t>
      </w:r>
      <w:r>
        <w:rPr>
          <w:color w:val="303030"/>
          <w:spacing w:val="-3"/>
        </w:rPr>
        <w:t>or </w:t>
      </w:r>
      <w:r>
        <w:rPr>
          <w:color w:val="303030"/>
        </w:rPr>
        <w:t>health innovation; iterate a </w:t>
      </w:r>
      <w:r>
        <w:rPr>
          <w:color w:val="303030"/>
          <w:spacing w:val="-3"/>
        </w:rPr>
        <w:t>project </w:t>
      </w:r>
      <w:r>
        <w:rPr>
          <w:color w:val="303030"/>
        </w:rPr>
        <w:t>sufficiently to have produced a resume-worthy accomplishment; build strong professional relationships with and draw upon the resources </w:t>
      </w:r>
      <w:r>
        <w:rPr>
          <w:color w:val="303030"/>
          <w:spacing w:val="-3"/>
        </w:rPr>
        <w:t>of </w:t>
      </w:r>
      <w:r>
        <w:rPr>
          <w:color w:val="303030"/>
        </w:rPr>
        <w:t>faculty, community practitioners and entrepreneurs, student colleagues, and external advisors. Students’ capstone projects should </w:t>
      </w:r>
      <w:r>
        <w:rPr>
          <w:color w:val="303030"/>
          <w:spacing w:val="-3"/>
        </w:rPr>
        <w:t>be </w:t>
      </w:r>
      <w:r>
        <w:rPr>
          <w:color w:val="303030"/>
        </w:rPr>
        <w:t>creative, have the potential to create positive change, </w:t>
      </w:r>
      <w:r>
        <w:rPr>
          <w:color w:val="303030"/>
          <w:spacing w:val="-3"/>
        </w:rPr>
        <w:t>be </w:t>
      </w:r>
      <w:r>
        <w:rPr>
          <w:color w:val="303030"/>
        </w:rPr>
        <w:t>innovative, and reflect students’ personal and professional identity. Capstone projects may </w:t>
      </w:r>
      <w:r>
        <w:rPr>
          <w:color w:val="303030"/>
          <w:spacing w:val="-3"/>
        </w:rPr>
        <w:t>be </w:t>
      </w:r>
      <w:r>
        <w:rPr>
          <w:color w:val="303030"/>
        </w:rPr>
        <w:t>solo efforts </w:t>
      </w:r>
      <w:r>
        <w:rPr>
          <w:color w:val="303030"/>
          <w:spacing w:val="-5"/>
        </w:rPr>
        <w:t>or </w:t>
      </w:r>
      <w:r>
        <w:rPr>
          <w:color w:val="303030"/>
        </w:rPr>
        <w:t>team endeavors, depending </w:t>
      </w:r>
      <w:r>
        <w:rPr>
          <w:color w:val="303030"/>
          <w:spacing w:val="-5"/>
        </w:rPr>
        <w:t>on </w:t>
      </w:r>
      <w:r>
        <w:rPr>
          <w:color w:val="303030"/>
        </w:rPr>
        <w:t>the nature </w:t>
      </w:r>
      <w:r>
        <w:rPr>
          <w:color w:val="303030"/>
          <w:spacing w:val="-3"/>
        </w:rPr>
        <w:t>of </w:t>
      </w:r>
      <w:r>
        <w:rPr>
          <w:color w:val="303030"/>
        </w:rPr>
        <w:t>the proposal. All students engaged in a capstone will meet periodically to both learn techniques that cut across the range </w:t>
      </w:r>
      <w:r>
        <w:rPr>
          <w:color w:val="303030"/>
          <w:spacing w:val="-3"/>
        </w:rPr>
        <w:t>of </w:t>
      </w:r>
      <w:r>
        <w:rPr>
          <w:color w:val="303030"/>
        </w:rPr>
        <w:t>projects undertaken that semester, and to advise, </w:t>
      </w:r>
      <w:r>
        <w:rPr>
          <w:color w:val="303030"/>
          <w:spacing w:val="-2"/>
        </w:rPr>
        <w:t>coach, </w:t>
      </w:r>
      <w:r>
        <w:rPr>
          <w:color w:val="303030"/>
        </w:rPr>
        <w:t>and support each other. </w:t>
      </w:r>
      <w:r>
        <w:rPr>
          <w:color w:val="303030"/>
          <w:spacing w:val="-3"/>
        </w:rPr>
        <w:t>Each </w:t>
      </w:r>
      <w:r>
        <w:rPr>
          <w:color w:val="303030"/>
        </w:rPr>
        <w:t>student </w:t>
      </w:r>
      <w:r>
        <w:rPr>
          <w:color w:val="303030"/>
          <w:spacing w:val="-5"/>
        </w:rPr>
        <w:t>or </w:t>
      </w:r>
      <w:r>
        <w:rPr>
          <w:color w:val="303030"/>
        </w:rPr>
        <w:t>team will conclude the </w:t>
      </w:r>
      <w:r>
        <w:rPr>
          <w:color w:val="303030"/>
          <w:spacing w:val="-3"/>
        </w:rPr>
        <w:t>project </w:t>
      </w:r>
      <w:r>
        <w:rPr>
          <w:color w:val="303030"/>
        </w:rPr>
        <w:t>by presenting it to an audience </w:t>
      </w:r>
      <w:r>
        <w:rPr>
          <w:color w:val="303030"/>
          <w:spacing w:val="-3"/>
        </w:rPr>
        <w:t>of </w:t>
      </w:r>
      <w:r>
        <w:rPr>
          <w:color w:val="303030"/>
        </w:rPr>
        <w:t>students, faculty, community-based entrepreneurs and partners. Because each student’s interests are different, their capstone projects may take different forms. They may create a new organization, build a prototype, </w:t>
      </w:r>
      <w:r>
        <w:rPr>
          <w:color w:val="303030"/>
          <w:spacing w:val="-3"/>
        </w:rPr>
        <w:t>or </w:t>
      </w:r>
      <w:r>
        <w:rPr>
          <w:color w:val="303030"/>
        </w:rPr>
        <w:t>apply a social </w:t>
      </w:r>
      <w:r>
        <w:rPr>
          <w:color w:val="303030"/>
          <w:spacing w:val="-3"/>
        </w:rPr>
        <w:t>or </w:t>
      </w:r>
      <w:r>
        <w:rPr>
          <w:color w:val="303030"/>
        </w:rPr>
        <w:t>health enterprise technique to an existing organization. Some students will work in the U.S., some abroad. The </w:t>
      </w:r>
      <w:r>
        <w:rPr>
          <w:color w:val="303030"/>
          <w:spacing w:val="-3"/>
        </w:rPr>
        <w:t>common </w:t>
      </w:r>
      <w:r>
        <w:rPr>
          <w:color w:val="303030"/>
        </w:rPr>
        <w:t>thread is that these are all hands-on efforts intended to result in doing something, in taking an action that leads to some form </w:t>
      </w:r>
      <w:r>
        <w:rPr>
          <w:color w:val="303030"/>
          <w:spacing w:val="-3"/>
        </w:rPr>
        <w:t>of </w:t>
      </w:r>
      <w:r>
        <w:rPr>
          <w:color w:val="303030"/>
        </w:rPr>
        <w:t>societal</w:t>
      </w:r>
      <w:r>
        <w:rPr>
          <w:color w:val="303030"/>
          <w:spacing w:val="6"/>
        </w:rPr>
        <w:t> </w:t>
      </w:r>
      <w:r>
        <w:rPr>
          <w:color w:val="303030"/>
        </w:rPr>
        <w:t>betterment.</w:t>
      </w:r>
    </w:p>
    <w:p>
      <w:pPr>
        <w:pStyle w:val="Heading6"/>
        <w:spacing w:line="249" w:lineRule="auto" w:before="140"/>
        <w:ind w:right="731"/>
      </w:pPr>
      <w:r>
        <w:rPr/>
        <w:t>INNO 801 - INTERCULTURAL COMMINICATION AND CONFLICT RESOLUTION (1)</w:t>
      </w:r>
    </w:p>
    <w:p>
      <w:pPr>
        <w:pStyle w:val="BodyText"/>
        <w:spacing w:line="249" w:lineRule="auto" w:before="179"/>
        <w:ind w:right="660"/>
      </w:pPr>
      <w:r>
        <w:rPr>
          <w:color w:val="303030"/>
        </w:rPr>
        <w:t>Intercultural Communication and Conflict Resolution is a growing area of importance in global health considering the pace and volume of global transactions. The ease of global communication using technology, the abundance of cheaper transportation costs, and the frequency</w:t>
      </w:r>
    </w:p>
    <w:p>
      <w:pPr>
        <w:pStyle w:val="BodyText"/>
        <w:spacing w:line="249" w:lineRule="auto" w:before="5"/>
        <w:ind w:right="627"/>
      </w:pPr>
      <w:r>
        <w:rPr>
          <w:color w:val="303030"/>
        </w:rPr>
        <w:t>of businesses using cross-border talent is fostering millions of interactions a day between people of different cultures. In this course, students will examine how the </w:t>
      </w:r>
      <w:r>
        <w:rPr>
          <w:color w:val="303030"/>
          <w:spacing w:val="-3"/>
        </w:rPr>
        <w:t>process </w:t>
      </w:r>
      <w:r>
        <w:rPr>
          <w:color w:val="303030"/>
        </w:rPr>
        <w:t>of communication </w:t>
      </w:r>
      <w:r>
        <w:rPr>
          <w:color w:val="303030"/>
          <w:spacing w:val="-3"/>
        </w:rPr>
        <w:t>can be </w:t>
      </w:r>
      <w:r>
        <w:rPr>
          <w:color w:val="303030"/>
        </w:rPr>
        <w:t>further complicated during interactions </w:t>
      </w:r>
      <w:r>
        <w:rPr>
          <w:color w:val="303030"/>
          <w:spacing w:val="-3"/>
        </w:rPr>
        <w:t>between </w:t>
      </w:r>
      <w:r>
        <w:rPr>
          <w:color w:val="303030"/>
        </w:rPr>
        <w:t>people </w:t>
      </w:r>
      <w:r>
        <w:rPr>
          <w:color w:val="303030"/>
          <w:spacing w:val="-3"/>
        </w:rPr>
        <w:t>of </w:t>
      </w:r>
      <w:r>
        <w:rPr>
          <w:color w:val="303030"/>
        </w:rPr>
        <w:t>different cultures. The topics of stereotypes, generalizations, communication styles, communication strategies, and communication orientations will </w:t>
      </w:r>
      <w:r>
        <w:rPr>
          <w:color w:val="303030"/>
          <w:spacing w:val="-3"/>
        </w:rPr>
        <w:t>be</w:t>
      </w:r>
      <w:r>
        <w:rPr>
          <w:color w:val="303030"/>
          <w:spacing w:val="-2"/>
        </w:rPr>
        <w:t> </w:t>
      </w:r>
      <w:r>
        <w:rPr>
          <w:color w:val="303030"/>
        </w:rPr>
        <w:t>explored.</w:t>
      </w:r>
    </w:p>
    <w:p>
      <w:pPr>
        <w:pStyle w:val="Heading6"/>
        <w:spacing w:line="249" w:lineRule="auto" w:before="126"/>
        <w:ind w:right="1253"/>
      </w:pPr>
      <w:r>
        <w:rPr/>
        <w:t>INNO 802 - GLOBAL HEALTH AND SOCIAL INNOVATION (2)</w:t>
      </w:r>
    </w:p>
    <w:p>
      <w:pPr>
        <w:pStyle w:val="BodyText"/>
        <w:spacing w:line="249" w:lineRule="auto" w:before="184"/>
        <w:ind w:right="651"/>
      </w:pPr>
      <w:r>
        <w:rPr>
          <w:color w:val="303030"/>
        </w:rPr>
        <w:t>There is a need to challenge the status quo in </w:t>
      </w:r>
      <w:r>
        <w:rPr>
          <w:color w:val="303030"/>
          <w:spacing w:val="-3"/>
        </w:rPr>
        <w:t>global </w:t>
      </w:r>
      <w:r>
        <w:rPr>
          <w:color w:val="303030"/>
        </w:rPr>
        <w:t>health theory and practice. </w:t>
      </w:r>
      <w:r>
        <w:rPr>
          <w:color w:val="303030"/>
          <w:spacing w:val="-3"/>
        </w:rPr>
        <w:t>In </w:t>
      </w:r>
      <w:r>
        <w:rPr>
          <w:color w:val="303030"/>
        </w:rPr>
        <w:t>a world in </w:t>
      </w:r>
      <w:r>
        <w:rPr>
          <w:color w:val="303030"/>
          <w:spacing w:val="-3"/>
        </w:rPr>
        <w:t>which </w:t>
      </w:r>
      <w:r>
        <w:rPr>
          <w:color w:val="303030"/>
        </w:rPr>
        <w:t>complex challenges are </w:t>
      </w:r>
      <w:r>
        <w:rPr>
          <w:color w:val="303030"/>
          <w:spacing w:val="-3"/>
        </w:rPr>
        <w:t>ever </w:t>
      </w:r>
      <w:r>
        <w:rPr>
          <w:color w:val="303030"/>
        </w:rPr>
        <w:t>emerging, there is a growing demand for new system-wide approaches. </w:t>
      </w:r>
      <w:r>
        <w:rPr>
          <w:color w:val="303030"/>
          <w:spacing w:val="-2"/>
        </w:rPr>
        <w:t>New </w:t>
      </w:r>
      <w:r>
        <w:rPr>
          <w:color w:val="303030"/>
        </w:rPr>
        <w:t>knowledge and technologies are a gateway of opportunities </w:t>
      </w:r>
      <w:r>
        <w:rPr>
          <w:color w:val="303030"/>
          <w:spacing w:val="-4"/>
        </w:rPr>
        <w:t>for </w:t>
      </w:r>
      <w:r>
        <w:rPr>
          <w:color w:val="303030"/>
        </w:rPr>
        <w:t>innovation. This course will introduce students to the concepts, </w:t>
      </w:r>
      <w:r>
        <w:rPr>
          <w:color w:val="303030"/>
          <w:spacing w:val="-3"/>
        </w:rPr>
        <w:t>theory, </w:t>
      </w:r>
      <w:r>
        <w:rPr>
          <w:color w:val="303030"/>
        </w:rPr>
        <w:t>and practice </w:t>
      </w:r>
      <w:r>
        <w:rPr>
          <w:color w:val="303030"/>
          <w:spacing w:val="-3"/>
        </w:rPr>
        <w:t>of </w:t>
      </w:r>
      <w:r>
        <w:rPr>
          <w:color w:val="303030"/>
        </w:rPr>
        <w:t>complexity science. It will allow students to approach </w:t>
      </w:r>
      <w:r>
        <w:rPr>
          <w:color w:val="303030"/>
          <w:spacing w:val="-3"/>
        </w:rPr>
        <w:t>global </w:t>
      </w:r>
      <w:r>
        <w:rPr>
          <w:color w:val="303030"/>
        </w:rPr>
        <w:t>health as a complex adaptive</w:t>
      </w:r>
      <w:r>
        <w:rPr>
          <w:color w:val="303030"/>
          <w:spacing w:val="-4"/>
        </w:rPr>
        <w:t> </w:t>
      </w:r>
      <w:r>
        <w:rPr>
          <w:color w:val="303030"/>
        </w:rPr>
        <w:t>system</w:t>
      </w:r>
    </w:p>
    <w:p>
      <w:pPr>
        <w:spacing w:after="0" w:line="249" w:lineRule="auto"/>
        <w:sectPr>
          <w:pgSz w:w="12240" w:h="15840"/>
          <w:pgMar w:header="746" w:footer="0" w:top="1320" w:bottom="280" w:left="880" w:right="300"/>
          <w:cols w:num="2" w:equalWidth="0">
            <w:col w:w="5002" w:space="484"/>
            <w:col w:w="5574"/>
          </w:cols>
        </w:sectPr>
      </w:pPr>
    </w:p>
    <w:p>
      <w:pPr>
        <w:pStyle w:val="BodyText"/>
        <w:spacing w:line="249" w:lineRule="auto" w:before="100"/>
        <w:ind w:right="26"/>
      </w:pPr>
      <w:r>
        <w:rPr>
          <w:color w:val="303030"/>
        </w:rPr>
        <w:t>and understand how this is useful to solve some of the most challenging issues faced by practitioners when trying to create lasting social change in an effective and ethical way.</w:t>
      </w:r>
    </w:p>
    <w:p>
      <w:pPr>
        <w:pStyle w:val="BodyText"/>
        <w:spacing w:line="249" w:lineRule="auto" w:before="181"/>
        <w:ind w:right="109"/>
      </w:pPr>
      <w:r>
        <w:rPr>
          <w:color w:val="303030"/>
        </w:rPr>
        <w:t>Students will learn to understand the nature </w:t>
      </w:r>
      <w:r>
        <w:rPr>
          <w:color w:val="303030"/>
          <w:spacing w:val="-3"/>
        </w:rPr>
        <w:t>of </w:t>
      </w:r>
      <w:r>
        <w:rPr>
          <w:color w:val="303030"/>
        </w:rPr>
        <w:t>complex global health issues and how can they better identify potential avenues to generate social innovations and system-level change. The lectures will </w:t>
      </w:r>
      <w:r>
        <w:rPr>
          <w:color w:val="303030"/>
          <w:spacing w:val="-3"/>
        </w:rPr>
        <w:t>be </w:t>
      </w:r>
      <w:r>
        <w:rPr>
          <w:color w:val="303030"/>
        </w:rPr>
        <w:t>co-facilitated by CISG staff and thought leaders and experts in a wide range </w:t>
      </w:r>
      <w:r>
        <w:rPr>
          <w:color w:val="303030"/>
          <w:spacing w:val="-3"/>
        </w:rPr>
        <w:t>of </w:t>
      </w:r>
      <w:r>
        <w:rPr>
          <w:color w:val="303030"/>
        </w:rPr>
        <w:t>fields, including economics, business, public health, social entrepreneurship, political </w:t>
      </w:r>
      <w:r>
        <w:rPr>
          <w:color w:val="303030"/>
          <w:spacing w:val="-3"/>
        </w:rPr>
        <w:t>economy, </w:t>
      </w:r>
      <w:r>
        <w:rPr>
          <w:color w:val="303030"/>
        </w:rPr>
        <w:t>human rights, ethics, gender, sustainability, and</w:t>
      </w:r>
      <w:r>
        <w:rPr>
          <w:color w:val="303030"/>
          <w:spacing w:val="3"/>
        </w:rPr>
        <w:t> </w:t>
      </w:r>
      <w:r>
        <w:rPr>
          <w:color w:val="303030"/>
        </w:rPr>
        <w:t>sociology.</w:t>
      </w:r>
    </w:p>
    <w:p>
      <w:pPr>
        <w:pStyle w:val="BodyText"/>
        <w:spacing w:line="249" w:lineRule="auto" w:before="189"/>
        <w:ind w:right="38"/>
      </w:pPr>
      <w:r>
        <w:rPr>
          <w:color w:val="303030"/>
        </w:rPr>
        <w:t>By participating in this course, students will acquire knowledge, practical tools, and experiences to approach global health through a “complexity lens,” learn about the challenges and opportunities for change agents and systems entrepreneurs in the field, and better prepare them to become global health leaders.</w:t>
      </w:r>
    </w:p>
    <w:p>
      <w:pPr>
        <w:pStyle w:val="Heading6"/>
        <w:spacing w:line="249" w:lineRule="auto" w:before="125"/>
        <w:ind w:right="291"/>
      </w:pPr>
      <w:r>
        <w:rPr/>
        <w:t>INNO 803 - HEALTH SYSTEMS: INNOVATIONS FOR UNIVERSAL HEALTH CARE (2)</w:t>
      </w:r>
    </w:p>
    <w:p>
      <w:pPr>
        <w:pStyle w:val="BodyText"/>
        <w:spacing w:line="249" w:lineRule="auto" w:before="179"/>
        <w:ind w:right="32"/>
      </w:pPr>
      <w:r>
        <w:rPr>
          <w:color w:val="303030"/>
        </w:rPr>
        <w:t>A detailed examination and understanding of modern health systems and their multi-layered structures is needed to achieve the goals set out by the United Nations’ Sustainable Development Goals (SDG) agenda. This course will provide students an introduction to health systems and how the historical, cultural, political and economic context impacts their funding, design and performance. The students will acquire the knowledge and skills to think critically on how health systems operate in middle and low-income countries and how to address the particular determinants of health of these settings.</w:t>
      </w:r>
    </w:p>
    <w:p>
      <w:pPr>
        <w:pStyle w:val="BodyText"/>
        <w:spacing w:line="249" w:lineRule="auto" w:before="191"/>
        <w:ind w:right="65"/>
      </w:pPr>
      <w:r>
        <w:rPr>
          <w:color w:val="303030"/>
        </w:rPr>
        <w:t>Special emphasis will be given to the case of Costa Rica and how it developed its social security system and one of the most effective primary health care systems in the world. Focus points will be on innovations for equity in health access, healthier communities through health promotion and the use of IT in health care. The students will participate in discussions with an interdisciplinary faculty and with policymakers involved in the design and development of the health system in Costa Rica.</w:t>
      </w:r>
    </w:p>
    <w:p>
      <w:pPr>
        <w:pStyle w:val="Heading6"/>
        <w:spacing w:line="249" w:lineRule="auto" w:before="128"/>
        <w:ind w:right="764"/>
      </w:pPr>
      <w:r>
        <w:rPr/>
        <w:t>INNO 804 - URBAN HEALTH AND SOCIAL INNOVATION LAB (2)</w:t>
      </w:r>
    </w:p>
    <w:p>
      <w:pPr>
        <w:pStyle w:val="BodyText"/>
        <w:spacing w:line="249" w:lineRule="auto" w:before="179"/>
        <w:ind w:right="77"/>
      </w:pPr>
      <w:r>
        <w:rPr>
          <w:color w:val="303030"/>
        </w:rPr>
        <w:t>The year 2009 marked the year in which, for the first time in the Earth's history, more people lived in urban settings than in rural settings. It is estimated that by 2050, two- thirds of the world’s population will live in an urban environment. This course brings an interdisciplinary approach to provide students the knowledge and skills to</w:t>
      </w:r>
    </w:p>
    <w:p>
      <w:pPr>
        <w:pStyle w:val="BodyText"/>
        <w:spacing w:line="249" w:lineRule="auto" w:before="100"/>
        <w:ind w:right="682"/>
      </w:pPr>
      <w:r>
        <w:rPr/>
        <w:br w:type="column"/>
      </w:r>
      <w:r>
        <w:rPr>
          <w:color w:val="303030"/>
        </w:rPr>
        <w:t>address the global health challenges in rapid urbanizing regions of middle and low-income countries. Urban areas present particular health risk factors and complex interactions of issues such as climate change, migration, infectious and chronic diseases, and mental health, which requires practitioners to develop cross-sector collaborations and innovative approaches to public policy.</w:t>
      </w:r>
    </w:p>
    <w:p>
      <w:pPr>
        <w:pStyle w:val="BodyText"/>
        <w:spacing w:line="249" w:lineRule="auto" w:before="183"/>
        <w:ind w:right="737"/>
      </w:pPr>
      <w:r>
        <w:rPr>
          <w:color w:val="303030"/>
        </w:rPr>
        <w:t>The course will allow students to understand how the social gradient affects populations in urban settings and how to develop health-related interventions that are sensible to the human rights, social and gender disparities in such environments.</w:t>
      </w:r>
    </w:p>
    <w:p>
      <w:pPr>
        <w:pStyle w:val="BodyText"/>
        <w:spacing w:line="249" w:lineRule="auto" w:before="187"/>
        <w:ind w:right="628"/>
      </w:pPr>
      <w:r>
        <w:rPr>
          <w:color w:val="303030"/>
        </w:rPr>
        <w:t>Students will have the opportunity to learn from representatives of local governments and non- governmental organizations on how projects to improve urban health indicators are designed, executed and evaluated.</w:t>
      </w:r>
    </w:p>
    <w:p>
      <w:pPr>
        <w:pStyle w:val="Heading6"/>
        <w:spacing w:line="249" w:lineRule="auto" w:before="124"/>
        <w:ind w:right="1252"/>
      </w:pPr>
      <w:r>
        <w:rPr/>
        <w:t>INNO 805 - GLOBAL HEALTH AND SOCIAL INNOVATION PRACTICUM (5)</w:t>
      </w:r>
    </w:p>
    <w:p>
      <w:pPr>
        <w:pStyle w:val="BodyText"/>
        <w:spacing w:line="249" w:lineRule="auto" w:before="179"/>
        <w:ind w:right="610"/>
      </w:pPr>
      <w:r>
        <w:rPr>
          <w:color w:val="303030"/>
        </w:rPr>
        <w:t>This course provides students the opportunity to integrate theory and practice to address real world challenges </w:t>
      </w:r>
      <w:r>
        <w:rPr>
          <w:color w:val="303030"/>
          <w:spacing w:val="-3"/>
        </w:rPr>
        <w:t>faced </w:t>
      </w:r>
      <w:r>
        <w:rPr>
          <w:color w:val="303030"/>
        </w:rPr>
        <w:t>by policymakers and communities looking to create lasting change in the global health area. It will provide students the possibility to engage and support public, private and non-governmental organizations to </w:t>
      </w:r>
      <w:r>
        <w:rPr>
          <w:color w:val="303030"/>
          <w:spacing w:val="-3"/>
        </w:rPr>
        <w:t>solve </w:t>
      </w:r>
      <w:r>
        <w:rPr>
          <w:color w:val="303030"/>
        </w:rPr>
        <w:t>complex issues related to global health in Costa Rica, a developing country with unique demographic, epidemiological and urbanization</w:t>
      </w:r>
      <w:r>
        <w:rPr>
          <w:color w:val="303030"/>
          <w:spacing w:val="6"/>
        </w:rPr>
        <w:t> </w:t>
      </w:r>
      <w:r>
        <w:rPr>
          <w:color w:val="303030"/>
        </w:rPr>
        <w:t>conditions.</w:t>
      </w:r>
    </w:p>
    <w:p>
      <w:pPr>
        <w:pStyle w:val="BodyText"/>
        <w:spacing w:line="249" w:lineRule="auto" w:before="190"/>
        <w:ind w:right="721"/>
      </w:pPr>
      <w:r>
        <w:rPr>
          <w:color w:val="303030"/>
        </w:rPr>
        <w:t>After completing their foundational course requirements, students will have their practicum experience either in the southern region </w:t>
      </w:r>
      <w:r>
        <w:rPr>
          <w:color w:val="303030"/>
          <w:spacing w:val="-3"/>
        </w:rPr>
        <w:t>of </w:t>
      </w:r>
      <w:r>
        <w:rPr>
          <w:color w:val="303030"/>
        </w:rPr>
        <w:t>Costa Rica </w:t>
      </w:r>
      <w:r>
        <w:rPr>
          <w:color w:val="303030"/>
          <w:spacing w:val="-3"/>
        </w:rPr>
        <w:t>or </w:t>
      </w:r>
      <w:r>
        <w:rPr>
          <w:color w:val="303030"/>
        </w:rPr>
        <w:t>in </w:t>
      </w:r>
      <w:r>
        <w:rPr>
          <w:color w:val="303030"/>
          <w:spacing w:val="-2"/>
        </w:rPr>
        <w:t>San </w:t>
      </w:r>
      <w:r>
        <w:rPr>
          <w:color w:val="303030"/>
          <w:spacing w:val="-3"/>
        </w:rPr>
        <w:t>José </w:t>
      </w:r>
      <w:r>
        <w:rPr>
          <w:color w:val="303030"/>
        </w:rPr>
        <w:t>and its vicinities. Students will </w:t>
      </w:r>
      <w:r>
        <w:rPr>
          <w:color w:val="303030"/>
          <w:spacing w:val="-3"/>
        </w:rPr>
        <w:t>be </w:t>
      </w:r>
      <w:r>
        <w:rPr>
          <w:color w:val="303030"/>
        </w:rPr>
        <w:t>partnered mainly with non- governmental organizations, although opportunities exist for partnerships </w:t>
      </w:r>
      <w:r>
        <w:rPr>
          <w:color w:val="303030"/>
          <w:spacing w:val="-3"/>
        </w:rPr>
        <w:t>with other </w:t>
      </w:r>
      <w:r>
        <w:rPr>
          <w:color w:val="303030"/>
        </w:rPr>
        <w:t>stakeholders, </w:t>
      </w:r>
      <w:r>
        <w:rPr>
          <w:color w:val="303030"/>
          <w:spacing w:val="-3"/>
        </w:rPr>
        <w:t>such </w:t>
      </w:r>
      <w:r>
        <w:rPr>
          <w:color w:val="303030"/>
        </w:rPr>
        <w:t>as government</w:t>
      </w:r>
      <w:r>
        <w:rPr>
          <w:color w:val="303030"/>
          <w:spacing w:val="-2"/>
        </w:rPr>
        <w:t> </w:t>
      </w:r>
      <w:r>
        <w:rPr>
          <w:color w:val="303030"/>
        </w:rPr>
        <w:t>institutions.</w:t>
      </w:r>
    </w:p>
    <w:p>
      <w:pPr>
        <w:pStyle w:val="BodyText"/>
        <w:spacing w:before="183"/>
      </w:pPr>
      <w:r>
        <w:rPr>
          <w:color w:val="303030"/>
        </w:rPr>
        <w:t>Potential partner organizations facilitated by CISG include:</w:t>
      </w:r>
    </w:p>
    <w:p>
      <w:pPr>
        <w:pStyle w:val="ListParagraph"/>
        <w:numPr>
          <w:ilvl w:val="0"/>
          <w:numId w:val="16"/>
        </w:numPr>
        <w:tabs>
          <w:tab w:pos="378" w:val="left" w:leader="none"/>
        </w:tabs>
        <w:spacing w:line="240" w:lineRule="auto" w:before="192" w:after="0"/>
        <w:ind w:left="377" w:right="0" w:hanging="177"/>
        <w:jc w:val="left"/>
        <w:rPr>
          <w:sz w:val="20"/>
        </w:rPr>
      </w:pPr>
      <w:r>
        <w:rPr>
          <w:color w:val="303030"/>
          <w:sz w:val="20"/>
        </w:rPr>
        <w:t>La Casona’s bicultural</w:t>
      </w:r>
      <w:r>
        <w:rPr>
          <w:color w:val="303030"/>
          <w:spacing w:val="-2"/>
          <w:sz w:val="20"/>
        </w:rPr>
        <w:t> </w:t>
      </w:r>
      <w:r>
        <w:rPr>
          <w:color w:val="303030"/>
          <w:sz w:val="20"/>
        </w:rPr>
        <w:t>clinic</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pacing w:val="-3"/>
          <w:sz w:val="20"/>
        </w:rPr>
        <w:t>Houses </w:t>
      </w:r>
      <w:r>
        <w:rPr>
          <w:color w:val="303030"/>
          <w:sz w:val="20"/>
        </w:rPr>
        <w:t>of</w:t>
      </w:r>
      <w:r>
        <w:rPr>
          <w:color w:val="303030"/>
          <w:spacing w:val="2"/>
          <w:sz w:val="20"/>
        </w:rPr>
        <w:t> </w:t>
      </w:r>
      <w:r>
        <w:rPr>
          <w:color w:val="303030"/>
          <w:sz w:val="20"/>
        </w:rPr>
        <w:t>Joy</w:t>
      </w:r>
    </w:p>
    <w:p>
      <w:pPr>
        <w:pStyle w:val="ListParagraph"/>
        <w:numPr>
          <w:ilvl w:val="0"/>
          <w:numId w:val="16"/>
        </w:numPr>
        <w:tabs>
          <w:tab w:pos="378" w:val="left" w:leader="none"/>
        </w:tabs>
        <w:spacing w:line="240" w:lineRule="auto" w:before="11" w:after="0"/>
        <w:ind w:left="377" w:right="0" w:hanging="177"/>
        <w:jc w:val="left"/>
        <w:rPr>
          <w:sz w:val="20"/>
        </w:rPr>
      </w:pPr>
      <w:r>
        <w:rPr>
          <w:color w:val="303030"/>
          <w:sz w:val="20"/>
        </w:rPr>
        <w:t>Rio Sereno Border</w:t>
      </w:r>
      <w:r>
        <w:rPr>
          <w:color w:val="303030"/>
          <w:spacing w:val="-5"/>
          <w:sz w:val="20"/>
        </w:rPr>
        <w:t> </w:t>
      </w:r>
      <w:r>
        <w:rPr>
          <w:color w:val="303030"/>
          <w:sz w:val="20"/>
        </w:rPr>
        <w:t>Crossing</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z w:val="20"/>
        </w:rPr>
        <w:t>Hands </w:t>
      </w:r>
      <w:r>
        <w:rPr>
          <w:color w:val="303030"/>
          <w:spacing w:val="-4"/>
          <w:sz w:val="20"/>
        </w:rPr>
        <w:t>for </w:t>
      </w:r>
      <w:r>
        <w:rPr>
          <w:color w:val="303030"/>
          <w:spacing w:val="-3"/>
          <w:sz w:val="20"/>
        </w:rPr>
        <w:t>Health </w:t>
      </w:r>
      <w:r>
        <w:rPr>
          <w:color w:val="303030"/>
          <w:sz w:val="20"/>
        </w:rPr>
        <w:t>Oral </w:t>
      </w:r>
      <w:r>
        <w:rPr>
          <w:color w:val="303030"/>
          <w:spacing w:val="-3"/>
          <w:sz w:val="20"/>
        </w:rPr>
        <w:t>Health </w:t>
      </w:r>
      <w:r>
        <w:rPr>
          <w:color w:val="303030"/>
          <w:sz w:val="20"/>
        </w:rPr>
        <w:t>Protection</w:t>
      </w:r>
      <w:r>
        <w:rPr>
          <w:color w:val="303030"/>
          <w:spacing w:val="28"/>
          <w:sz w:val="20"/>
        </w:rPr>
        <w:t> </w:t>
      </w:r>
      <w:r>
        <w:rPr>
          <w:color w:val="303030"/>
          <w:sz w:val="20"/>
        </w:rPr>
        <w:t>Program</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z w:val="20"/>
        </w:rPr>
        <w:t>ASCONA National and Environmental</w:t>
      </w:r>
      <w:r>
        <w:rPr>
          <w:color w:val="303030"/>
          <w:spacing w:val="-6"/>
          <w:sz w:val="20"/>
        </w:rPr>
        <w:t> </w:t>
      </w:r>
      <w:r>
        <w:rPr>
          <w:color w:val="303030"/>
          <w:sz w:val="20"/>
        </w:rPr>
        <w:t>Service</w:t>
      </w:r>
    </w:p>
    <w:p>
      <w:pPr>
        <w:pStyle w:val="BodyText"/>
        <w:spacing w:before="10"/>
      </w:pPr>
      <w:r>
        <w:rPr>
          <w:color w:val="303030"/>
        </w:rPr>
        <w:t>Association</w:t>
      </w:r>
    </w:p>
    <w:p>
      <w:pPr>
        <w:pStyle w:val="ListParagraph"/>
        <w:numPr>
          <w:ilvl w:val="0"/>
          <w:numId w:val="16"/>
        </w:numPr>
        <w:tabs>
          <w:tab w:pos="373" w:val="left" w:leader="none"/>
        </w:tabs>
        <w:spacing w:line="240" w:lineRule="auto" w:before="10" w:after="0"/>
        <w:ind w:left="372" w:right="0" w:hanging="172"/>
        <w:jc w:val="left"/>
        <w:rPr>
          <w:sz w:val="20"/>
        </w:rPr>
      </w:pPr>
      <w:r>
        <w:rPr>
          <w:color w:val="303030"/>
          <w:sz w:val="20"/>
        </w:rPr>
        <w:t>Comprehensive development association </w:t>
      </w:r>
      <w:r>
        <w:rPr>
          <w:color w:val="303030"/>
          <w:spacing w:val="-3"/>
          <w:sz w:val="20"/>
        </w:rPr>
        <w:t>of </w:t>
      </w:r>
      <w:r>
        <w:rPr>
          <w:color w:val="303030"/>
          <w:sz w:val="20"/>
        </w:rPr>
        <w:t>Rincon</w:t>
      </w:r>
      <w:r>
        <w:rPr>
          <w:color w:val="303030"/>
          <w:spacing w:val="3"/>
          <w:sz w:val="20"/>
        </w:rPr>
        <w:t> </w:t>
      </w:r>
      <w:r>
        <w:rPr>
          <w:color w:val="303030"/>
          <w:sz w:val="20"/>
        </w:rPr>
        <w:t>de</w:t>
      </w:r>
    </w:p>
    <w:p>
      <w:pPr>
        <w:pStyle w:val="BodyText"/>
        <w:spacing w:before="10"/>
      </w:pPr>
      <w:r>
        <w:rPr>
          <w:color w:val="303030"/>
        </w:rPr>
        <w:t>Osa and Playa Blanca</w:t>
      </w:r>
    </w:p>
    <w:p>
      <w:pPr>
        <w:pStyle w:val="ListParagraph"/>
        <w:numPr>
          <w:ilvl w:val="0"/>
          <w:numId w:val="16"/>
        </w:numPr>
        <w:tabs>
          <w:tab w:pos="373" w:val="left" w:leader="none"/>
        </w:tabs>
        <w:spacing w:line="240" w:lineRule="auto" w:before="10" w:after="0"/>
        <w:ind w:left="372" w:right="0" w:hanging="172"/>
        <w:jc w:val="left"/>
        <w:rPr>
          <w:sz w:val="20"/>
        </w:rPr>
      </w:pPr>
      <w:r>
        <w:rPr>
          <w:color w:val="303030"/>
          <w:sz w:val="20"/>
        </w:rPr>
        <w:t>Comprehensive development association </w:t>
      </w:r>
      <w:r>
        <w:rPr>
          <w:color w:val="303030"/>
          <w:spacing w:val="-3"/>
          <w:sz w:val="20"/>
        </w:rPr>
        <w:t>of Dos</w:t>
      </w:r>
      <w:r>
        <w:rPr>
          <w:color w:val="303030"/>
          <w:spacing w:val="2"/>
          <w:sz w:val="20"/>
        </w:rPr>
        <w:t> </w:t>
      </w:r>
      <w:r>
        <w:rPr>
          <w:color w:val="303030"/>
          <w:sz w:val="20"/>
        </w:rPr>
        <w:t>Brazos</w:t>
      </w:r>
    </w:p>
    <w:p>
      <w:pPr>
        <w:pStyle w:val="BodyText"/>
        <w:spacing w:before="10"/>
      </w:pPr>
      <w:r>
        <w:rPr>
          <w:color w:val="303030"/>
        </w:rPr>
        <w:t>de Rio Tigre</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z w:val="20"/>
        </w:rPr>
        <w:t>Las Cruces Biological</w:t>
      </w:r>
      <w:r>
        <w:rPr>
          <w:color w:val="303030"/>
          <w:spacing w:val="-1"/>
          <w:sz w:val="20"/>
        </w:rPr>
        <w:t> </w:t>
      </w:r>
      <w:r>
        <w:rPr>
          <w:color w:val="303030"/>
          <w:sz w:val="20"/>
        </w:rPr>
        <w:t>Station</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z w:val="20"/>
        </w:rPr>
        <w:t>Municipality of</w:t>
      </w:r>
      <w:r>
        <w:rPr>
          <w:color w:val="303030"/>
          <w:spacing w:val="-10"/>
          <w:sz w:val="20"/>
        </w:rPr>
        <w:t> </w:t>
      </w:r>
      <w:r>
        <w:rPr>
          <w:color w:val="303030"/>
          <w:sz w:val="20"/>
        </w:rPr>
        <w:t>Curridabat</w:t>
      </w:r>
    </w:p>
    <w:p>
      <w:pPr>
        <w:spacing w:after="0" w:line="240" w:lineRule="auto"/>
        <w:jc w:val="left"/>
        <w:rPr>
          <w:sz w:val="20"/>
        </w:rPr>
        <w:sectPr>
          <w:pgSz w:w="12240" w:h="15840"/>
          <w:pgMar w:header="746" w:footer="0" w:top="1320" w:bottom="280" w:left="880" w:right="300"/>
          <w:cols w:num="2" w:equalWidth="0">
            <w:col w:w="4940" w:space="547"/>
            <w:col w:w="5573"/>
          </w:cols>
        </w:sectPr>
      </w:pPr>
    </w:p>
    <w:p>
      <w:pPr>
        <w:pStyle w:val="ListParagraph"/>
        <w:numPr>
          <w:ilvl w:val="0"/>
          <w:numId w:val="16"/>
        </w:numPr>
        <w:tabs>
          <w:tab w:pos="373" w:val="left" w:leader="none"/>
        </w:tabs>
        <w:spacing w:line="240" w:lineRule="auto" w:before="100" w:after="0"/>
        <w:ind w:left="372" w:right="0" w:hanging="172"/>
        <w:jc w:val="left"/>
        <w:rPr>
          <w:sz w:val="20"/>
        </w:rPr>
      </w:pPr>
      <w:r>
        <w:rPr>
          <w:color w:val="303030"/>
          <w:sz w:val="20"/>
        </w:rPr>
        <w:t>Instituto Mixto de </w:t>
      </w:r>
      <w:r>
        <w:rPr>
          <w:color w:val="303030"/>
          <w:spacing w:val="-3"/>
          <w:sz w:val="20"/>
        </w:rPr>
        <w:t>Ayuda </w:t>
      </w:r>
      <w:r>
        <w:rPr>
          <w:color w:val="303030"/>
          <w:sz w:val="20"/>
        </w:rPr>
        <w:t>Social</w:t>
      </w:r>
      <w:r>
        <w:rPr>
          <w:color w:val="303030"/>
          <w:spacing w:val="5"/>
          <w:sz w:val="20"/>
        </w:rPr>
        <w:t> </w:t>
      </w:r>
      <w:r>
        <w:rPr>
          <w:color w:val="303030"/>
          <w:sz w:val="20"/>
        </w:rPr>
        <w:t>(IMAS)Ca</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z w:val="20"/>
        </w:rPr>
        <w:t>Municipalidad de Coto</w:t>
      </w:r>
      <w:r>
        <w:rPr>
          <w:color w:val="303030"/>
          <w:spacing w:val="-13"/>
          <w:sz w:val="20"/>
        </w:rPr>
        <w:t> </w:t>
      </w:r>
      <w:r>
        <w:rPr>
          <w:color w:val="303030"/>
          <w:sz w:val="20"/>
        </w:rPr>
        <w:t>Brus</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z w:val="20"/>
        </w:rPr>
        <w:t>Patronato Nacional de la</w:t>
      </w:r>
      <w:r>
        <w:rPr>
          <w:color w:val="303030"/>
          <w:spacing w:val="-3"/>
          <w:sz w:val="20"/>
        </w:rPr>
        <w:t> </w:t>
      </w:r>
      <w:r>
        <w:rPr>
          <w:color w:val="303030"/>
          <w:sz w:val="20"/>
        </w:rPr>
        <w:t>Infancia</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pacing w:val="-3"/>
          <w:sz w:val="20"/>
        </w:rPr>
        <w:t>Seprojoven</w:t>
      </w:r>
    </w:p>
    <w:p>
      <w:pPr>
        <w:pStyle w:val="ListParagraph"/>
        <w:numPr>
          <w:ilvl w:val="0"/>
          <w:numId w:val="16"/>
        </w:numPr>
        <w:tabs>
          <w:tab w:pos="373" w:val="left" w:leader="none"/>
        </w:tabs>
        <w:spacing w:line="240" w:lineRule="auto" w:before="10" w:after="0"/>
        <w:ind w:left="372" w:right="0" w:hanging="172"/>
        <w:jc w:val="left"/>
        <w:rPr>
          <w:sz w:val="20"/>
        </w:rPr>
      </w:pPr>
      <w:r>
        <w:rPr>
          <w:color w:val="303030"/>
          <w:sz w:val="20"/>
        </w:rPr>
        <w:t>Cen-Cinai</w:t>
      </w:r>
    </w:p>
    <w:p>
      <w:pPr>
        <w:pStyle w:val="ListParagraph"/>
        <w:numPr>
          <w:ilvl w:val="0"/>
          <w:numId w:val="16"/>
        </w:numPr>
        <w:tabs>
          <w:tab w:pos="378" w:val="left" w:leader="none"/>
        </w:tabs>
        <w:spacing w:line="240" w:lineRule="auto" w:before="10" w:after="0"/>
        <w:ind w:left="377" w:right="0" w:hanging="177"/>
        <w:jc w:val="left"/>
        <w:rPr>
          <w:sz w:val="20"/>
        </w:rPr>
      </w:pPr>
      <w:r>
        <w:rPr>
          <w:color w:val="303030"/>
          <w:spacing w:val="-3"/>
          <w:sz w:val="20"/>
        </w:rPr>
        <w:t>Hogar </w:t>
      </w:r>
      <w:r>
        <w:rPr>
          <w:color w:val="303030"/>
          <w:sz w:val="20"/>
        </w:rPr>
        <w:t>de</w:t>
      </w:r>
      <w:r>
        <w:rPr>
          <w:color w:val="303030"/>
          <w:spacing w:val="4"/>
          <w:sz w:val="20"/>
        </w:rPr>
        <w:t> </w:t>
      </w:r>
      <w:r>
        <w:rPr>
          <w:color w:val="303030"/>
          <w:sz w:val="20"/>
        </w:rPr>
        <w:t>Ancianos</w:t>
      </w:r>
    </w:p>
    <w:p>
      <w:pPr>
        <w:pStyle w:val="BodyText"/>
        <w:spacing w:line="249" w:lineRule="auto" w:before="187"/>
        <w:ind w:right="52"/>
      </w:pPr>
      <w:r>
        <w:rPr>
          <w:color w:val="303030"/>
        </w:rPr>
        <w:t>The student’s practicum will </w:t>
      </w:r>
      <w:r>
        <w:rPr>
          <w:color w:val="303030"/>
          <w:spacing w:val="-3"/>
        </w:rPr>
        <w:t>be </w:t>
      </w:r>
      <w:r>
        <w:rPr>
          <w:color w:val="303030"/>
        </w:rPr>
        <w:t>based </w:t>
      </w:r>
      <w:r>
        <w:rPr>
          <w:color w:val="303030"/>
          <w:spacing w:val="-3"/>
        </w:rPr>
        <w:t>on </w:t>
      </w:r>
      <w:r>
        <w:rPr>
          <w:color w:val="303030"/>
        </w:rPr>
        <w:t>the student’s specific interest expressed during the initial didactic portion </w:t>
      </w:r>
      <w:r>
        <w:rPr>
          <w:color w:val="303030"/>
          <w:spacing w:val="-3"/>
        </w:rPr>
        <w:t>of </w:t>
      </w:r>
      <w:r>
        <w:rPr>
          <w:color w:val="303030"/>
        </w:rPr>
        <w:t>the certificate. During the practicum, students will conduct a case study to evaluate the innovative work of the organization (or a specific component/initiative of the organization), the process that led to the innovation, the iteration </w:t>
      </w:r>
      <w:r>
        <w:rPr>
          <w:color w:val="303030"/>
          <w:spacing w:val="-3"/>
        </w:rPr>
        <w:t>cycles </w:t>
      </w:r>
      <w:r>
        <w:rPr>
          <w:color w:val="303030"/>
        </w:rPr>
        <w:t>to reach impact, and the product/initiative’s sustainability.</w:t>
      </w:r>
    </w:p>
    <w:p>
      <w:pPr>
        <w:pStyle w:val="Heading2"/>
        <w:spacing w:before="193"/>
      </w:pPr>
      <w:bookmarkStart w:name="MANA" w:id="119"/>
      <w:bookmarkEnd w:id="119"/>
      <w:r>
        <w:rPr/>
      </w:r>
      <w:bookmarkStart w:name="_bookmark59" w:id="120"/>
      <w:bookmarkEnd w:id="120"/>
      <w:r>
        <w:rPr/>
      </w:r>
      <w:r>
        <w:rPr/>
        <w:t>MANA</w:t>
      </w:r>
    </w:p>
    <w:p>
      <w:pPr>
        <w:pStyle w:val="Heading6"/>
        <w:spacing w:line="249" w:lineRule="auto" w:before="128"/>
        <w:ind w:right="206"/>
      </w:pPr>
      <w:r>
        <w:rPr/>
        <w:t>MANA 601 - STRUCTURE AND DEVELOPMENT (ANATOMY, HISTOLOGY, AND EMBRYOLOGY) (9)</w:t>
      </w:r>
    </w:p>
    <w:p>
      <w:pPr>
        <w:pStyle w:val="BodyText"/>
        <w:spacing w:line="249" w:lineRule="auto" w:before="184"/>
        <w:ind w:right="25"/>
      </w:pPr>
      <w:r>
        <w:rPr/>
        <w:t>The purpose of this course is to provide the student with a comprehensive understanding of the human body at both the gross anatomical and microanatomical levels. The basic concepts of structure as related to function are described in lectures and small group laboratory sessions. Laboratory facilities are provided for cadaver dissection and the examination of histological slides. The course includes instruction in embryology, which is taught in an integrated fashion. Offered Fall semesters only.</w:t>
      </w:r>
    </w:p>
    <w:p>
      <w:pPr>
        <w:pStyle w:val="Heading2"/>
        <w:spacing w:before="189"/>
      </w:pPr>
      <w:bookmarkStart w:name="MCST -" w:id="121"/>
      <w:bookmarkEnd w:id="121"/>
      <w:r>
        <w:rPr/>
      </w:r>
      <w:bookmarkStart w:name="_bookmark60" w:id="122"/>
      <w:bookmarkEnd w:id="122"/>
      <w:r>
        <w:rPr/>
      </w:r>
      <w:r>
        <w:rPr/>
        <w:t>MCST -</w:t>
      </w:r>
    </w:p>
    <w:p>
      <w:pPr>
        <w:pStyle w:val="Heading6"/>
        <w:spacing w:line="249" w:lineRule="auto" w:before="128"/>
        <w:ind w:right="50" w:hanging="1"/>
      </w:pPr>
      <w:r>
        <w:rPr/>
        <w:t>MCST 601 - INTRODUCTION TO MEDICAL CANNABIS HISTORY, CULTURE, AND POLICY (3)</w:t>
      </w:r>
    </w:p>
    <w:p>
      <w:pPr>
        <w:pStyle w:val="BodyText"/>
        <w:spacing w:line="249" w:lineRule="auto" w:before="184"/>
        <w:ind w:right="41"/>
      </w:pPr>
      <w:r>
        <w:rPr>
          <w:color w:val="2D2D2D"/>
        </w:rPr>
        <w:t>In this introductory course, participants will learn about the cultural history of medical cannabis use, explore how federal law and policy relating to medical and non-medical use of cannabis has evolved in the United States, and discuss ethical issues related to medical cannabis.</w:t>
      </w:r>
    </w:p>
    <w:p>
      <w:pPr>
        <w:pStyle w:val="BodyText"/>
        <w:spacing w:line="249" w:lineRule="auto" w:before="3"/>
        <w:ind w:right="246"/>
      </w:pPr>
      <w:r>
        <w:rPr>
          <w:color w:val="2D2D2D"/>
        </w:rPr>
        <w:t>Additionally, students will learn how to identify credible sources of information related to medical cannabis, and educate patients and other professionals.</w:t>
      </w:r>
    </w:p>
    <w:p>
      <w:pPr>
        <w:pStyle w:val="Heading6"/>
        <w:spacing w:line="249" w:lineRule="auto" w:before="123"/>
        <w:ind w:hanging="1"/>
      </w:pPr>
      <w:r>
        <w:rPr/>
        <w:t>MCST 602 - PRINCIPLES OF DRUG ACTION AND CANNABINOID PHARMACOLOGY (3)</w:t>
      </w:r>
    </w:p>
    <w:p>
      <w:pPr>
        <w:pStyle w:val="BodyText"/>
        <w:spacing w:line="249" w:lineRule="auto" w:before="179"/>
        <w:ind w:right="47"/>
      </w:pPr>
      <w:r>
        <w:rPr>
          <w:color w:val="2D2D2D"/>
        </w:rPr>
        <w:t>This course introduces students to the factors influencing drug action in the body. Students will learn about receptor theory, pharmacokinetics, pharmacodynamics, dose- response relationships, and drug tolerance and dependence. This course will develop participants’ skills to evaluate cannabis (and its components) from a mechanistic and</w:t>
      </w:r>
    </w:p>
    <w:p>
      <w:pPr>
        <w:pStyle w:val="BodyText"/>
        <w:spacing w:line="249" w:lineRule="auto" w:before="98"/>
        <w:ind w:right="1166"/>
        <w:jc w:val="both"/>
      </w:pPr>
      <w:r>
        <w:rPr/>
        <w:br w:type="column"/>
      </w:r>
      <w:r>
        <w:rPr>
          <w:color w:val="2D2D2D"/>
        </w:rPr>
        <w:t>pharmacologic perspective with the ultimate goal </w:t>
      </w:r>
      <w:r>
        <w:rPr>
          <w:color w:val="2D2D2D"/>
          <w:spacing w:val="-5"/>
        </w:rPr>
        <w:t>of </w:t>
      </w:r>
      <w:r>
        <w:rPr>
          <w:color w:val="2D2D2D"/>
        </w:rPr>
        <w:t>providing the most appropriate cannabis regimen </w:t>
      </w:r>
      <w:r>
        <w:rPr>
          <w:color w:val="2D2D2D"/>
          <w:spacing w:val="-4"/>
        </w:rPr>
        <w:t>for </w:t>
      </w:r>
      <w:r>
        <w:rPr>
          <w:color w:val="2D2D2D"/>
        </w:rPr>
        <w:t>individual patients.</w:t>
      </w:r>
    </w:p>
    <w:p>
      <w:pPr>
        <w:pStyle w:val="Heading6"/>
        <w:spacing w:line="249" w:lineRule="auto" w:before="123"/>
        <w:ind w:right="807"/>
      </w:pPr>
      <w:r>
        <w:rPr/>
        <w:t>MCST 603 - BASIC CANNABINOID CHEMISTRY AND DRUG DELIVERY (3)</w:t>
      </w:r>
    </w:p>
    <w:p>
      <w:pPr>
        <w:pStyle w:val="BodyText"/>
        <w:spacing w:line="249" w:lineRule="auto" w:before="179"/>
        <w:ind w:right="660"/>
      </w:pPr>
      <w:r>
        <w:rPr>
          <w:color w:val="2D2D2D"/>
        </w:rPr>
        <w:t>This course introduces students to the chemical characteristics of cannabis components. The course will describe the classification system for cannabinoids, cannabinoid compound ratios in plant materials, cannabis- derived products and their constituents, oils, terpenoids, flavenoids, hydrocarbons and nitrogen containing compounds. This course also introduces students to the science of designing dosage forms. Topics include the formulation, development, evaluation, selection and administration of safe, effective, reliable, drug delivery systems, with a focus on development of medical cannabis products. The wide variety of cannabis delivery systems and routes of delivery and the impact of those delivery systems have on the bioavailability of cannabis will be evaluated in this course.</w:t>
      </w:r>
    </w:p>
    <w:p>
      <w:pPr>
        <w:pStyle w:val="Heading6"/>
        <w:spacing w:line="249" w:lineRule="auto" w:before="131"/>
        <w:ind w:right="807" w:hanging="1"/>
      </w:pPr>
      <w:r>
        <w:rPr/>
        <w:t>MCST 604 - THE CLINICAL EFFECTS OF MEDICAL CANNABIS (3)</w:t>
      </w:r>
    </w:p>
    <w:p>
      <w:pPr>
        <w:pStyle w:val="BodyText"/>
        <w:spacing w:line="249" w:lineRule="auto" w:before="184"/>
        <w:ind w:right="638"/>
      </w:pPr>
      <w:r>
        <w:rPr>
          <w:color w:val="2D2D2D"/>
        </w:rPr>
        <w:t>This introductory course provides an overview of patient care skills, including communication and documentation. The course also introduces students to the most common uses of medical cannabis, including pain, nausea/vomiting, and anxiety disorders. Students will learn how to assess these conditions and determine when medical cannabis could be a therapeutic option. Side effects, drug interactions, and precautions are also discussed.</w:t>
      </w:r>
    </w:p>
    <w:p>
      <w:pPr>
        <w:pStyle w:val="Heading6"/>
        <w:spacing w:line="249" w:lineRule="auto" w:before="126"/>
        <w:ind w:right="807" w:hanging="1"/>
      </w:pPr>
      <w:r>
        <w:rPr/>
        <w:t>MCST 605 - ADVANCED CANNABIS THERAPEUTICS I (3)</w:t>
      </w:r>
    </w:p>
    <w:p>
      <w:pPr>
        <w:pStyle w:val="BodyText"/>
        <w:spacing w:line="249" w:lineRule="auto" w:before="179"/>
        <w:ind w:right="732"/>
      </w:pPr>
      <w:r>
        <w:rPr>
          <w:color w:val="2D2D2D"/>
        </w:rPr>
        <w:t>In this advanced level course, students will learn in-depth about the physiology, pathophysiology, and treatment strategies of selected conditions, including pain, muscle spasm, nausea/vomiting, and anorexia/cachexia. Students will evaluate available evidence, complete case studies, and explore dosing strategies and formulations. Side effects, drug interactions, and precautions are also discussed. (Pre-requisite: MCST 604 – Clinical Effects of Cannabis).</w:t>
      </w:r>
    </w:p>
    <w:p>
      <w:pPr>
        <w:pStyle w:val="Heading6"/>
        <w:spacing w:line="249" w:lineRule="auto" w:before="126"/>
        <w:ind w:right="2020"/>
      </w:pPr>
      <w:r>
        <w:rPr/>
        <w:t>MCST 606 - ADVANCED CANNABIS THERAPEUTICS II (3)</w:t>
      </w:r>
    </w:p>
    <w:p>
      <w:pPr>
        <w:pStyle w:val="BodyText"/>
        <w:spacing w:line="249" w:lineRule="auto" w:before="184"/>
        <w:ind w:right="937"/>
      </w:pPr>
      <w:r>
        <w:rPr/>
        <w:t>In this course, students learn about the physiology, pathophysiology, and treatment strategies of selected conditions including epilepsy, sleep disorders, anxiety, post-traumatic stress disorder, and others. Students will evaluate available evidence, complete case studies, and</w:t>
      </w:r>
    </w:p>
    <w:p>
      <w:pPr>
        <w:spacing w:after="0" w:line="249" w:lineRule="auto"/>
        <w:sectPr>
          <w:headerReference w:type="default" r:id="rId94"/>
          <w:headerReference w:type="even" r:id="rId95"/>
          <w:pgSz w:w="12240" w:h="15840"/>
          <w:pgMar w:header="746" w:footer="0" w:top="1320" w:bottom="280" w:left="880" w:right="300"/>
          <w:cols w:num="2" w:equalWidth="0">
            <w:col w:w="5010" w:space="476"/>
            <w:col w:w="5574"/>
          </w:cols>
        </w:sectPr>
      </w:pPr>
    </w:p>
    <w:p>
      <w:pPr>
        <w:pStyle w:val="BodyText"/>
        <w:spacing w:line="249" w:lineRule="auto" w:before="100"/>
        <w:ind w:right="127"/>
      </w:pPr>
      <w:r>
        <w:rPr/>
        <w:t>explore dosing strategies and formulations. Side effects, drug interactions, and precautions are also discussed. Pre- requisite: MCST 604.</w:t>
      </w:r>
    </w:p>
    <w:p>
      <w:pPr>
        <w:pStyle w:val="BodyText"/>
        <w:spacing w:before="180"/>
      </w:pPr>
      <w:r>
        <w:rPr/>
        <w:t>Offered: 202009.</w:t>
      </w:r>
    </w:p>
    <w:p>
      <w:pPr>
        <w:pStyle w:val="Heading6"/>
        <w:spacing w:line="249" w:lineRule="auto"/>
        <w:ind w:right="248"/>
      </w:pPr>
      <w:r>
        <w:rPr/>
        <w:t>MCST 607 - NEGATIVE EFFECTS OF CANNABIS (3)</w:t>
      </w:r>
    </w:p>
    <w:p>
      <w:pPr>
        <w:pStyle w:val="BodyText"/>
        <w:spacing w:line="249" w:lineRule="auto" w:before="183"/>
        <w:ind w:right="70"/>
      </w:pPr>
      <w:r>
        <w:rPr/>
        <w:t>In this course, students explore the consequences of cannabis use including adverse effects and misuse or addiction. Students will evaluate available evidence, analyze case studies, and participate in group discussions. This course explores the effects of cannabis on populations, including effects on the workplace, public spaces, impaired driving, adolescent use, and unintentional poisoning, among others.</w:t>
      </w:r>
    </w:p>
    <w:p>
      <w:pPr>
        <w:pStyle w:val="BodyText"/>
        <w:spacing w:before="184"/>
      </w:pPr>
      <w:r>
        <w:rPr/>
        <w:t>Offered: 202009.</w:t>
      </w:r>
    </w:p>
    <w:p>
      <w:pPr>
        <w:pStyle w:val="Heading6"/>
        <w:spacing w:line="249" w:lineRule="auto"/>
        <w:ind w:right="127" w:hanging="1"/>
      </w:pPr>
      <w:r>
        <w:rPr/>
        <w:t>MCST 608 - CANNABIS GENOMICS AND PHARMACOGNOSY (3)</w:t>
      </w:r>
    </w:p>
    <w:p>
      <w:pPr>
        <w:pStyle w:val="BodyText"/>
        <w:spacing w:line="249" w:lineRule="auto" w:before="184"/>
        <w:ind w:right="38"/>
      </w:pPr>
      <w:r>
        <w:rPr>
          <w:color w:val="2D2D2D"/>
        </w:rPr>
        <w:t>This course introduces students to the components of the cannabis plant and the resultant biosynthetic pathways that form active and inactive agents. Students will learn the genetic basis for the differences in components between different strains and the subsequent impact on medicinal efficacy, as well as the role that plant components have on the entourage effect. (Pre-requisite: MCST 602 - Principles of Drug Action and Cannabinoid Pharmacology).</w:t>
      </w:r>
    </w:p>
    <w:p>
      <w:pPr>
        <w:pStyle w:val="Heading6"/>
        <w:spacing w:line="249" w:lineRule="auto" w:before="126"/>
        <w:ind w:right="1025"/>
        <w:jc w:val="both"/>
      </w:pPr>
      <w:r>
        <w:rPr/>
        <w:t>MCST 609 - ADVANCED CANNABINOID CHEMISTRY AND ANALYTIC TESTING METHODOLOGY (3)</w:t>
      </w:r>
    </w:p>
    <w:p>
      <w:pPr>
        <w:pStyle w:val="BodyText"/>
        <w:spacing w:line="249" w:lineRule="auto" w:before="180"/>
        <w:ind w:right="22"/>
      </w:pPr>
      <w:r>
        <w:rPr>
          <w:color w:val="2D2D2D"/>
        </w:rPr>
        <w:t>This course relates chemical characteristics of cannabis components to their pharmacological activity. The course covers a variety of cannabis targets, methods for improving drug activity, and the principles of rational drug design and characteristics such as solubility, stability and metabolism. Additionally, this course will explore methodologies for concentration, extraction, and purification of plant constituents, along with scope and limitations of analytical techniques for the identification and quantification of plant and synthetic cannabinoids, contaminants, and adulterants in cannabis products. (Pre-requisite: MCST 603 - Basic Cannabinoid Chemistry and Delivery).</w:t>
      </w:r>
    </w:p>
    <w:p>
      <w:pPr>
        <w:pStyle w:val="BodyText"/>
        <w:spacing w:before="191"/>
      </w:pPr>
      <w:r>
        <w:rPr/>
        <w:t>Offered: 202009.</w:t>
      </w:r>
    </w:p>
    <w:p>
      <w:pPr>
        <w:pStyle w:val="Heading6"/>
        <w:spacing w:line="249" w:lineRule="auto"/>
        <w:ind w:right="127" w:hanging="1"/>
      </w:pPr>
      <w:r>
        <w:rPr/>
        <w:t>MCST 610 - STATE AND FEDERAL CANNABIS LAWS AND POLICIES (3)</w:t>
      </w:r>
    </w:p>
    <w:p>
      <w:pPr>
        <w:pStyle w:val="BodyText"/>
        <w:spacing w:line="249" w:lineRule="auto" w:before="179"/>
        <w:ind w:right="143"/>
      </w:pPr>
      <w:r>
        <w:rPr>
          <w:color w:val="2D2D2D"/>
        </w:rPr>
        <w:t>This course introduces students to the constantly evolving field of cannabis regulation that spans federal, state, and</w:t>
      </w:r>
    </w:p>
    <w:p>
      <w:pPr>
        <w:pStyle w:val="BodyText"/>
        <w:spacing w:line="249" w:lineRule="auto" w:before="96"/>
        <w:ind w:right="608"/>
      </w:pPr>
      <w:r>
        <w:rPr/>
        <w:br w:type="column"/>
      </w:r>
      <w:r>
        <w:rPr>
          <w:color w:val="2D2D2D"/>
        </w:rPr>
        <w:t>local government. To better understand this complex system, students will first learn about key aspects of constitutional law that shape cannabis regulation. Once this foundation is established, the course will explore the federal regulation of cannabis and the Controlled Substances Act; state legalization trends and the policy issues states must address; the regulation of cannabis businesses, health care providers, patients, and cannabis products; social equity initiatives; and the regulation of industrial hemp production and its derivative products. In addition to these substantive areas, student will learn how to track and analyze state legislation to remain current on developments in this legal field. (Pre-requisite: MCST 601</w:t>
      </w:r>
    </w:p>
    <w:p>
      <w:pPr>
        <w:pStyle w:val="BodyText"/>
        <w:spacing w:line="249" w:lineRule="auto" w:before="10"/>
        <w:ind w:right="804"/>
      </w:pPr>
      <w:r>
        <w:rPr>
          <w:color w:val="2D2D2D"/>
        </w:rPr>
        <w:t>- Introduction to Medical Cannabis History, Culture, and Policy)</w:t>
      </w:r>
    </w:p>
    <w:p>
      <w:pPr>
        <w:pStyle w:val="Heading6"/>
        <w:spacing w:line="249" w:lineRule="auto" w:before="121"/>
        <w:ind w:right="807" w:hanging="1"/>
      </w:pPr>
      <w:r>
        <w:rPr/>
        <w:t>MCST 611 - RESEARCH DESIGN AND MEDICAL CANNABIS (3)</w:t>
      </w:r>
    </w:p>
    <w:p>
      <w:pPr>
        <w:pStyle w:val="BodyText"/>
        <w:spacing w:line="249" w:lineRule="auto" w:before="179"/>
        <w:ind w:right="618"/>
      </w:pPr>
      <w:r>
        <w:rPr>
          <w:color w:val="2D2D2D"/>
        </w:rPr>
        <w:t>In this introductory course, participants will develop the foundational knowledge and skills necessary for designing research related to medical cannabis. Participants </w:t>
      </w:r>
      <w:r>
        <w:rPr>
          <w:color w:val="2D2D2D"/>
          <w:spacing w:val="-3"/>
        </w:rPr>
        <w:t>will </w:t>
      </w:r>
      <w:r>
        <w:rPr>
          <w:color w:val="2D2D2D"/>
        </w:rPr>
        <w:t>learn how to perform a literature review to identify gaps in knowledge, formulate a research question and hypothesis, select an appropriate corresponding research design, and describe best practices </w:t>
      </w:r>
      <w:r>
        <w:rPr>
          <w:color w:val="2D2D2D"/>
          <w:spacing w:val="-4"/>
        </w:rPr>
        <w:t>for </w:t>
      </w:r>
      <w:r>
        <w:rPr>
          <w:color w:val="2D2D2D"/>
        </w:rPr>
        <w:t>data collection, management, and analysis. Those enrolled in the course will also learn key ethical principles and </w:t>
      </w:r>
      <w:r>
        <w:rPr>
          <w:color w:val="2D2D2D"/>
          <w:spacing w:val="-3"/>
        </w:rPr>
        <w:t>laws </w:t>
      </w:r>
      <w:r>
        <w:rPr>
          <w:color w:val="2D2D2D"/>
        </w:rPr>
        <w:t>and regulations pertaining to research, including the role </w:t>
      </w:r>
      <w:r>
        <w:rPr>
          <w:color w:val="2D2D2D"/>
          <w:spacing w:val="-3"/>
        </w:rPr>
        <w:t>of </w:t>
      </w:r>
      <w:r>
        <w:rPr>
          <w:color w:val="2D2D2D"/>
        </w:rPr>
        <w:t>institutional review boards. By the end </w:t>
      </w:r>
      <w:r>
        <w:rPr>
          <w:color w:val="2D2D2D"/>
          <w:spacing w:val="-3"/>
        </w:rPr>
        <w:t>of </w:t>
      </w:r>
      <w:r>
        <w:rPr>
          <w:color w:val="2D2D2D"/>
        </w:rPr>
        <w:t>the course, participants </w:t>
      </w:r>
      <w:r>
        <w:rPr>
          <w:color w:val="2D2D2D"/>
          <w:spacing w:val="-3"/>
        </w:rPr>
        <w:t>will </w:t>
      </w:r>
      <w:r>
        <w:rPr>
          <w:color w:val="2D2D2D"/>
        </w:rPr>
        <w:t>have developed a research </w:t>
      </w:r>
      <w:r>
        <w:rPr>
          <w:color w:val="2D2D2D"/>
          <w:spacing w:val="-3"/>
        </w:rPr>
        <w:t>protocol </w:t>
      </w:r>
      <w:r>
        <w:rPr>
          <w:color w:val="2D2D2D"/>
        </w:rPr>
        <w:t>that is suitable </w:t>
      </w:r>
      <w:r>
        <w:rPr>
          <w:color w:val="2D2D2D"/>
          <w:spacing w:val="-5"/>
        </w:rPr>
        <w:t>for </w:t>
      </w:r>
      <w:r>
        <w:rPr>
          <w:color w:val="2D2D2D"/>
        </w:rPr>
        <w:t>submission to an institutional review</w:t>
      </w:r>
      <w:r>
        <w:rPr>
          <w:color w:val="2D2D2D"/>
          <w:spacing w:val="-6"/>
        </w:rPr>
        <w:t> </w:t>
      </w:r>
      <w:r>
        <w:rPr>
          <w:color w:val="2D2D2D"/>
        </w:rPr>
        <w:t>board.</w:t>
      </w:r>
    </w:p>
    <w:p>
      <w:pPr>
        <w:pStyle w:val="Heading6"/>
      </w:pPr>
      <w:r>
        <w:rPr/>
        <w:t>MCST 613 -  (1)</w:t>
      </w:r>
    </w:p>
    <w:p>
      <w:pPr>
        <w:pStyle w:val="BodyText"/>
        <w:spacing w:before="192"/>
      </w:pPr>
      <w:r>
        <w:rPr/>
        <w:t>Offered:</w:t>
      </w:r>
      <w:r>
        <w:rPr>
          <w:spacing w:val="-2"/>
        </w:rPr>
        <w:t> </w:t>
      </w:r>
      <w:r>
        <w:rPr/>
        <w:t>202009.</w:t>
      </w:r>
    </w:p>
    <w:p>
      <w:pPr>
        <w:pStyle w:val="BodyText"/>
        <w:spacing w:before="6"/>
        <w:ind w:left="0"/>
        <w:rPr>
          <w:sz w:val="17"/>
        </w:rPr>
      </w:pPr>
    </w:p>
    <w:p>
      <w:pPr>
        <w:pStyle w:val="Heading2"/>
      </w:pPr>
      <w:bookmarkStart w:name="MEDT" w:id="123"/>
      <w:bookmarkEnd w:id="123"/>
      <w:r>
        <w:rPr/>
      </w:r>
      <w:bookmarkStart w:name="_bookmark61" w:id="124"/>
      <w:bookmarkEnd w:id="124"/>
      <w:r>
        <w:rPr/>
      </w:r>
      <w:r>
        <w:rPr/>
        <w:t>MEDT</w:t>
      </w:r>
    </w:p>
    <w:p>
      <w:pPr>
        <w:pStyle w:val="Heading6"/>
        <w:spacing w:before="129"/>
      </w:pPr>
      <w:r>
        <w:rPr/>
        <w:t>MEDT 628 - SEMINAR (1)</w:t>
      </w:r>
    </w:p>
    <w:p>
      <w:pPr>
        <w:pStyle w:val="BodyText"/>
        <w:spacing w:line="249" w:lineRule="auto" w:before="187"/>
        <w:ind w:right="727"/>
      </w:pPr>
      <w:r>
        <w:rPr/>
        <w:t>This seminar exposes students to current topics in biomedical and clinical laboratory science, science education, and laboratory management. Students participate in 15 seminars presented by guest speakers, faculty members, and fellow students. Students taking the course for credit research approved topics and develop their oral presentation skills by presenting seminars.</w:t>
      </w:r>
    </w:p>
    <w:p>
      <w:pPr>
        <w:pStyle w:val="BodyText"/>
        <w:spacing w:line="249" w:lineRule="auto" w:before="5"/>
        <w:ind w:right="860"/>
      </w:pPr>
      <w:r>
        <w:rPr/>
        <w:t>Graduate students must enroll in this course three times. All graduate students from the program must attend seminar during their tenures.</w:t>
      </w:r>
    </w:p>
    <w:p>
      <w:pPr>
        <w:spacing w:after="0" w:line="249" w:lineRule="auto"/>
        <w:sectPr>
          <w:pgSz w:w="12240" w:h="15840"/>
          <w:pgMar w:header="746" w:footer="0" w:top="1320" w:bottom="280" w:left="880" w:right="300"/>
          <w:cols w:num="2" w:equalWidth="0">
            <w:col w:w="5002" w:space="484"/>
            <w:col w:w="5574"/>
          </w:cols>
        </w:sectPr>
      </w:pPr>
    </w:p>
    <w:p>
      <w:pPr>
        <w:pStyle w:val="Heading6"/>
        <w:spacing w:line="249" w:lineRule="auto" w:before="100"/>
        <w:ind w:left="199" w:right="762"/>
      </w:pPr>
      <w:r>
        <w:rPr/>
        <w:t>MEDT 630 - SCIENTIFIC AND TECHNICAL WRITING (3)</w:t>
      </w:r>
    </w:p>
    <w:p>
      <w:pPr>
        <w:pStyle w:val="BodyText"/>
        <w:spacing w:line="249" w:lineRule="auto" w:before="179"/>
        <w:ind w:left="199" w:right="103"/>
      </w:pPr>
      <w:r>
        <w:rPr/>
        <w:t>A systematic approach helps students write clear and concise scientific and technical communications for specific purposes. Designed for people in technical and scientific fields, this course helps those whose increasing specializations require them to communicate in memoranda, letters, journal articles, reports, presentations, proposals and progress reports.</w:t>
      </w:r>
    </w:p>
    <w:p>
      <w:pPr>
        <w:pStyle w:val="Heading6"/>
        <w:spacing w:before="125"/>
        <w:ind w:left="199"/>
      </w:pPr>
      <w:r>
        <w:rPr/>
        <w:t>MEDT 631 - RESEARCH DESIGN (2)</w:t>
      </w:r>
    </w:p>
    <w:p>
      <w:pPr>
        <w:pStyle w:val="BodyText"/>
        <w:spacing w:line="249" w:lineRule="auto" w:before="192"/>
        <w:ind w:left="199" w:right="30"/>
      </w:pPr>
      <w:r>
        <w:rPr/>
        <w:t>This course explores the theory of research design and requires that students show their understanding through integration of design theory into their theses proposals. The didactic portion of the course is presented during a weekly one hour class where theory is presented and discussed.</w:t>
      </w:r>
    </w:p>
    <w:p>
      <w:pPr>
        <w:pStyle w:val="BodyText"/>
        <w:spacing w:line="249" w:lineRule="auto" w:before="4"/>
        <w:ind w:left="199" w:right="81"/>
      </w:pPr>
      <w:r>
        <w:rPr/>
        <w:t>The class reviews weekly homework assignments on such topics as hypothesis formulation, design of a research study, and critique of the scientific paper. The assignments serve to meld the theory with its laboratory application. At the end of the semester, students present their thesis proposals.</w:t>
      </w:r>
    </w:p>
    <w:p>
      <w:pPr>
        <w:pStyle w:val="Heading6"/>
        <w:spacing w:before="125"/>
        <w:ind w:left="199"/>
      </w:pPr>
      <w:r>
        <w:rPr/>
        <w:t>MEDT 634 - TEACHING PRACTICUM MAJOR (4)</w:t>
      </w:r>
    </w:p>
    <w:p>
      <w:pPr>
        <w:pStyle w:val="BodyText"/>
        <w:spacing w:line="249" w:lineRule="auto" w:before="187"/>
        <w:ind w:left="199" w:right="197"/>
      </w:pPr>
      <w:r>
        <w:rPr/>
        <w:t>This course provides information and experience to graduate students, preparing them to assume the duties of an instructor in their declared majors. Students prepare lectures and display materials, conduct library research, and evaluate and assess instructional techniques.</w:t>
      </w:r>
    </w:p>
    <w:p>
      <w:pPr>
        <w:pStyle w:val="BodyText"/>
        <w:spacing w:before="4"/>
        <w:ind w:left="199"/>
      </w:pPr>
      <w:r>
        <w:rPr/>
        <w:t>Prerequisite: adequate background in the major subject.</w:t>
      </w:r>
    </w:p>
    <w:p>
      <w:pPr>
        <w:pStyle w:val="Heading6"/>
        <w:ind w:left="199"/>
      </w:pPr>
      <w:r>
        <w:rPr/>
        <w:t>MEDT 635 - TEACHING PRACTICUM MINOR (2)</w:t>
      </w:r>
    </w:p>
    <w:p>
      <w:pPr>
        <w:pStyle w:val="BodyText"/>
        <w:spacing w:line="249" w:lineRule="auto" w:before="192"/>
        <w:ind w:left="199" w:right="53"/>
      </w:pPr>
      <w:r>
        <w:rPr/>
        <w:t>Graduate students teach in a declared minor subject from a variety of areas in clinical laboratory science education in the undergraduate program. Students help faculty members in preparation of lecture and demonstration materials, library research, and evaluation and assessment of instructional techniques. Special assignments enable students to strengthen their knowledge in selected areas.</w:t>
      </w:r>
    </w:p>
    <w:p>
      <w:pPr>
        <w:pStyle w:val="BodyText"/>
        <w:spacing w:before="5"/>
        <w:ind w:left="199"/>
      </w:pPr>
      <w:r>
        <w:rPr/>
        <w:t>Prerequisite: competence in minor subject.</w:t>
      </w:r>
    </w:p>
    <w:p>
      <w:pPr>
        <w:pStyle w:val="Heading6"/>
        <w:ind w:left="199"/>
      </w:pPr>
      <w:r>
        <w:rPr/>
        <w:t>MEDT 638 - SPECIAL TOPICS (1 TO 4)</w:t>
      </w:r>
    </w:p>
    <w:p>
      <w:pPr>
        <w:pStyle w:val="BodyText"/>
        <w:spacing w:line="249" w:lineRule="auto" w:before="188"/>
        <w:ind w:left="199" w:right="158"/>
      </w:pPr>
      <w:r>
        <w:rPr/>
        <w:t>Graduate students work on subjects of interest not offered otherwise as a formal course. The study program consists of special reading assignments, reports, or research projects under the supervision of a faculty member.</w:t>
      </w:r>
    </w:p>
    <w:p>
      <w:pPr>
        <w:pStyle w:val="Heading6"/>
        <w:spacing w:line="249" w:lineRule="auto" w:before="123"/>
        <w:ind w:left="199" w:right="685"/>
      </w:pPr>
      <w:r>
        <w:rPr/>
        <w:t>MEDT 639 - MANAGEMENT PRACTICES IN LABORATORY SCIENCES (1 TO 6)</w:t>
      </w:r>
    </w:p>
    <w:p>
      <w:pPr>
        <w:pStyle w:val="BodyText"/>
        <w:spacing w:line="249" w:lineRule="auto" w:before="184"/>
        <w:ind w:left="199" w:right="208"/>
      </w:pPr>
      <w:r>
        <w:rPr/>
        <w:t>Graduate students work on special subjects in the field of management not offered as a formal course. Under the</w:t>
      </w:r>
    </w:p>
    <w:p>
      <w:pPr>
        <w:pStyle w:val="BodyText"/>
        <w:spacing w:line="249" w:lineRule="auto" w:before="96"/>
        <w:ind w:right="911"/>
      </w:pPr>
      <w:r>
        <w:rPr/>
        <w:br w:type="column"/>
      </w:r>
      <w:r>
        <w:rPr/>
        <w:t>supervision of a faculty member, students learn how to carry out new strategies or to conduct the business of running a clinical or research laboratory daily. Students take part in long-range laboratory planning.</w:t>
      </w:r>
    </w:p>
    <w:p>
      <w:pPr>
        <w:pStyle w:val="Heading6"/>
        <w:spacing w:line="249" w:lineRule="auto" w:before="123"/>
        <w:ind w:right="2026"/>
      </w:pPr>
      <w:r>
        <w:rPr/>
        <w:t>MEDT 654 - ADVANCED TOPICS IN LABORATORY SCIENCES (2)</w:t>
      </w:r>
    </w:p>
    <w:p>
      <w:pPr>
        <w:pStyle w:val="BodyText"/>
        <w:spacing w:line="249" w:lineRule="auto" w:before="179"/>
        <w:ind w:right="655"/>
      </w:pPr>
      <w:r>
        <w:rPr/>
        <w:t>This course exposes students to emerging technologies in the clinical laboratory. The didactic portion </w:t>
      </w:r>
      <w:r>
        <w:rPr>
          <w:spacing w:val="-3"/>
        </w:rPr>
        <w:t>of </w:t>
      </w:r>
      <w:r>
        <w:rPr/>
        <w:t>the course provides them </w:t>
      </w:r>
      <w:r>
        <w:rPr>
          <w:spacing w:val="-3"/>
        </w:rPr>
        <w:t>with </w:t>
      </w:r>
      <w:r>
        <w:rPr/>
        <w:t>an in-depth study </w:t>
      </w:r>
      <w:r>
        <w:rPr>
          <w:spacing w:val="-3"/>
        </w:rPr>
        <w:t>of </w:t>
      </w:r>
      <w:r>
        <w:rPr/>
        <w:t>the theory and basic mechanisms </w:t>
      </w:r>
      <w:r>
        <w:rPr>
          <w:spacing w:val="-3"/>
        </w:rPr>
        <w:t>of </w:t>
      </w:r>
      <w:r>
        <w:rPr/>
        <w:t>function </w:t>
      </w:r>
      <w:r>
        <w:rPr>
          <w:spacing w:val="-4"/>
        </w:rPr>
        <w:t>for </w:t>
      </w:r>
      <w:r>
        <w:rPr>
          <w:spacing w:val="-3"/>
        </w:rPr>
        <w:t>each of </w:t>
      </w:r>
      <w:r>
        <w:rPr/>
        <w:t>the topics selected. Following the introduction </w:t>
      </w:r>
      <w:r>
        <w:rPr>
          <w:spacing w:val="-3"/>
        </w:rPr>
        <w:t>of </w:t>
      </w:r>
      <w:r>
        <w:rPr/>
        <w:t>each topic </w:t>
      </w:r>
      <w:r>
        <w:rPr>
          <w:spacing w:val="-3"/>
        </w:rPr>
        <w:t>of </w:t>
      </w:r>
      <w:r>
        <w:rPr/>
        <w:t>study, the various applications are examined </w:t>
      </w:r>
      <w:r>
        <w:rPr>
          <w:spacing w:val="-3"/>
        </w:rPr>
        <w:t>with </w:t>
      </w:r>
      <w:r>
        <w:rPr/>
        <w:t>the use </w:t>
      </w:r>
      <w:r>
        <w:rPr>
          <w:spacing w:val="-3"/>
        </w:rPr>
        <w:t>of </w:t>
      </w:r>
      <w:r>
        <w:rPr/>
        <w:t>current research articles. Students are expected to show active participation in the presentation </w:t>
      </w:r>
      <w:r>
        <w:rPr>
          <w:spacing w:val="-3"/>
        </w:rPr>
        <w:t>of </w:t>
      </w:r>
      <w:r>
        <w:rPr/>
        <w:t>the journal articles discussed. </w:t>
      </w:r>
      <w:r>
        <w:rPr>
          <w:spacing w:val="-4"/>
        </w:rPr>
        <w:t>At </w:t>
      </w:r>
      <w:r>
        <w:rPr/>
        <w:t>the end </w:t>
      </w:r>
      <w:r>
        <w:rPr>
          <w:spacing w:val="-3"/>
        </w:rPr>
        <w:t>of </w:t>
      </w:r>
      <w:r>
        <w:rPr/>
        <w:t>the term, students submit a </w:t>
      </w:r>
      <w:r>
        <w:rPr>
          <w:spacing w:val="-3"/>
        </w:rPr>
        <w:t>paper </w:t>
      </w:r>
      <w:r>
        <w:rPr/>
        <w:t>outlining the advantages and disadvantages </w:t>
      </w:r>
      <w:r>
        <w:rPr>
          <w:spacing w:val="-3"/>
        </w:rPr>
        <w:t>of </w:t>
      </w:r>
      <w:r>
        <w:rPr/>
        <w:t>a selected technology. This course is designed to teach students to </w:t>
      </w:r>
      <w:r>
        <w:rPr>
          <w:spacing w:val="-3"/>
        </w:rPr>
        <w:t>develop </w:t>
      </w:r>
      <w:r>
        <w:rPr/>
        <w:t>the skills necessary to maintain up-to- date knowledge </w:t>
      </w:r>
      <w:r>
        <w:rPr>
          <w:spacing w:val="-3"/>
        </w:rPr>
        <w:t>on </w:t>
      </w:r>
      <w:r>
        <w:rPr/>
        <w:t>new technologies and to continue to grow as members </w:t>
      </w:r>
      <w:r>
        <w:rPr>
          <w:spacing w:val="-3"/>
        </w:rPr>
        <w:t>of </w:t>
      </w:r>
      <w:r>
        <w:rPr/>
        <w:t>an ever-evolving clinical laboratory science.</w:t>
      </w:r>
    </w:p>
    <w:p>
      <w:pPr>
        <w:pStyle w:val="Heading6"/>
        <w:spacing w:before="131"/>
      </w:pPr>
      <w:r>
        <w:rPr/>
        <w:t>MEDT 661 - ADVANCED HEMATOLOGY (2)</w:t>
      </w:r>
    </w:p>
    <w:p>
      <w:pPr>
        <w:pStyle w:val="BodyText"/>
        <w:spacing w:line="249" w:lineRule="auto" w:before="193"/>
        <w:ind w:right="651"/>
      </w:pPr>
      <w:r>
        <w:rPr/>
        <w:t>This course focuses </w:t>
      </w:r>
      <w:r>
        <w:rPr>
          <w:spacing w:val="-3"/>
        </w:rPr>
        <w:t>on </w:t>
      </w:r>
      <w:r>
        <w:rPr/>
        <w:t>the theoretical and practical aspects of hematological disorders, including red cell disease, white cell diseases, and disorders </w:t>
      </w:r>
      <w:r>
        <w:rPr>
          <w:spacing w:val="-3"/>
        </w:rPr>
        <w:t>of </w:t>
      </w:r>
      <w:r>
        <w:rPr/>
        <w:t>hemostasis. Emphasis is </w:t>
      </w:r>
      <w:r>
        <w:rPr>
          <w:spacing w:val="-3"/>
        </w:rPr>
        <w:t>on </w:t>
      </w:r>
      <w:r>
        <w:rPr/>
        <w:t>comprehensive theory and laboratory practices and current treatment modalities. </w:t>
      </w:r>
      <w:r>
        <w:rPr>
          <w:spacing w:val="-3"/>
        </w:rPr>
        <w:t>In </w:t>
      </w:r>
      <w:r>
        <w:rPr/>
        <w:t>case-study format and </w:t>
      </w:r>
      <w:r>
        <w:rPr>
          <w:spacing w:val="-3"/>
        </w:rPr>
        <w:t>open </w:t>
      </w:r>
      <w:r>
        <w:rPr/>
        <w:t>discussion, the course covers the correlation </w:t>
      </w:r>
      <w:r>
        <w:rPr>
          <w:spacing w:val="-3"/>
        </w:rPr>
        <w:t>of </w:t>
      </w:r>
      <w:r>
        <w:rPr/>
        <w:t>laboratory findings and disease</w:t>
      </w:r>
      <w:r>
        <w:rPr>
          <w:spacing w:val="-12"/>
        </w:rPr>
        <w:t> </w:t>
      </w:r>
      <w:r>
        <w:rPr>
          <w:spacing w:val="-3"/>
        </w:rPr>
        <w:t>processes.</w:t>
      </w:r>
    </w:p>
    <w:p>
      <w:pPr>
        <w:pStyle w:val="Heading6"/>
        <w:spacing w:line="249" w:lineRule="auto" w:before="125"/>
        <w:ind w:right="831"/>
      </w:pPr>
      <w:r>
        <w:rPr/>
        <w:t>MEDT 671 - MOLECULAR AND CELL BIOLOGY (3)</w:t>
      </w:r>
    </w:p>
    <w:p>
      <w:pPr>
        <w:pStyle w:val="BodyText"/>
        <w:spacing w:line="249" w:lineRule="auto" w:before="179"/>
        <w:ind w:right="641"/>
      </w:pPr>
      <w:r>
        <w:rPr/>
        <w:t>Lectures </w:t>
      </w:r>
      <w:r>
        <w:rPr>
          <w:spacing w:val="-3"/>
        </w:rPr>
        <w:t>cover </w:t>
      </w:r>
      <w:r>
        <w:rPr/>
        <w:t>the principles </w:t>
      </w:r>
      <w:r>
        <w:rPr>
          <w:spacing w:val="-3"/>
        </w:rPr>
        <w:t>of </w:t>
      </w:r>
      <w:r>
        <w:rPr/>
        <w:t>molecular and cell biology. Students learn the theories behind basic</w:t>
      </w:r>
      <w:r>
        <w:rPr>
          <w:spacing w:val="-20"/>
        </w:rPr>
        <w:t> </w:t>
      </w:r>
      <w:r>
        <w:rPr/>
        <w:t>molecular biology techniques including gel electrophoresis, hybridization techniques, </w:t>
      </w:r>
      <w:r>
        <w:rPr>
          <w:spacing w:val="-3"/>
        </w:rPr>
        <w:t>PCR, </w:t>
      </w:r>
      <w:r>
        <w:rPr/>
        <w:t>Southern blot, and site- directed mutagenesis. The second part </w:t>
      </w:r>
      <w:r>
        <w:rPr>
          <w:spacing w:val="-3"/>
        </w:rPr>
        <w:t>of </w:t>
      </w:r>
      <w:r>
        <w:rPr/>
        <w:t>the course covers applications </w:t>
      </w:r>
      <w:r>
        <w:rPr>
          <w:spacing w:val="-3"/>
        </w:rPr>
        <w:t>of </w:t>
      </w:r>
      <w:r>
        <w:rPr/>
        <w:t>molecular </w:t>
      </w:r>
      <w:r>
        <w:rPr>
          <w:spacing w:val="-3"/>
        </w:rPr>
        <w:t>biology, </w:t>
      </w:r>
      <w:r>
        <w:rPr/>
        <w:t>including DNA vaccines, bioremediation, molecular diagnostics, and gene therapy.</w:t>
      </w:r>
    </w:p>
    <w:p>
      <w:pPr>
        <w:pStyle w:val="Heading6"/>
        <w:spacing w:before="126"/>
      </w:pPr>
      <w:r>
        <w:rPr/>
        <w:t>MEDT 680 - LABORATORY MANAGEMENT</w:t>
      </w:r>
      <w:r>
        <w:rPr>
          <w:spacing w:val="-13"/>
        </w:rPr>
        <w:t> </w:t>
      </w:r>
      <w:r>
        <w:rPr/>
        <w:t>(3)</w:t>
      </w:r>
    </w:p>
    <w:p>
      <w:pPr>
        <w:pStyle w:val="BodyText"/>
        <w:spacing w:line="249" w:lineRule="auto" w:before="192"/>
        <w:ind w:left="199" w:right="678"/>
      </w:pPr>
      <w:r>
        <w:rPr/>
        <w:t>This course is an overview of laboratory management in four areas: personnel, operations, regulations, and finance. Additional emphasis is </w:t>
      </w:r>
      <w:r>
        <w:rPr>
          <w:spacing w:val="-3"/>
        </w:rPr>
        <w:t>on </w:t>
      </w:r>
      <w:r>
        <w:rPr/>
        <w:t>current trends in laboratory services, laboratory accreditation and licensure, and accreditation procedures. Topics include organizing, planning, controlling, and supervisory functions </w:t>
      </w:r>
      <w:r>
        <w:rPr>
          <w:spacing w:val="-3"/>
        </w:rPr>
        <w:t>of </w:t>
      </w:r>
      <w:r>
        <w:rPr/>
        <w:t>the management </w:t>
      </w:r>
      <w:r>
        <w:rPr>
          <w:spacing w:val="-3"/>
        </w:rPr>
        <w:t>process; </w:t>
      </w:r>
      <w:r>
        <w:rPr/>
        <w:t>leadership </w:t>
      </w:r>
      <w:r>
        <w:rPr>
          <w:spacing w:val="-3"/>
        </w:rPr>
        <w:t>styles; </w:t>
      </w:r>
      <w:r>
        <w:rPr/>
        <w:t>performance evaluation; the interview process; professional</w:t>
      </w:r>
      <w:r>
        <w:rPr>
          <w:spacing w:val="-21"/>
        </w:rPr>
        <w:t> </w:t>
      </w:r>
      <w:r>
        <w:rPr/>
        <w:t>liability;</w:t>
      </w:r>
    </w:p>
    <w:p>
      <w:pPr>
        <w:spacing w:after="0" w:line="249" w:lineRule="auto"/>
        <w:sectPr>
          <w:headerReference w:type="even" r:id="rId96"/>
          <w:headerReference w:type="default" r:id="rId97"/>
          <w:pgSz w:w="12240" w:h="15840"/>
          <w:pgMar w:header="746" w:footer="0" w:top="1320" w:bottom="280" w:left="880" w:right="300"/>
          <w:pgNumType w:start="132"/>
          <w:cols w:num="2" w:equalWidth="0">
            <w:col w:w="5010" w:space="476"/>
            <w:col w:w="5574"/>
          </w:cols>
        </w:sectPr>
      </w:pPr>
    </w:p>
    <w:p>
      <w:pPr>
        <w:pStyle w:val="BodyText"/>
        <w:spacing w:line="249" w:lineRule="auto" w:before="100"/>
        <w:ind w:left="199" w:right="193"/>
      </w:pPr>
      <w:r>
        <w:rPr/>
        <w:t>teaching techniques; problem-solving; and professional responsibility and ethics. The program recommends that laboratory management track students take this course in their second year.</w:t>
      </w:r>
    </w:p>
    <w:p>
      <w:pPr>
        <w:pStyle w:val="Heading6"/>
        <w:spacing w:line="249" w:lineRule="auto" w:before="123"/>
        <w:ind w:left="199" w:right="174"/>
      </w:pPr>
      <w:r>
        <w:rPr/>
        <w:t>MEDT 687 - QUALITY CONTROL AND REGULATIONS IN LABORATORY SCIENCES (2)</w:t>
      </w:r>
    </w:p>
    <w:p>
      <w:pPr>
        <w:pStyle w:val="BodyText"/>
        <w:spacing w:line="249" w:lineRule="auto" w:before="179"/>
        <w:ind w:right="25"/>
      </w:pPr>
      <w:r>
        <w:rPr/>
        <w:t>This course focuses on the application of basic statistical principles to the maintenance of quality control in the laboratory. The second part of the course prepares students for the work force. Students gain skills and knowledge to be current, efficient, and compliant with the latest regulatory issues, whether working in a clinical laboratory, research setting, or the biotechnology industry.</w:t>
      </w:r>
    </w:p>
    <w:p>
      <w:pPr>
        <w:pStyle w:val="Heading6"/>
        <w:spacing w:line="249" w:lineRule="auto" w:before="125"/>
        <w:ind w:right="112"/>
      </w:pPr>
      <w:r>
        <w:rPr/>
        <w:t>MEDT 799 - MASTER'S THESIS RESEARCH (1 TO 6)</w:t>
      </w:r>
    </w:p>
    <w:p>
      <w:pPr>
        <w:pStyle w:val="BodyText"/>
        <w:spacing w:line="249" w:lineRule="auto" w:before="184"/>
        <w:ind w:right="431"/>
      </w:pPr>
      <w:r>
        <w:rPr/>
        <w:t>Required enrollment for students engaged in master?s thesis studies.</w:t>
      </w:r>
    </w:p>
    <w:p>
      <w:pPr>
        <w:pStyle w:val="Heading2"/>
        <w:spacing w:before="188"/>
      </w:pPr>
      <w:bookmarkStart w:name="MEES" w:id="125"/>
      <w:bookmarkEnd w:id="125"/>
      <w:r>
        <w:rPr/>
      </w:r>
      <w:bookmarkStart w:name="_bookmark62" w:id="126"/>
      <w:bookmarkEnd w:id="126"/>
      <w:r>
        <w:rPr/>
      </w:r>
      <w:r>
        <w:rPr/>
        <w:t>MEES</w:t>
      </w:r>
    </w:p>
    <w:p>
      <w:pPr>
        <w:pStyle w:val="Heading6"/>
        <w:spacing w:line="249" w:lineRule="auto" w:before="128"/>
        <w:ind w:left="199" w:right="102"/>
      </w:pPr>
      <w:r>
        <w:rPr/>
        <w:t>MEES 799 - MASTER?S THESIS RESEARCH (1 TO 6)</w:t>
      </w:r>
    </w:p>
    <w:p>
      <w:pPr>
        <w:pStyle w:val="BodyText"/>
        <w:spacing w:line="249" w:lineRule="auto" w:before="179"/>
        <w:ind w:left="199" w:right="432"/>
      </w:pPr>
      <w:r>
        <w:rPr/>
        <w:t>Required enrollment for students engaged in master?s thesis studies.</w:t>
      </w:r>
    </w:p>
    <w:p>
      <w:pPr>
        <w:pStyle w:val="Heading6"/>
        <w:spacing w:line="249" w:lineRule="auto" w:before="122"/>
        <w:ind w:left="199" w:right="941"/>
      </w:pPr>
      <w:r>
        <w:rPr/>
        <w:t>MEES 899 - DOCTORAL DISSERTATION RESEARCH (1 TO 12)</w:t>
      </w:r>
    </w:p>
    <w:p>
      <w:pPr>
        <w:pStyle w:val="BodyText"/>
        <w:spacing w:line="249" w:lineRule="auto" w:before="184"/>
        <w:ind w:left="199" w:right="476"/>
      </w:pPr>
      <w:r>
        <w:rPr/>
        <w:t>Required enrollment for students engaged in doctoral dissertation studies.</w:t>
      </w:r>
    </w:p>
    <w:p>
      <w:pPr>
        <w:pStyle w:val="Heading2"/>
        <w:spacing w:before="183"/>
      </w:pPr>
      <w:bookmarkStart w:name="MHS" w:id="127"/>
      <w:bookmarkEnd w:id="127"/>
      <w:r>
        <w:rPr/>
      </w:r>
      <w:bookmarkStart w:name="_bookmark63" w:id="128"/>
      <w:bookmarkEnd w:id="128"/>
      <w:r>
        <w:rPr/>
      </w:r>
      <w:r>
        <w:rPr/>
        <w:t>MHS</w:t>
      </w:r>
    </w:p>
    <w:p>
      <w:pPr>
        <w:pStyle w:val="Heading6"/>
        <w:spacing w:before="128"/>
      </w:pPr>
      <w:r>
        <w:rPr/>
        <w:t>MGMT 640 - TECHNOLOGY TRANSFER</w:t>
      </w:r>
    </w:p>
    <w:p>
      <w:pPr>
        <w:pStyle w:val="BodyText"/>
        <w:spacing w:line="249" w:lineRule="auto" w:before="192"/>
        <w:ind w:right="81"/>
      </w:pPr>
      <w:r>
        <w:rPr>
          <w:color w:val="303030"/>
        </w:rPr>
        <w:t>This course introduces the concept of intellectual property in advancing technological innovation and promoting economic development. Students will learn how to safeguard intellectual property and facilitate technology transfer including the legal, licensing, and disclosure. The course will also explore the requirements for issue of a patent including preparation of a patent application. The course explores how research or an invention may be commercialized in the process of technology transfer.</w:t>
      </w:r>
    </w:p>
    <w:p>
      <w:pPr>
        <w:pStyle w:val="BodyText"/>
        <w:spacing w:line="249" w:lineRule="auto" w:before="8"/>
        <w:ind w:right="653"/>
      </w:pPr>
      <w:r>
        <w:rPr>
          <w:color w:val="303030"/>
        </w:rPr>
        <w:t>Emphasis is placed on the patenting and transfer of technologies pertinent to the biotechnology, pharmaceutical and medical device industries</w:t>
      </w:r>
    </w:p>
    <w:p>
      <w:pPr>
        <w:pStyle w:val="Heading6"/>
        <w:spacing w:line="249" w:lineRule="auto" w:before="122"/>
        <w:ind w:right="451"/>
      </w:pPr>
      <w:r>
        <w:rPr/>
        <w:t>MHS 600 - INTRODUCTION TO LIBRARY RESOURCES AND SCHOLARLY WRITING (1)</w:t>
      </w:r>
    </w:p>
    <w:p>
      <w:pPr>
        <w:pStyle w:val="BodyText"/>
        <w:spacing w:before="179"/>
      </w:pPr>
      <w:r>
        <w:rPr/>
        <w:t>This course is designed to provide learners the opportunity</w:t>
      </w:r>
    </w:p>
    <w:p>
      <w:pPr>
        <w:pStyle w:val="BodyText"/>
        <w:spacing w:line="249" w:lineRule="auto" w:before="100"/>
        <w:ind w:left="199" w:right="624"/>
      </w:pPr>
      <w:r>
        <w:rPr/>
        <w:br w:type="column"/>
      </w:r>
      <w:r>
        <w:rPr/>
        <w:t>to develop skills in </w:t>
      </w:r>
      <w:r>
        <w:rPr>
          <w:spacing w:val="-3"/>
        </w:rPr>
        <w:t>both </w:t>
      </w:r>
      <w:r>
        <w:rPr/>
        <w:t>accessing relevant online library resources and engaging in scholarly writing. The portion </w:t>
      </w:r>
      <w:r>
        <w:rPr>
          <w:spacing w:val="-3"/>
        </w:rPr>
        <w:t>of </w:t>
      </w:r>
      <w:r>
        <w:rPr/>
        <w:t>the course focusing </w:t>
      </w:r>
      <w:r>
        <w:rPr>
          <w:spacing w:val="-3"/>
        </w:rPr>
        <w:t>on </w:t>
      </w:r>
      <w:r>
        <w:rPr/>
        <w:t>library resources teaches and strengthens lifelong research and information competency skills by introducing students to the nature </w:t>
      </w:r>
      <w:r>
        <w:rPr>
          <w:spacing w:val="-3"/>
        </w:rPr>
        <w:t>of </w:t>
      </w:r>
      <w:r>
        <w:rPr/>
        <w:t>research and the role </w:t>
      </w:r>
      <w:r>
        <w:rPr>
          <w:spacing w:val="-3"/>
        </w:rPr>
        <w:t>of </w:t>
      </w:r>
      <w:r>
        <w:rPr/>
        <w:t>the library in the research process. Students learn the core concepts </w:t>
      </w:r>
      <w:r>
        <w:rPr>
          <w:spacing w:val="-3"/>
        </w:rPr>
        <w:t>of </w:t>
      </w:r>
      <w:r>
        <w:rPr/>
        <w:t>information retrieval and essential techniques </w:t>
      </w:r>
      <w:r>
        <w:rPr>
          <w:spacing w:val="-4"/>
        </w:rPr>
        <w:t>for </w:t>
      </w:r>
      <w:r>
        <w:rPr/>
        <w:t>finding, evaluating, analyzing, organizing, and presenting information. The topics covered include: using online catalogs to locate books and other library resources; developing research strategies; exercising critical thinking to evaluate information; applying critical and </w:t>
      </w:r>
      <w:r>
        <w:rPr>
          <w:spacing w:val="-2"/>
        </w:rPr>
        <w:t>search </w:t>
      </w:r>
      <w:r>
        <w:rPr/>
        <w:t>techniques to electronic databases; understanding citation formats; and using the Internet as a research tool. The scholarly writing </w:t>
      </w:r>
      <w:r>
        <w:rPr>
          <w:spacing w:val="-3"/>
        </w:rPr>
        <w:t>of </w:t>
      </w:r>
      <w:r>
        <w:rPr/>
        <w:t>the course will place emphasis </w:t>
      </w:r>
      <w:r>
        <w:rPr>
          <w:spacing w:val="-3"/>
        </w:rPr>
        <w:t>on </w:t>
      </w:r>
      <w:r>
        <w:rPr/>
        <w:t>organization, effective conveyance of thoughts through written words, and writing for multiple </w:t>
      </w:r>
      <w:r>
        <w:rPr>
          <w:spacing w:val="-3"/>
        </w:rPr>
        <w:t>types </w:t>
      </w:r>
      <w:r>
        <w:rPr/>
        <w:t>of audiences. Students will have the opportunity to improve both their academic writing and their research skills as they write a literature review </w:t>
      </w:r>
      <w:r>
        <w:rPr>
          <w:spacing w:val="-3"/>
        </w:rPr>
        <w:t>or </w:t>
      </w:r>
      <w:r>
        <w:rPr/>
        <w:t>a proposal. Emphasis is placed </w:t>
      </w:r>
      <w:r>
        <w:rPr>
          <w:spacing w:val="-3"/>
        </w:rPr>
        <w:t>on </w:t>
      </w:r>
      <w:r>
        <w:rPr/>
        <w:t>conventions </w:t>
      </w:r>
      <w:r>
        <w:rPr>
          <w:spacing w:val="-3"/>
        </w:rPr>
        <w:t>of </w:t>
      </w:r>
      <w:r>
        <w:rPr/>
        <w:t>scholarly writing and organizational strategies as </w:t>
      </w:r>
      <w:r>
        <w:rPr>
          <w:spacing w:val="-3"/>
        </w:rPr>
        <w:t>well </w:t>
      </w:r>
      <w:r>
        <w:rPr/>
        <w:t>as grammar, editing, and</w:t>
      </w:r>
      <w:r>
        <w:rPr>
          <w:spacing w:val="-3"/>
        </w:rPr>
        <w:t> </w:t>
      </w:r>
      <w:r>
        <w:rPr/>
        <w:t>usage.</w:t>
      </w:r>
    </w:p>
    <w:p>
      <w:pPr>
        <w:pStyle w:val="Heading6"/>
        <w:spacing w:line="249" w:lineRule="auto" w:before="136"/>
        <w:ind w:left="199" w:right="1281"/>
      </w:pPr>
      <w:r>
        <w:rPr/>
        <w:t>MHS 601 - INTRODUCTION TO RESEARCH ADMINISTRATION (3)</w:t>
      </w:r>
    </w:p>
    <w:p>
      <w:pPr>
        <w:pStyle w:val="BodyText"/>
        <w:spacing w:line="249" w:lineRule="auto" w:before="179"/>
        <w:ind w:left="199" w:right="733"/>
      </w:pPr>
      <w:r>
        <w:rPr/>
        <w:t>Students in this course are provided with an overview of the complex environment that supports the academic research enterprise from a historical and evolutionary perspective, including examples of seminal studies and research controversies. Students consider the partnerships between the federal government, industry, and academic and clinical research institutions. The course explores design and implementation human research studies and explores a variety of topics, including the components, general principles, and issues in academic research.</w:t>
      </w:r>
    </w:p>
    <w:p>
      <w:pPr>
        <w:pStyle w:val="Heading6"/>
        <w:spacing w:line="249" w:lineRule="auto" w:before="128"/>
        <w:ind w:left="199" w:right="1026"/>
        <w:jc w:val="both"/>
      </w:pPr>
      <w:r>
        <w:rPr/>
        <w:t>MHS 602 - LEGAL AND ETHICAL ISSUES FOR HEALTH, HUMAN SERVICES AND CLINICAL PROFESSIONALS (2)</w:t>
      </w:r>
    </w:p>
    <w:p>
      <w:pPr>
        <w:pStyle w:val="BodyText"/>
        <w:spacing w:line="249" w:lineRule="auto" w:before="184"/>
        <w:ind w:left="199" w:right="627"/>
      </w:pPr>
      <w:r>
        <w:rPr/>
        <w:t>This 8 week, 2 credit online course explores ethical and legal issues that are timely and germane to health professionals. This course is based on the premise that to act in an ethical manner means to engage in conduct according to accepted principles; and to improve moral confidence and moral action we must prepare the next generation of health professionals with the requisite ethical resources, tools and skills. A case-based learning design will be utilized to engage students in ethical discussion, exploration, analysis with the goal of determining ethical and legal action that is sound and logical.This course will prepare students to make ethical health care decisions in</w:t>
      </w:r>
    </w:p>
    <w:p>
      <w:pPr>
        <w:spacing w:after="0" w:line="249" w:lineRule="auto"/>
        <w:sectPr>
          <w:pgSz w:w="12240" w:h="15840"/>
          <w:pgMar w:header="746" w:footer="0" w:top="1320" w:bottom="280" w:left="880" w:right="300"/>
          <w:cols w:num="2" w:equalWidth="0">
            <w:col w:w="4961" w:space="526"/>
            <w:col w:w="5573"/>
          </w:cols>
        </w:sectPr>
      </w:pPr>
    </w:p>
    <w:p>
      <w:pPr>
        <w:pStyle w:val="BodyText"/>
        <w:spacing w:before="100"/>
      </w:pPr>
      <w:r>
        <w:rPr/>
        <w:t>the future.</w:t>
      </w:r>
    </w:p>
    <w:p>
      <w:pPr>
        <w:pStyle w:val="Heading6"/>
      </w:pPr>
      <w:r>
        <w:rPr/>
        <w:t>MHS 603 - SCIENCE WRITING PRINCIPLES (3)</w:t>
      </w:r>
    </w:p>
    <w:p>
      <w:pPr>
        <w:pStyle w:val="BodyText"/>
        <w:spacing w:line="249" w:lineRule="auto" w:before="187"/>
        <w:ind w:left="199" w:right="38"/>
      </w:pPr>
      <w:r>
        <w:rPr/>
        <w:t>This course provides a rigorous analysis of scientific writing </w:t>
      </w:r>
      <w:r>
        <w:rPr>
          <w:spacing w:val="-5"/>
        </w:rPr>
        <w:t>on </w:t>
      </w:r>
      <w:r>
        <w:rPr/>
        <w:t>the sentence and paragraph level. Students will master basic principles </w:t>
      </w:r>
      <w:r>
        <w:rPr>
          <w:spacing w:val="-3"/>
        </w:rPr>
        <w:t>of </w:t>
      </w:r>
      <w:r>
        <w:rPr/>
        <w:t>effective science writing, both through analyzing previously published scientific writing and through applying these principles in their </w:t>
      </w:r>
      <w:r>
        <w:rPr>
          <w:spacing w:val="-4"/>
        </w:rPr>
        <w:t>own </w:t>
      </w:r>
      <w:r>
        <w:rPr/>
        <w:t>writing. Students will </w:t>
      </w:r>
      <w:r>
        <w:rPr>
          <w:spacing w:val="-3"/>
        </w:rPr>
        <w:t>be </w:t>
      </w:r>
      <w:r>
        <w:rPr/>
        <w:t>developing a short research proposal throughout the course </w:t>
      </w:r>
      <w:r>
        <w:rPr>
          <w:spacing w:val="-5"/>
        </w:rPr>
        <w:t>on </w:t>
      </w:r>
      <w:r>
        <w:rPr/>
        <w:t>a topic </w:t>
      </w:r>
      <w:r>
        <w:rPr>
          <w:spacing w:val="-3"/>
        </w:rPr>
        <w:t>of </w:t>
      </w:r>
      <w:r>
        <w:rPr/>
        <w:t>their choice. The goal is to practice these principles in their </w:t>
      </w:r>
      <w:r>
        <w:rPr>
          <w:spacing w:val="-4"/>
        </w:rPr>
        <w:t>own </w:t>
      </w:r>
      <w:r>
        <w:rPr/>
        <w:t>writing, culminating in a small portfolio of their revised work produced in this class. Frequent instructor </w:t>
      </w:r>
      <w:r>
        <w:rPr>
          <w:spacing w:val="-3"/>
        </w:rPr>
        <w:t>feedback </w:t>
      </w:r>
      <w:r>
        <w:rPr/>
        <w:t>will give students numerous opportunities to further hone their writing</w:t>
      </w:r>
      <w:r>
        <w:rPr>
          <w:spacing w:val="1"/>
        </w:rPr>
        <w:t> </w:t>
      </w:r>
      <w:r>
        <w:rPr/>
        <w:t>skills.</w:t>
      </w:r>
    </w:p>
    <w:p>
      <w:pPr>
        <w:pStyle w:val="Heading6"/>
        <w:spacing w:line="249" w:lineRule="auto" w:before="129"/>
        <w:ind w:left="199" w:right="82"/>
      </w:pPr>
      <w:r>
        <w:rPr/>
        <w:t>MHS 605 - PERSPECTIVES ON GLOBAL HEALTH (3)</w:t>
      </w:r>
    </w:p>
    <w:p>
      <w:pPr>
        <w:pStyle w:val="BodyText"/>
        <w:spacing w:line="249" w:lineRule="auto" w:before="184"/>
        <w:ind w:left="199" w:right="42"/>
      </w:pPr>
      <w:r>
        <w:rPr/>
        <w:t>This course is an overview of the field </w:t>
      </w:r>
      <w:r>
        <w:rPr>
          <w:spacing w:val="-3"/>
        </w:rPr>
        <w:t>of </w:t>
      </w:r>
      <w:r>
        <w:rPr/>
        <w:t>global health. The </w:t>
      </w:r>
      <w:r>
        <w:rPr>
          <w:spacing w:val="-3"/>
        </w:rPr>
        <w:t>focus </w:t>
      </w:r>
      <w:r>
        <w:rPr/>
        <w:t>is </w:t>
      </w:r>
      <w:r>
        <w:rPr>
          <w:spacing w:val="-3"/>
        </w:rPr>
        <w:t>on </w:t>
      </w:r>
      <w:r>
        <w:rPr/>
        <w:t>analyzing and responding to </w:t>
      </w:r>
      <w:r>
        <w:rPr>
          <w:spacing w:val="-3"/>
        </w:rPr>
        <w:t>major global </w:t>
      </w:r>
      <w:r>
        <w:rPr/>
        <w:t>health challenges and international policies. </w:t>
      </w:r>
      <w:r>
        <w:rPr>
          <w:spacing w:val="-3"/>
        </w:rPr>
        <w:t>Analysis </w:t>
      </w:r>
      <w:r>
        <w:rPr/>
        <w:t>covers national and transnational health trends, including major communicable and noncommunicable disease burdens. The World </w:t>
      </w:r>
      <w:r>
        <w:rPr>
          <w:spacing w:val="-2"/>
        </w:rPr>
        <w:t>Health </w:t>
      </w:r>
      <w:r>
        <w:rPr/>
        <w:t>Organization - and other international health interventions that address the determinants </w:t>
      </w:r>
      <w:r>
        <w:rPr>
          <w:spacing w:val="-3"/>
        </w:rPr>
        <w:t>of </w:t>
      </w:r>
      <w:r>
        <w:rPr/>
        <w:t>health and disease and current and emerging </w:t>
      </w:r>
      <w:r>
        <w:rPr>
          <w:spacing w:val="-3"/>
        </w:rPr>
        <w:t>global </w:t>
      </w:r>
      <w:r>
        <w:rPr/>
        <w:t>health priorities, </w:t>
      </w:r>
      <w:r>
        <w:rPr>
          <w:spacing w:val="-3"/>
        </w:rPr>
        <w:t>such </w:t>
      </w:r>
      <w:r>
        <w:rPr/>
        <w:t>as disaster relief and infectious diseases - are assessed. Topics include key legal issues, ethics, and models </w:t>
      </w:r>
      <w:r>
        <w:rPr>
          <w:spacing w:val="-3"/>
        </w:rPr>
        <w:t>of </w:t>
      </w:r>
      <w:r>
        <w:rPr/>
        <w:t>reform to </w:t>
      </w:r>
      <w:r>
        <w:rPr>
          <w:spacing w:val="-3"/>
        </w:rPr>
        <w:t>global </w:t>
      </w:r>
      <w:r>
        <w:rPr/>
        <w:t>health programming and their applications. Skills are </w:t>
      </w:r>
      <w:r>
        <w:rPr>
          <w:spacing w:val="-2"/>
        </w:rPr>
        <w:t>developed </w:t>
      </w:r>
      <w:r>
        <w:rPr/>
        <w:t>in analysis, leadership, teamwork, and communication in a global context. </w:t>
      </w:r>
      <w:r>
        <w:rPr>
          <w:spacing w:val="-3"/>
        </w:rPr>
        <w:t>It </w:t>
      </w:r>
      <w:r>
        <w:rPr/>
        <w:t>is the first </w:t>
      </w:r>
      <w:r>
        <w:rPr>
          <w:spacing w:val="-3"/>
        </w:rPr>
        <w:t>of </w:t>
      </w:r>
      <w:r>
        <w:rPr/>
        <w:t>two core courses towards the global health certificate, and </w:t>
      </w:r>
      <w:r>
        <w:rPr>
          <w:spacing w:val="-4"/>
        </w:rPr>
        <w:t>lays </w:t>
      </w:r>
      <w:r>
        <w:rPr/>
        <w:t>the </w:t>
      </w:r>
      <w:r>
        <w:rPr>
          <w:spacing w:val="-3"/>
        </w:rPr>
        <w:t>global </w:t>
      </w:r>
      <w:r>
        <w:rPr/>
        <w:t>health framework </w:t>
      </w:r>
      <w:r>
        <w:rPr>
          <w:spacing w:val="-4"/>
        </w:rPr>
        <w:t>for </w:t>
      </w:r>
      <w:r>
        <w:rPr>
          <w:spacing w:val="-3"/>
        </w:rPr>
        <w:t>MHS </w:t>
      </w:r>
      <w:r>
        <w:rPr/>
        <w:t>610?s global health applications and challenge at the local </w:t>
      </w:r>
      <w:r>
        <w:rPr>
          <w:spacing w:val="-3"/>
        </w:rPr>
        <w:t>or </w:t>
      </w:r>
      <w:r>
        <w:rPr/>
        <w:t>community</w:t>
      </w:r>
      <w:r>
        <w:rPr>
          <w:spacing w:val="-6"/>
        </w:rPr>
        <w:t> </w:t>
      </w:r>
      <w:r>
        <w:rPr/>
        <w:t>level.</w:t>
      </w:r>
    </w:p>
    <w:p>
      <w:pPr>
        <w:pStyle w:val="Heading6"/>
        <w:spacing w:line="249" w:lineRule="auto" w:before="133"/>
        <w:ind w:left="199" w:right="1033"/>
      </w:pPr>
      <w:r>
        <w:rPr/>
        <w:t>MHS 607 - WRITING FOR SCHOLARLY JOURNALS (3)</w:t>
      </w:r>
    </w:p>
    <w:p>
      <w:pPr>
        <w:pStyle w:val="BodyText"/>
        <w:spacing w:line="249" w:lineRule="auto" w:before="179"/>
        <w:ind w:left="199" w:right="34"/>
      </w:pPr>
      <w:r>
        <w:rPr/>
        <w:t>This course provides students with a comprehensive overview of the process of writing for scholarly journals, focusing on the IMRD (Introduction, Methods, Results, Discussion) format commonly used for empirical work. Students will read and analyze articles from a variety of journals, focusing on both form and content of research articles, case studies, meta-analyses, and book reviews. Students will apply the course content to their own writing throughout the course, culminating in a portfolio of their revised work based on extensive instructor feedback.</w:t>
      </w:r>
    </w:p>
    <w:p>
      <w:pPr>
        <w:pStyle w:val="BodyText"/>
        <w:spacing w:line="249" w:lineRule="auto" w:before="7"/>
        <w:ind w:left="199" w:right="50"/>
      </w:pPr>
      <w:r>
        <w:rPr/>
        <w:t>Students can use their existing research to produce the various writing assignments during the course and use this as an opportunity to work on submitting an article for publication.</w:t>
      </w:r>
    </w:p>
    <w:p>
      <w:pPr>
        <w:pStyle w:val="Heading6"/>
        <w:spacing w:before="96"/>
        <w:ind w:left="199"/>
      </w:pPr>
      <w:r>
        <w:rPr>
          <w:b w:val="0"/>
        </w:rPr>
        <w:br w:type="column"/>
      </w:r>
      <w:r>
        <w:rPr/>
        <w:t>MHS 608 - RESEARCH SEMINAR I (3)</w:t>
      </w:r>
    </w:p>
    <w:p>
      <w:pPr>
        <w:pStyle w:val="BodyText"/>
        <w:spacing w:line="249" w:lineRule="auto" w:before="187"/>
        <w:ind w:left="199" w:right="718"/>
      </w:pPr>
      <w:r>
        <w:rPr/>
        <w:t>This 3-credit seminar course is designed to give students the basic information regarding health sciences research discoveries. It also provides students with the tools to approach translational research in their present and future work. The course covers the core competencies in clinical and translational research, and each session addresses a core thematic area.</w:t>
      </w:r>
    </w:p>
    <w:p>
      <w:pPr>
        <w:pStyle w:val="Heading6"/>
        <w:spacing w:before="125"/>
        <w:ind w:left="199"/>
      </w:pPr>
      <w:r>
        <w:rPr/>
        <w:t>MHS 609 - RESEARCH SEMINAR II (3)</w:t>
      </w:r>
    </w:p>
    <w:p>
      <w:pPr>
        <w:pStyle w:val="BodyText"/>
        <w:spacing w:line="249" w:lineRule="auto" w:before="193"/>
        <w:ind w:left="199" w:right="661"/>
      </w:pPr>
      <w:r>
        <w:rPr/>
        <w:t>This course is a continuation from Research Seminar I. Research groups work with a faculty mentor to prepare future clinicians to interpret the relevant literature and to be aware of the social, psychological, economic and cultural determinates of health. The course utilizes strategies to incorporate the principles of health promotion and disease prevention in order to promote optimal health care outcomes and to minimize health disparities.</w:t>
      </w:r>
    </w:p>
    <w:p>
      <w:pPr>
        <w:pStyle w:val="BodyText"/>
        <w:spacing w:before="6"/>
        <w:ind w:left="199"/>
      </w:pPr>
      <w:r>
        <w:rPr/>
        <w:t>Prerequisites: PREV 600, PREV 621, MHS 608</w:t>
      </w:r>
    </w:p>
    <w:p>
      <w:pPr>
        <w:pStyle w:val="Heading6"/>
        <w:spacing w:line="249" w:lineRule="auto"/>
        <w:ind w:left="199" w:right="1060"/>
      </w:pPr>
      <w:r>
        <w:rPr/>
        <w:t>MHS 610 - NATIONAL AND INTERNATIONAL APPROACHES TO HEALTHCARE AT THE COMMUNITY LEVEL (3)</w:t>
      </w:r>
    </w:p>
    <w:p>
      <w:pPr>
        <w:pStyle w:val="BodyText"/>
        <w:spacing w:line="249" w:lineRule="auto" w:before="179"/>
        <w:ind w:left="199" w:right="655"/>
      </w:pPr>
      <w:r>
        <w:rPr/>
        <w:t>This course applies the concepts, theories, and principles of the field </w:t>
      </w:r>
      <w:r>
        <w:rPr>
          <w:spacing w:val="-3"/>
        </w:rPr>
        <w:t>of </w:t>
      </w:r>
      <w:r>
        <w:rPr/>
        <w:t>global health presented in </w:t>
      </w:r>
      <w:r>
        <w:rPr>
          <w:spacing w:val="-3"/>
        </w:rPr>
        <w:t>MHS </w:t>
      </w:r>
      <w:r>
        <w:rPr/>
        <w:t>605 to the practical challenges facing global health professionals at the community implementation level. Each student selects a specific global health priority for a </w:t>
      </w:r>
      <w:r>
        <w:rPr>
          <w:spacing w:val="-3"/>
        </w:rPr>
        <w:t>given </w:t>
      </w:r>
      <w:r>
        <w:rPr/>
        <w:t>national </w:t>
      </w:r>
      <w:r>
        <w:rPr>
          <w:spacing w:val="-3"/>
        </w:rPr>
        <w:t>or geo- </w:t>
      </w:r>
      <w:r>
        <w:rPr/>
        <w:t>politically defined population to examine at the local/community level. Students explore how this local health plan differs from, and interacts with, national and international plans </w:t>
      </w:r>
      <w:r>
        <w:rPr>
          <w:spacing w:val="-4"/>
        </w:rPr>
        <w:t>for </w:t>
      </w:r>
      <w:r>
        <w:rPr/>
        <w:t>the same health issue.  The student?s selected case is then </w:t>
      </w:r>
      <w:r>
        <w:rPr>
          <w:spacing w:val="-3"/>
        </w:rPr>
        <w:t>be </w:t>
      </w:r>
      <w:r>
        <w:rPr/>
        <w:t>the primary focus for applying needs assessment methodologies, including epidemiological methods, mapping local, national, and global policy processes (based </w:t>
      </w:r>
      <w:r>
        <w:rPr>
          <w:spacing w:val="-3"/>
        </w:rPr>
        <w:t>on </w:t>
      </w:r>
      <w:r>
        <w:rPr/>
        <w:t>students? work in </w:t>
      </w:r>
      <w:r>
        <w:rPr>
          <w:spacing w:val="-3"/>
        </w:rPr>
        <w:t>MHS </w:t>
      </w:r>
      <w:r>
        <w:rPr/>
        <w:t>605), identifying strategies </w:t>
      </w:r>
      <w:r>
        <w:rPr>
          <w:spacing w:val="-4"/>
        </w:rPr>
        <w:t>for </w:t>
      </w:r>
      <w:r>
        <w:rPr/>
        <w:t>building local infrastructure and workforce capacity, analyzing financial opportunities and limitations, and assessing  the impact </w:t>
      </w:r>
      <w:r>
        <w:rPr>
          <w:spacing w:val="-3"/>
        </w:rPr>
        <w:t>of </w:t>
      </w:r>
      <w:r>
        <w:rPr/>
        <w:t>macro changes in the </w:t>
      </w:r>
      <w:r>
        <w:rPr>
          <w:spacing w:val="-3"/>
        </w:rPr>
        <w:t>global economy, </w:t>
      </w:r>
      <w:r>
        <w:rPr/>
        <w:t>political environment, and human rights and legal </w:t>
      </w:r>
      <w:r>
        <w:rPr>
          <w:spacing w:val="-3"/>
        </w:rPr>
        <w:t>systems on </w:t>
      </w:r>
      <w:r>
        <w:rPr/>
        <w:t>the locally identified health structures and </w:t>
      </w:r>
      <w:r>
        <w:rPr>
          <w:spacing w:val="-3"/>
        </w:rPr>
        <w:t>systems. </w:t>
      </w:r>
      <w:r>
        <w:rPr/>
        <w:t>Each student completes a final summary project report that will summarize findings regarding </w:t>
      </w:r>
      <w:r>
        <w:rPr>
          <w:spacing w:val="-3"/>
        </w:rPr>
        <w:t>scope, </w:t>
      </w:r>
      <w:r>
        <w:rPr/>
        <w:t>options, outcomes, and a recommended action plan </w:t>
      </w:r>
      <w:r>
        <w:rPr>
          <w:spacing w:val="-4"/>
        </w:rPr>
        <w:t>for </w:t>
      </w:r>
      <w:r>
        <w:rPr/>
        <w:t>improving the health status </w:t>
      </w:r>
      <w:r>
        <w:rPr>
          <w:spacing w:val="-3"/>
        </w:rPr>
        <w:t>of </w:t>
      </w:r>
      <w:r>
        <w:rPr/>
        <w:t>the local population group each student has</w:t>
      </w:r>
      <w:r>
        <w:rPr>
          <w:spacing w:val="2"/>
        </w:rPr>
        <w:t> </w:t>
      </w:r>
      <w:r>
        <w:rPr/>
        <w:t>studied.</w:t>
      </w:r>
    </w:p>
    <w:p>
      <w:pPr>
        <w:pStyle w:val="Heading6"/>
        <w:spacing w:before="137"/>
        <w:ind w:left="199"/>
      </w:pPr>
      <w:r>
        <w:rPr/>
        <w:t>MHS 611 - OBSERVATIONAL EPIDEMIOLOGY (3)</w:t>
      </w:r>
    </w:p>
    <w:p>
      <w:pPr>
        <w:pStyle w:val="BodyText"/>
        <w:spacing w:line="249" w:lineRule="auto" w:before="193"/>
        <w:ind w:left="199" w:right="784"/>
      </w:pPr>
      <w:r>
        <w:rPr/>
        <w:t>This course expands upon introductory epidemiology to develop the learner?s knowledge and skills in the design, conduct, analysis, and interpretation of non-experimental</w:t>
      </w:r>
    </w:p>
    <w:p>
      <w:pPr>
        <w:spacing w:after="0" w:line="249" w:lineRule="auto"/>
        <w:sectPr>
          <w:pgSz w:w="12240" w:h="15840"/>
          <w:pgMar w:header="746" w:footer="0" w:top="1320" w:bottom="280" w:left="880" w:right="300"/>
          <w:cols w:num="2" w:equalWidth="0">
            <w:col w:w="4947" w:space="539"/>
            <w:col w:w="5574"/>
          </w:cols>
        </w:sectPr>
      </w:pPr>
    </w:p>
    <w:p>
      <w:pPr>
        <w:pStyle w:val="BodyText"/>
        <w:spacing w:line="249" w:lineRule="auto" w:before="100"/>
        <w:ind w:right="58" w:hanging="1"/>
      </w:pPr>
      <w:r>
        <w:rPr/>
        <w:t>studies </w:t>
      </w:r>
      <w:r>
        <w:rPr>
          <w:spacing w:val="-3"/>
        </w:rPr>
        <w:t>of </w:t>
      </w:r>
      <w:r>
        <w:rPr/>
        <w:t>infectious and non-infectious diseases with special </w:t>
      </w:r>
      <w:r>
        <w:rPr>
          <w:spacing w:val="-3"/>
        </w:rPr>
        <w:t>focus on </w:t>
      </w:r>
      <w:r>
        <w:rPr/>
        <w:t>dissemination and implementation research in </w:t>
      </w:r>
      <w:r>
        <w:rPr>
          <w:spacing w:val="-3"/>
        </w:rPr>
        <w:t>global </w:t>
      </w:r>
      <w:r>
        <w:rPr/>
        <w:t>health. During this course, </w:t>
      </w:r>
      <w:r>
        <w:rPr>
          <w:spacing w:val="-4"/>
        </w:rPr>
        <w:t>we </w:t>
      </w:r>
      <w:r>
        <w:rPr/>
        <w:t>will discuss methods </w:t>
      </w:r>
      <w:r>
        <w:rPr>
          <w:spacing w:val="-3"/>
        </w:rPr>
        <w:t>of </w:t>
      </w:r>
      <w:r>
        <w:rPr/>
        <w:t>observational epidemiology relative to empirically supported models (e.g., CFIR, REAIM, PRECEDE/PROCEED, ISF, KTA) and </w:t>
      </w:r>
      <w:r>
        <w:rPr>
          <w:spacing w:val="-4"/>
        </w:rPr>
        <w:t>we </w:t>
      </w:r>
      <w:r>
        <w:rPr/>
        <w:t>will explore authoritative research syntheses in the dissemination and implementation </w:t>
      </w:r>
      <w:r>
        <w:rPr>
          <w:spacing w:val="-3"/>
        </w:rPr>
        <w:t>of </w:t>
      </w:r>
      <w:r>
        <w:rPr/>
        <w:t>evidence-based interventions. Students will also gain experience with and knowledge in designing and analyzing observational studies that provide evidence for the support </w:t>
      </w:r>
      <w:r>
        <w:rPr>
          <w:spacing w:val="-3"/>
        </w:rPr>
        <w:t>of </w:t>
      </w:r>
      <w:r>
        <w:rPr/>
        <w:t>global health interventions. Prerequisite: </w:t>
      </w:r>
      <w:r>
        <w:rPr>
          <w:spacing w:val="-3"/>
        </w:rPr>
        <w:t>MHS </w:t>
      </w:r>
      <w:r>
        <w:rPr/>
        <w:t>630 </w:t>
      </w:r>
      <w:r>
        <w:rPr>
          <w:spacing w:val="-3"/>
        </w:rPr>
        <w:t>or </w:t>
      </w:r>
      <w:r>
        <w:rPr/>
        <w:t>equivalent. </w:t>
      </w:r>
      <w:r>
        <w:rPr>
          <w:spacing w:val="-3"/>
        </w:rPr>
        <w:t>MHS </w:t>
      </w:r>
      <w:r>
        <w:rPr/>
        <w:t>615 (or related biostatistics) recommended.</w:t>
      </w:r>
    </w:p>
    <w:p>
      <w:pPr>
        <w:pStyle w:val="Heading6"/>
        <w:spacing w:line="249" w:lineRule="auto" w:before="129"/>
        <w:ind w:right="231"/>
      </w:pPr>
      <w:r>
        <w:rPr/>
        <w:t>MHS 612 - INTRODUCTION TO INTEGRATIVE HEALTH AND BIOLOGICAL AND BODY-BASED INTERVENTIONS (3)</w:t>
      </w:r>
    </w:p>
    <w:p>
      <w:pPr>
        <w:pStyle w:val="BodyText"/>
        <w:spacing w:line="249" w:lineRule="auto" w:before="180"/>
        <w:ind w:right="122"/>
      </w:pPr>
      <w:r>
        <w:rPr/>
        <w:t>In this course, students examine the fundamental concepts of integrative health and wellness (IHW) including the history, philosophies, and methods of prominent integrative therapies. Perceived differences between and limitations of traditional ?allopathic? medicine and IHW</w:t>
      </w:r>
    </w:p>
    <w:p>
      <w:pPr>
        <w:pStyle w:val="BodyText"/>
        <w:spacing w:line="249" w:lineRule="auto" w:before="4"/>
        <w:ind w:right="52"/>
      </w:pPr>
      <w:r>
        <w:rPr/>
        <w:t>?nontraditional? medicine are identified. Patients? motivations and patterns </w:t>
      </w:r>
      <w:r>
        <w:rPr>
          <w:spacing w:val="-3"/>
        </w:rPr>
        <w:t>of </w:t>
      </w:r>
      <w:r>
        <w:rPr/>
        <w:t>use of </w:t>
      </w:r>
      <w:r>
        <w:rPr>
          <w:spacing w:val="-3"/>
        </w:rPr>
        <w:t>IHW </w:t>
      </w:r>
      <w:r>
        <w:rPr/>
        <w:t>approaches are explored. Components </w:t>
      </w:r>
      <w:r>
        <w:rPr>
          <w:spacing w:val="-3"/>
        </w:rPr>
        <w:t>of </w:t>
      </w:r>
      <w:r>
        <w:rPr/>
        <w:t>the </w:t>
      </w:r>
      <w:r>
        <w:rPr>
          <w:spacing w:val="-3"/>
        </w:rPr>
        <w:t>five </w:t>
      </w:r>
      <w:r>
        <w:rPr/>
        <w:t>major areas </w:t>
      </w:r>
      <w:r>
        <w:rPr>
          <w:spacing w:val="-3"/>
        </w:rPr>
        <w:t>within IHW </w:t>
      </w:r>
      <w:r>
        <w:rPr/>
        <w:t>as identified by the National Institutes </w:t>
      </w:r>
      <w:r>
        <w:rPr>
          <w:spacing w:val="-3"/>
        </w:rPr>
        <w:t>of </w:t>
      </w:r>
      <w:r>
        <w:rPr/>
        <w:t>Health are introduced. These areas include alternative medical systems, body-based systems (massage, chiropractic, rolfing), mind-body medicine, biological approaches (herbal medicine, nutritional approaches, pharmacological therapies, Ayurveda), and bioelectromagnetics (energy healing). The state </w:t>
      </w:r>
      <w:r>
        <w:rPr>
          <w:spacing w:val="-3"/>
        </w:rPr>
        <w:t>of </w:t>
      </w:r>
      <w:r>
        <w:rPr/>
        <w:t>basic scientific knowledge and data from controlled trials relating to the safety, </w:t>
      </w:r>
      <w:r>
        <w:rPr>
          <w:spacing w:val="-3"/>
        </w:rPr>
        <w:t>efficacy, </w:t>
      </w:r>
      <w:r>
        <w:rPr/>
        <w:t>and mechanisms </w:t>
      </w:r>
      <w:r>
        <w:rPr>
          <w:spacing w:val="-3"/>
        </w:rPr>
        <w:t>of </w:t>
      </w:r>
      <w:r>
        <w:rPr/>
        <w:t>action </w:t>
      </w:r>
      <w:r>
        <w:rPr>
          <w:spacing w:val="-3"/>
        </w:rPr>
        <w:t>of </w:t>
      </w:r>
      <w:r>
        <w:rPr/>
        <w:t>integrative therapies are presented. </w:t>
      </w:r>
      <w:r>
        <w:rPr>
          <w:spacing w:val="-3"/>
        </w:rPr>
        <w:t>In </w:t>
      </w:r>
      <w:r>
        <w:rPr/>
        <w:t>the second half </w:t>
      </w:r>
      <w:r>
        <w:rPr>
          <w:spacing w:val="-3"/>
        </w:rPr>
        <w:t>of </w:t>
      </w:r>
      <w:r>
        <w:rPr/>
        <w:t>the course, an overview of the scientific evidence for the integrative biological and body-based approaches are provided. Theories </w:t>
      </w:r>
      <w:r>
        <w:rPr>
          <w:spacing w:val="-4"/>
        </w:rPr>
        <w:t>for </w:t>
      </w:r>
      <w:r>
        <w:rPr/>
        <w:t>how these approaches function to affect health are examined, such as psychoneuroimmunology, the role </w:t>
      </w:r>
      <w:r>
        <w:rPr>
          <w:spacing w:val="-3"/>
        </w:rPr>
        <w:t>of </w:t>
      </w:r>
      <w:r>
        <w:rPr/>
        <w:t>inflammation, and the gut microbiome. Key practice, legal, and ethical issues facing CAM researchers and practitioners are</w:t>
      </w:r>
      <w:r>
        <w:rPr>
          <w:spacing w:val="-11"/>
        </w:rPr>
        <w:t> </w:t>
      </w:r>
      <w:r>
        <w:rPr/>
        <w:t>reviewed.</w:t>
      </w:r>
    </w:p>
    <w:p>
      <w:pPr>
        <w:pStyle w:val="Heading6"/>
        <w:spacing w:line="249" w:lineRule="auto" w:before="134"/>
        <w:ind w:right="248"/>
      </w:pPr>
      <w:r>
        <w:rPr/>
        <w:t>MHS 613 - RESEARCH IMPLEMENTATION AND DISSEMINATION I (3)</w:t>
      </w:r>
    </w:p>
    <w:p>
      <w:pPr>
        <w:pStyle w:val="BodyText"/>
        <w:spacing w:line="249" w:lineRule="auto" w:before="184"/>
        <w:ind w:right="195"/>
      </w:pPr>
      <w:r>
        <w:rPr/>
        <w:t>The past several decades have witnessed advances in medical sciences and the discovery of new medications, vaccines, diagnostic tools, and other interventions that have the capacity to lead to large improvements in global health. However, the translation of research findings into practice has been slow and uneven. This has led to a widening gap between what is known to work and what</w:t>
      </w:r>
    </w:p>
    <w:p>
      <w:pPr>
        <w:pStyle w:val="BodyText"/>
        <w:spacing w:line="249" w:lineRule="auto" w:before="95"/>
        <w:ind w:right="648"/>
      </w:pPr>
      <w:r>
        <w:rPr/>
        <w:br w:type="column"/>
      </w:r>
      <w:r>
        <w:rPr/>
        <w:t>gets done in practice. There are also limitations </w:t>
      </w:r>
      <w:r>
        <w:rPr>
          <w:spacing w:val="-4"/>
        </w:rPr>
        <w:t>in </w:t>
      </w:r>
      <w:r>
        <w:rPr/>
        <w:t>applying research and evaluation approaches to identify and to address barriers in the scale-up </w:t>
      </w:r>
      <w:r>
        <w:rPr>
          <w:spacing w:val="-3"/>
        </w:rPr>
        <w:t>of </w:t>
      </w:r>
      <w:r>
        <w:rPr/>
        <w:t>evidence-based interventions in local settings. This course provides an introduction to the emerging field </w:t>
      </w:r>
      <w:r>
        <w:rPr>
          <w:spacing w:val="-3"/>
        </w:rPr>
        <w:t>of </w:t>
      </w:r>
      <w:r>
        <w:rPr/>
        <w:t>implementation science by reviewing relevant theoretical frameworks, designs and methods, </w:t>
      </w:r>
      <w:r>
        <w:rPr>
          <w:spacing w:val="-3"/>
        </w:rPr>
        <w:t>with </w:t>
      </w:r>
      <w:r>
        <w:rPr/>
        <w:t>special </w:t>
      </w:r>
      <w:r>
        <w:rPr>
          <w:spacing w:val="-3"/>
        </w:rPr>
        <w:t>focus on HIV </w:t>
      </w:r>
      <w:r>
        <w:rPr/>
        <w:t>and other infectious diseases as </w:t>
      </w:r>
      <w:r>
        <w:rPr>
          <w:spacing w:val="-3"/>
        </w:rPr>
        <w:t>well </w:t>
      </w:r>
      <w:r>
        <w:rPr/>
        <w:t>as emerging non-communicable diseases in resource-limited</w:t>
      </w:r>
      <w:r>
        <w:rPr>
          <w:spacing w:val="3"/>
        </w:rPr>
        <w:t> </w:t>
      </w:r>
      <w:r>
        <w:rPr/>
        <w:t>settings.</w:t>
      </w:r>
    </w:p>
    <w:p>
      <w:pPr>
        <w:pStyle w:val="Heading6"/>
        <w:spacing w:line="249" w:lineRule="auto" w:before="127"/>
        <w:ind w:right="825"/>
      </w:pPr>
      <w:r>
        <w:rPr/>
        <w:t>MHS 614 - RESEARCH IMPLEMENTATION AND DISSEMINATION II (3)</w:t>
      </w:r>
    </w:p>
    <w:p>
      <w:pPr>
        <w:pStyle w:val="BodyText"/>
        <w:spacing w:line="249" w:lineRule="auto" w:before="179"/>
        <w:ind w:right="618"/>
      </w:pPr>
      <w:r>
        <w:rPr/>
        <w:t>Dissemination and implementation (DI) science facilitates the translation </w:t>
      </w:r>
      <w:r>
        <w:rPr>
          <w:spacing w:val="-3"/>
        </w:rPr>
        <w:t>of </w:t>
      </w:r>
      <w:r>
        <w:rPr/>
        <w:t>evidence-based interventions into practice to improve lives. Translating research into practice is a complex </w:t>
      </w:r>
      <w:r>
        <w:rPr>
          <w:spacing w:val="-3"/>
        </w:rPr>
        <w:t>process </w:t>
      </w:r>
      <w:r>
        <w:rPr/>
        <w:t>that </w:t>
      </w:r>
      <w:r>
        <w:rPr>
          <w:spacing w:val="-3"/>
        </w:rPr>
        <w:t>involves </w:t>
      </w:r>
      <w:r>
        <w:rPr/>
        <w:t>application </w:t>
      </w:r>
      <w:r>
        <w:rPr>
          <w:spacing w:val="-3"/>
        </w:rPr>
        <w:t>of </w:t>
      </w:r>
      <w:r>
        <w:rPr/>
        <w:t>DI research methods and principles. This research seminar builds </w:t>
      </w:r>
      <w:r>
        <w:rPr>
          <w:spacing w:val="-3"/>
        </w:rPr>
        <w:t>on </w:t>
      </w:r>
      <w:r>
        <w:rPr/>
        <w:t>the introductory course, </w:t>
      </w:r>
      <w:r>
        <w:rPr>
          <w:spacing w:val="-3"/>
        </w:rPr>
        <w:t>MHS </w:t>
      </w:r>
      <w:r>
        <w:rPr/>
        <w:t>613 Research Implementation and Dissemination </w:t>
      </w:r>
      <w:r>
        <w:rPr>
          <w:spacing w:val="-3"/>
        </w:rPr>
        <w:t>I. </w:t>
      </w:r>
      <w:r>
        <w:rPr/>
        <w:t>Students will learn about more advanced DI research methods, and will develop a comprehensive research proposal. Prerequisite: </w:t>
      </w:r>
      <w:r>
        <w:rPr>
          <w:spacing w:val="-3"/>
        </w:rPr>
        <w:t>MHS</w:t>
      </w:r>
      <w:r>
        <w:rPr>
          <w:spacing w:val="1"/>
        </w:rPr>
        <w:t> </w:t>
      </w:r>
      <w:r>
        <w:rPr/>
        <w:t>613</w:t>
      </w:r>
    </w:p>
    <w:p>
      <w:pPr>
        <w:pStyle w:val="Heading6"/>
        <w:spacing w:line="249" w:lineRule="auto" w:before="127"/>
        <w:ind w:right="1458"/>
      </w:pPr>
      <w:r>
        <w:rPr/>
        <w:t>MHS 615 - BIOSTATISTICS FOR HEALTH PROFESSIONALS (3)</w:t>
      </w:r>
    </w:p>
    <w:p>
      <w:pPr>
        <w:pStyle w:val="BodyText"/>
        <w:spacing w:line="249" w:lineRule="auto" w:before="184"/>
        <w:ind w:right="619"/>
      </w:pPr>
      <w:r>
        <w:rPr/>
        <w:t>This course is designed to introduce students to a broad range </w:t>
      </w:r>
      <w:r>
        <w:rPr>
          <w:spacing w:val="-3"/>
        </w:rPr>
        <w:t>of </w:t>
      </w:r>
      <w:r>
        <w:rPr/>
        <w:t>methods commonly used in biomedical and public health research, and to provide some hands-on data analysis experience. Topics include the role </w:t>
      </w:r>
      <w:r>
        <w:rPr>
          <w:spacing w:val="-3"/>
        </w:rPr>
        <w:t>of </w:t>
      </w:r>
      <w:r>
        <w:rPr/>
        <w:t>statistics in science, properties </w:t>
      </w:r>
      <w:r>
        <w:rPr>
          <w:spacing w:val="-3"/>
        </w:rPr>
        <w:t>of </w:t>
      </w:r>
      <w:r>
        <w:rPr/>
        <w:t>distributions, exploratory data analysis, inference about means, proportions and survival distributions, and introduction to multivariable</w:t>
      </w:r>
      <w:r>
        <w:rPr>
          <w:spacing w:val="-13"/>
        </w:rPr>
        <w:t> </w:t>
      </w:r>
      <w:r>
        <w:rPr/>
        <w:t>methods.</w:t>
      </w:r>
    </w:p>
    <w:p>
      <w:pPr>
        <w:pStyle w:val="BodyText"/>
        <w:spacing w:line="249" w:lineRule="auto" w:before="5"/>
        <w:ind w:right="865"/>
      </w:pPr>
      <w:r>
        <w:rPr/>
        <w:t>MHS 615 is for physician assistant students only; cross- listed with PREV 621.</w:t>
      </w:r>
    </w:p>
    <w:p>
      <w:pPr>
        <w:pStyle w:val="Heading6"/>
        <w:spacing w:line="249" w:lineRule="auto" w:before="122"/>
        <w:ind w:right="969"/>
      </w:pPr>
      <w:r>
        <w:rPr/>
        <w:t>MHS 618 - REGULATORY &amp; LEGAL ISSUES IN RESEARCH (3)</w:t>
      </w:r>
    </w:p>
    <w:p>
      <w:pPr>
        <w:pStyle w:val="BodyText"/>
        <w:spacing w:line="249" w:lineRule="auto" w:before="179"/>
        <w:ind w:right="666"/>
      </w:pPr>
      <w:r>
        <w:rPr/>
        <w:t>Research </w:t>
      </w:r>
      <w:r>
        <w:rPr>
          <w:spacing w:val="-3"/>
        </w:rPr>
        <w:t>involves </w:t>
      </w:r>
      <w:r>
        <w:rPr/>
        <w:t>many ethical, legal, and regulatory issues related to the treatment </w:t>
      </w:r>
      <w:r>
        <w:rPr>
          <w:spacing w:val="-3"/>
        </w:rPr>
        <w:t>of </w:t>
      </w:r>
      <w:r>
        <w:rPr/>
        <w:t>subjects, personal privacy, and institutional compliance. This course examines ethical </w:t>
      </w:r>
      <w:r>
        <w:rPr>
          <w:spacing w:val="-3"/>
        </w:rPr>
        <w:t>codes </w:t>
      </w:r>
      <w:r>
        <w:rPr/>
        <w:t>of conduct, regulatory requirements, and existing </w:t>
      </w:r>
      <w:r>
        <w:rPr>
          <w:spacing w:val="-3"/>
        </w:rPr>
        <w:t>laws </w:t>
      </w:r>
      <w:r>
        <w:rPr/>
        <w:t>that govern research, recruitment and protection </w:t>
      </w:r>
      <w:r>
        <w:rPr>
          <w:spacing w:val="-3"/>
        </w:rPr>
        <w:t>of </w:t>
      </w:r>
      <w:r>
        <w:rPr/>
        <w:t>human subjects; diversity and vulnerable populations in research; informed consent; privacy and confidentiality; the role </w:t>
      </w:r>
      <w:r>
        <w:rPr>
          <w:spacing w:val="-3"/>
        </w:rPr>
        <w:t>of </w:t>
      </w:r>
      <w:r>
        <w:rPr/>
        <w:t>independent review committees; and the importance </w:t>
      </w:r>
      <w:r>
        <w:rPr>
          <w:spacing w:val="-3"/>
        </w:rPr>
        <w:t>of </w:t>
      </w:r>
      <w:r>
        <w:rPr/>
        <w:t>reporting serious adverse</w:t>
      </w:r>
      <w:r>
        <w:rPr>
          <w:spacing w:val="-2"/>
        </w:rPr>
        <w:t> </w:t>
      </w:r>
      <w:r>
        <w:rPr/>
        <w:t>events.</w:t>
      </w:r>
    </w:p>
    <w:p>
      <w:pPr>
        <w:pStyle w:val="Heading6"/>
        <w:spacing w:line="249" w:lineRule="auto" w:before="127"/>
        <w:ind w:right="1108"/>
      </w:pPr>
      <w:r>
        <w:rPr/>
        <w:t>MHS 619 - CLINICAL APPLICATION OF INTEGRATIVE HEALTH AND WELLNESS (3)</w:t>
      </w:r>
    </w:p>
    <w:p>
      <w:pPr>
        <w:pStyle w:val="BodyText"/>
        <w:spacing w:line="249" w:lineRule="auto" w:before="184"/>
        <w:ind w:right="861"/>
      </w:pPr>
      <w:r>
        <w:rPr/>
        <w:t>This course provide students with an interprofessional overview of the clinical application of integrative health</w:t>
      </w:r>
    </w:p>
    <w:p>
      <w:pPr>
        <w:spacing w:after="0" w:line="249" w:lineRule="auto"/>
        <w:sectPr>
          <w:pgSz w:w="12240" w:h="15840"/>
          <w:pgMar w:header="746" w:footer="0" w:top="1320" w:bottom="280" w:left="880" w:right="300"/>
          <w:cols w:num="2" w:equalWidth="0">
            <w:col w:w="4997" w:space="489"/>
            <w:col w:w="5574"/>
          </w:cols>
        </w:sectPr>
      </w:pPr>
    </w:p>
    <w:p>
      <w:pPr>
        <w:pStyle w:val="BodyText"/>
        <w:spacing w:line="249" w:lineRule="auto" w:before="100"/>
        <w:ind w:right="71"/>
      </w:pPr>
      <w:r>
        <w:rPr/>
        <w:t>and wellness approaches. Students learn the skills necessary for developing an effective therapeutic practitioner-patient relationship and the strategies for communicating and educating patients about integrative health and wellness approaches, potential benefits, and possible risks. The factors affecting the utilization, interpretation, and patient understanding of these therapies are also examined. Clinical decision-making and the influence of research on recommendations and evaluation are examined. Students learn how the integrative assessment differs from the conventional assessment process, and they learn how to develop an integrative treatment plan. Numerous case studies demonstrating the application of integrative approaches for the treatment and prevention of common and chronic diseases are analyzed. Finally, the challenges in developing research to adequately examine the integrative approach as it is applied in clinical practice are discussed.</w:t>
      </w:r>
    </w:p>
    <w:p>
      <w:pPr>
        <w:pStyle w:val="Heading6"/>
        <w:spacing w:line="249" w:lineRule="auto" w:before="133"/>
        <w:ind w:right="367"/>
      </w:pPr>
      <w:r>
        <w:rPr/>
        <w:t>MHS 622 - IMPROVING QUALITY OF CARE IN HEALTH SYSTEMS (3)</w:t>
      </w:r>
    </w:p>
    <w:p>
      <w:pPr>
        <w:pStyle w:val="BodyText"/>
        <w:spacing w:line="249" w:lineRule="auto" w:before="179"/>
        <w:ind w:right="23"/>
      </w:pPr>
      <w:r>
        <w:rPr/>
        <w:t>This course explores health policy, finance and system issues that are timely and germane to health professionals. The course is based on the premise that - to practice in today?s complex healthcare environment - students must understand the economic and theoretical underpinnings of the health system. A case-based learning design is utilized to engage students in discussion, exploration, analysis with the goal of improving the safety and quality of care provided in health systems. This course will prepare students to make informed health care decisions related to practice, health finance, and patient safety in the future.</w:t>
      </w:r>
    </w:p>
    <w:p>
      <w:pPr>
        <w:pStyle w:val="Heading6"/>
        <w:spacing w:line="249" w:lineRule="auto" w:before="128"/>
        <w:ind w:left="199" w:right="812"/>
      </w:pPr>
      <w:r>
        <w:rPr/>
        <w:t>MHS 627 - WRITING FOR THE PUBLIC (3) MHS 628 - INTEGRATIVE HEALTH AND WELLNESS COACHING (3)</w:t>
      </w:r>
    </w:p>
    <w:p>
      <w:pPr>
        <w:pStyle w:val="BodyText"/>
        <w:spacing w:line="249" w:lineRule="auto"/>
        <w:ind w:left="199" w:right="142"/>
      </w:pPr>
      <w:r>
        <w:rPr/>
        <w:t>In this course, students learn the fundamentals of health coaching; a process of guiding and empowering clients to make and sustain choices to achieve health and wellness. The course provides a review of the frameworks and techniques of health coaching from a holistic perspective, including assessment, identification of goals and barriers, development of action plans, implementation strategies, and monitoring progress. Students will learn and apply health behavior change theories and models, as well as interventions from integrative health and wellness.</w:t>
      </w:r>
    </w:p>
    <w:p>
      <w:pPr>
        <w:pStyle w:val="BodyText"/>
        <w:spacing w:line="249" w:lineRule="auto" w:before="7"/>
        <w:ind w:left="199" w:right="54"/>
      </w:pPr>
      <w:r>
        <w:rPr/>
        <w:t>Learning activities include a review of empirical research, class discussions, peer coaching activities, independent assignments, and a class compilation of personal, social, lifestyle, and medical resources to encourage client wellness. Peer coaching sessions allow students to experience the role of a health and wellness coach and that</w:t>
      </w:r>
    </w:p>
    <w:p>
      <w:pPr>
        <w:pStyle w:val="BodyText"/>
        <w:spacing w:before="95"/>
      </w:pPr>
      <w:r>
        <w:rPr/>
        <w:br w:type="column"/>
      </w:r>
      <w:r>
        <w:rPr/>
        <w:t>of a coaching client.</w:t>
      </w:r>
    </w:p>
    <w:p>
      <w:pPr>
        <w:pStyle w:val="Heading6"/>
        <w:spacing w:line="249" w:lineRule="auto"/>
        <w:ind w:right="1803"/>
      </w:pPr>
      <w:r>
        <w:rPr/>
        <w:t>MHS 630 - ESSENTIALS OF CHRONIC INFECTIOUS EPIDEMIOLOGY (3)</w:t>
      </w:r>
    </w:p>
    <w:p>
      <w:pPr>
        <w:pStyle w:val="BodyText"/>
        <w:spacing w:line="249" w:lineRule="auto" w:before="179"/>
        <w:ind w:right="619"/>
      </w:pPr>
      <w:r>
        <w:rPr/>
        <w:t>In the past 15 years, </w:t>
      </w:r>
      <w:r>
        <w:rPr>
          <w:spacing w:val="-4"/>
        </w:rPr>
        <w:t>we </w:t>
      </w:r>
      <w:r>
        <w:rPr/>
        <w:t>have </w:t>
      </w:r>
      <w:r>
        <w:rPr>
          <w:spacing w:val="-3"/>
        </w:rPr>
        <w:t>seen </w:t>
      </w:r>
      <w:r>
        <w:rPr/>
        <w:t>a rise in chronic disease impacted by behavior and </w:t>
      </w:r>
      <w:r>
        <w:rPr>
          <w:spacing w:val="-3"/>
        </w:rPr>
        <w:t>policy, </w:t>
      </w:r>
      <w:r>
        <w:rPr/>
        <w:t>infectious disease outbreaks and new mechanisms </w:t>
      </w:r>
      <w:r>
        <w:rPr>
          <w:spacing w:val="-3"/>
        </w:rPr>
        <w:t>of </w:t>
      </w:r>
      <w:r>
        <w:rPr/>
        <w:t>spread never </w:t>
      </w:r>
      <w:r>
        <w:rPr>
          <w:spacing w:val="-3"/>
        </w:rPr>
        <w:t>seen </w:t>
      </w:r>
      <w:r>
        <w:rPr/>
        <w:t>before in the </w:t>
      </w:r>
      <w:r>
        <w:rPr>
          <w:spacing w:val="-3"/>
        </w:rPr>
        <w:t>US. </w:t>
      </w:r>
      <w:r>
        <w:rPr/>
        <w:t>Clinicians must consider the biosocial impact </w:t>
      </w:r>
      <w:r>
        <w:rPr>
          <w:spacing w:val="-3"/>
        </w:rPr>
        <w:t>of </w:t>
      </w:r>
      <w:r>
        <w:rPr/>
        <w:t>globalization and environmental change </w:t>
      </w:r>
      <w:r>
        <w:rPr>
          <w:spacing w:val="-4"/>
        </w:rPr>
        <w:t>upon </w:t>
      </w:r>
      <w:r>
        <w:rPr/>
        <w:t>health and disease. </w:t>
      </w:r>
      <w:r>
        <w:rPr>
          <w:spacing w:val="-3"/>
        </w:rPr>
        <w:t>In </w:t>
      </w:r>
      <w:r>
        <w:rPr/>
        <w:t>this course </w:t>
      </w:r>
      <w:r>
        <w:rPr>
          <w:spacing w:val="-4"/>
        </w:rPr>
        <w:t>we </w:t>
      </w:r>
      <w:r>
        <w:rPr/>
        <w:t>present fundamental concepts of epidemiology to assist the new clinician in their efforts to critically evaluate the health and medical literature, participate in monitoring and surveillance </w:t>
      </w:r>
      <w:r>
        <w:rPr>
          <w:spacing w:val="-3"/>
        </w:rPr>
        <w:t>of </w:t>
      </w:r>
      <w:r>
        <w:rPr/>
        <w:t>disease, and interpret data in their individual practice, community and nation to improve care in </w:t>
      </w:r>
      <w:r>
        <w:rPr>
          <w:spacing w:val="-3"/>
        </w:rPr>
        <w:t>their </w:t>
      </w:r>
      <w:r>
        <w:rPr/>
        <w:t>practice and professional</w:t>
      </w:r>
      <w:r>
        <w:rPr>
          <w:spacing w:val="-2"/>
        </w:rPr>
        <w:t> </w:t>
      </w:r>
      <w:r>
        <w:rPr/>
        <w:t>sphere.</w:t>
      </w:r>
    </w:p>
    <w:p>
      <w:pPr>
        <w:pStyle w:val="Heading6"/>
        <w:spacing w:line="249" w:lineRule="auto" w:before="129"/>
        <w:ind w:right="615"/>
      </w:pPr>
      <w:r>
        <w:rPr/>
        <w:t>MHS 631 - GLOBAL NON-COMMUNICABLE (NCD) EPIDEMIOLOGY (3)</w:t>
      </w:r>
    </w:p>
    <w:p>
      <w:pPr>
        <w:pStyle w:val="Heading6"/>
        <w:spacing w:line="249" w:lineRule="auto" w:before="2"/>
        <w:ind w:right="764"/>
      </w:pPr>
      <w:r>
        <w:rPr/>
        <w:t>MHS 633 - CLINICALLY APPLIED CONCEPTS IN SOCIAL AND BEHAVIORAL HEALTH (3)</w:t>
      </w:r>
    </w:p>
    <w:p>
      <w:pPr>
        <w:pStyle w:val="BodyText"/>
        <w:spacing w:line="249" w:lineRule="auto" w:before="184"/>
        <w:ind w:right="621"/>
      </w:pPr>
      <w:r>
        <w:rPr/>
        <w:t>This core course focuses </w:t>
      </w:r>
      <w:r>
        <w:rPr>
          <w:spacing w:val="-3"/>
        </w:rPr>
        <w:t>on </w:t>
      </w:r>
      <w:r>
        <w:rPr/>
        <w:t>the proposition that health is driven by behaviors </w:t>
      </w:r>
      <w:r>
        <w:rPr>
          <w:spacing w:val="-3"/>
        </w:rPr>
        <w:t>of </w:t>
      </w:r>
      <w:r>
        <w:rPr/>
        <w:t>the patient, community, </w:t>
      </w:r>
      <w:r>
        <w:rPr>
          <w:spacing w:val="-3"/>
        </w:rPr>
        <w:t>or society, </w:t>
      </w:r>
      <w:r>
        <w:rPr/>
        <w:t>and </w:t>
      </w:r>
      <w:r>
        <w:rPr>
          <w:spacing w:val="-3"/>
        </w:rPr>
        <w:t>by </w:t>
      </w:r>
      <w:r>
        <w:rPr/>
        <w:t>the health professional. The course discusses six different </w:t>
      </w:r>
      <w:r>
        <w:rPr>
          <w:spacing w:val="-3"/>
        </w:rPr>
        <w:t>behavior </w:t>
      </w:r>
      <w:r>
        <w:rPr/>
        <w:t>theories that </w:t>
      </w:r>
      <w:r>
        <w:rPr>
          <w:spacing w:val="-3"/>
        </w:rPr>
        <w:t>effect </w:t>
      </w:r>
      <w:r>
        <w:rPr/>
        <w:t>health promotion practice </w:t>
      </w:r>
      <w:r>
        <w:rPr>
          <w:spacing w:val="-3"/>
        </w:rPr>
        <w:t>whether  with </w:t>
      </w:r>
      <w:r>
        <w:rPr/>
        <w:t>a patient </w:t>
      </w:r>
      <w:r>
        <w:rPr>
          <w:spacing w:val="-3"/>
        </w:rPr>
        <w:t>or </w:t>
      </w:r>
      <w:r>
        <w:rPr/>
        <w:t>the environment in which the patient </w:t>
      </w:r>
      <w:r>
        <w:rPr>
          <w:spacing w:val="-3"/>
        </w:rPr>
        <w:t>lives </w:t>
      </w:r>
      <w:r>
        <w:rPr/>
        <w:t>and works. It integrates these six behavior theories into three levels of activity (individual, community, societal) and defines their outcomes within the Social Determinants </w:t>
      </w:r>
      <w:r>
        <w:rPr>
          <w:spacing w:val="-3"/>
        </w:rPr>
        <w:t>of </w:t>
      </w:r>
      <w:r>
        <w:rPr/>
        <w:t>Health.  </w:t>
      </w:r>
      <w:r>
        <w:rPr>
          <w:spacing w:val="-3"/>
        </w:rPr>
        <w:t>In </w:t>
      </w:r>
      <w:r>
        <w:rPr/>
        <w:t>illustrating these theories and their outcomes, the course also defines and provides an overview of nine health issues common </w:t>
      </w:r>
      <w:r>
        <w:rPr>
          <w:spacing w:val="-4"/>
        </w:rPr>
        <w:t>in </w:t>
      </w:r>
      <w:r>
        <w:rPr/>
        <w:t>health care </w:t>
      </w:r>
      <w:r>
        <w:rPr>
          <w:spacing w:val="-3"/>
        </w:rPr>
        <w:t>delivery. </w:t>
      </w:r>
      <w:r>
        <w:rPr/>
        <w:t>Pre-requisites: </w:t>
      </w:r>
      <w:r>
        <w:rPr>
          <w:spacing w:val="-3"/>
        </w:rPr>
        <w:t>MHS </w:t>
      </w:r>
      <w:r>
        <w:rPr/>
        <w:t>600 and </w:t>
      </w:r>
      <w:r>
        <w:rPr>
          <w:spacing w:val="-3"/>
        </w:rPr>
        <w:t>MHS </w:t>
      </w:r>
      <w:r>
        <w:rPr/>
        <w:t>602.</w:t>
      </w:r>
    </w:p>
    <w:p>
      <w:pPr>
        <w:pStyle w:val="Heading6"/>
        <w:spacing w:line="249" w:lineRule="auto" w:before="129"/>
        <w:ind w:right="1981"/>
      </w:pPr>
      <w:r>
        <w:rPr/>
        <w:t>MHS 635 - GRANT AND CONTRACT MANAGEMENT IN RESEARCH (3)</w:t>
      </w:r>
    </w:p>
    <w:p>
      <w:pPr>
        <w:pStyle w:val="BodyText"/>
        <w:spacing w:line="249" w:lineRule="auto" w:before="179"/>
        <w:ind w:right="646"/>
      </w:pPr>
      <w:r>
        <w:rPr/>
        <w:t>This course covers all topics related to grants management and awards. Students learn how to set-up grant proposals and awards, bill and perform cost reimbursement, and distribute indirect costs. Students will examine the various aspects of maintaining grant and contracts awards including increasing or decreasing award funding, adjusting the award budget, updating grant information, updating project status, and closing a grant or contract.</w:t>
      </w:r>
    </w:p>
    <w:p>
      <w:pPr>
        <w:pStyle w:val="Heading6"/>
        <w:spacing w:line="249" w:lineRule="auto" w:before="126"/>
        <w:ind w:right="737"/>
      </w:pPr>
      <w:r>
        <w:rPr/>
        <w:t>MHS 636 - ADVANCED SKILLS IN INTEGRATIVE MIND-BODY INTERVENTIONS (3)</w:t>
      </w:r>
    </w:p>
    <w:p>
      <w:pPr>
        <w:pStyle w:val="BodyText"/>
        <w:spacing w:line="249" w:lineRule="auto" w:before="184"/>
        <w:ind w:left="199" w:right="737"/>
      </w:pPr>
      <w:r>
        <w:rPr/>
        <w:t>This course is designed to provide students with an evidence-based and experiential understanding of mind- body approaches to promoting health and healing disease. Students are provided with an overview of the scientific</w:t>
      </w:r>
    </w:p>
    <w:p>
      <w:pPr>
        <w:spacing w:after="0" w:line="249" w:lineRule="auto"/>
        <w:sectPr>
          <w:pgSz w:w="12240" w:h="15840"/>
          <w:pgMar w:header="746" w:footer="0" w:top="1320" w:bottom="280" w:left="880" w:right="300"/>
          <w:cols w:num="2" w:equalWidth="0">
            <w:col w:w="4971" w:space="515"/>
            <w:col w:w="5574"/>
          </w:cols>
        </w:sectPr>
      </w:pPr>
    </w:p>
    <w:p>
      <w:pPr>
        <w:pStyle w:val="BodyText"/>
        <w:spacing w:line="249" w:lineRule="auto" w:before="100"/>
        <w:ind w:right="74"/>
      </w:pPr>
      <w:r>
        <w:rPr/>
        <w:t>evidence for the efficacy and mechanisms of action of mind-body therapies for health promotion and treatment of disease. Students learn advanced skills in approaches that promote and/or rely on the connection between the mind and body. These include meditation, mindfulness, guided imagery, hypnosis, acupuncture, yoga, Tai chi, Qigong, spirituality and energy therapies, journaling, and creative art therapies. Students participate in experiential learning by practicing mind-body approaches and by interacting with an integrative health provider to increase their self- awareness of the interconnections between the emotional, physical, mental, social, and spiritual aspects of health.</w:t>
      </w:r>
    </w:p>
    <w:p>
      <w:pPr>
        <w:pStyle w:val="Heading6"/>
        <w:spacing w:line="249" w:lineRule="auto" w:before="129"/>
        <w:ind w:right="247"/>
      </w:pPr>
      <w:r>
        <w:rPr/>
        <w:t>MHS 637 - WRITING PROPOSALS AND GRANTS (3)</w:t>
      </w:r>
    </w:p>
    <w:p>
      <w:pPr>
        <w:pStyle w:val="BodyText"/>
        <w:spacing w:line="249" w:lineRule="auto" w:before="179"/>
        <w:ind w:right="38"/>
      </w:pPr>
      <w:r>
        <w:rPr/>
        <w:t>This introductory course is designed to help students develop basic competencies in the grant application process for a broad range </w:t>
      </w:r>
      <w:r>
        <w:rPr>
          <w:spacing w:val="-3"/>
        </w:rPr>
        <w:t>of </w:t>
      </w:r>
      <w:r>
        <w:rPr/>
        <w:t>funding agencies. Students select a </w:t>
      </w:r>
      <w:r>
        <w:rPr>
          <w:spacing w:val="-3"/>
        </w:rPr>
        <w:t>project </w:t>
      </w:r>
      <w:r>
        <w:rPr/>
        <w:t>that needs funding from a </w:t>
      </w:r>
      <w:r>
        <w:rPr>
          <w:spacing w:val="-3"/>
        </w:rPr>
        <w:t>pool of </w:t>
      </w:r>
      <w:r>
        <w:rPr/>
        <w:t>already prepared projects. They then research public and private funding agencies and will evaluate the objectives of these agencies. Students describe the potential grantee to highlight past achievements and to demonstrate expertise, and describe how the proposed project will </w:t>
      </w:r>
      <w:r>
        <w:rPr>
          <w:spacing w:val="-3"/>
        </w:rPr>
        <w:t>be </w:t>
      </w:r>
      <w:r>
        <w:rPr/>
        <w:t>executed and what the expected outcomes will </w:t>
      </w:r>
      <w:r>
        <w:rPr>
          <w:spacing w:val="-3"/>
        </w:rPr>
        <w:t>be. </w:t>
      </w:r>
      <w:r>
        <w:rPr/>
        <w:t>Students will read and critique examples </w:t>
      </w:r>
      <w:r>
        <w:rPr>
          <w:spacing w:val="-3"/>
        </w:rPr>
        <w:t>of </w:t>
      </w:r>
      <w:r>
        <w:rPr/>
        <w:t>effective and </w:t>
      </w:r>
      <w:r>
        <w:rPr>
          <w:spacing w:val="-3"/>
        </w:rPr>
        <w:t>flawed </w:t>
      </w:r>
      <w:r>
        <w:rPr/>
        <w:t>grant applications, and will identify key characteristics </w:t>
      </w:r>
      <w:r>
        <w:rPr>
          <w:spacing w:val="-3"/>
        </w:rPr>
        <w:t>of </w:t>
      </w:r>
      <w:r>
        <w:rPr/>
        <w:t>a </w:t>
      </w:r>
      <w:r>
        <w:rPr>
          <w:spacing w:val="-3"/>
        </w:rPr>
        <w:t>clear </w:t>
      </w:r>
      <w:r>
        <w:rPr/>
        <w:t>and compelling proposal. Students prepare writing products </w:t>
      </w:r>
      <w:r>
        <w:rPr>
          <w:spacing w:val="-4"/>
        </w:rPr>
        <w:t>for </w:t>
      </w:r>
      <w:r>
        <w:rPr/>
        <w:t>several crucial components </w:t>
      </w:r>
      <w:r>
        <w:rPr>
          <w:spacing w:val="-3"/>
        </w:rPr>
        <w:t>of </w:t>
      </w:r>
      <w:r>
        <w:rPr/>
        <w:t>a grant application. They are also introduced to the technical aspects </w:t>
      </w:r>
      <w:r>
        <w:rPr>
          <w:spacing w:val="-3"/>
        </w:rPr>
        <w:t>of </w:t>
      </w:r>
      <w:r>
        <w:rPr/>
        <w:t>grant writing, </w:t>
      </w:r>
      <w:r>
        <w:rPr>
          <w:spacing w:val="-3"/>
        </w:rPr>
        <w:t>such </w:t>
      </w:r>
      <w:r>
        <w:rPr/>
        <w:t>as communicating through graphics, and generating and justifying a budget. Students write a complete grant application in this course, and develop the basic skills to assist in grant preparation with their peers </w:t>
      </w:r>
      <w:r>
        <w:rPr>
          <w:spacing w:val="-3"/>
        </w:rPr>
        <w:t>or </w:t>
      </w:r>
      <w:r>
        <w:rPr/>
        <w:t>workplace</w:t>
      </w:r>
      <w:r>
        <w:rPr>
          <w:spacing w:val="9"/>
        </w:rPr>
        <w:t> </w:t>
      </w:r>
      <w:r>
        <w:rPr/>
        <w:t>organizations.</w:t>
      </w:r>
    </w:p>
    <w:p>
      <w:pPr>
        <w:pStyle w:val="Heading6"/>
        <w:spacing w:line="249" w:lineRule="auto" w:before="134"/>
        <w:ind w:right="447"/>
      </w:pPr>
      <w:r>
        <w:rPr/>
        <w:t>MHS 639 - HEALTH IMPLICATIONS OF MASS VIOLENCE AND DISASTER (3)</w:t>
      </w:r>
    </w:p>
    <w:p>
      <w:pPr>
        <w:pStyle w:val="Heading6"/>
        <w:spacing w:before="2"/>
      </w:pPr>
      <w:r>
        <w:rPr/>
        <w:t>MHS 640 - TECHNOLOGY TRANSFER (3)</w:t>
      </w:r>
    </w:p>
    <w:p>
      <w:pPr>
        <w:pStyle w:val="BodyText"/>
        <w:spacing w:line="249" w:lineRule="auto" w:before="195"/>
      </w:pPr>
      <w:r>
        <w:rPr>
          <w:color w:val="303030"/>
        </w:rPr>
        <w:t>This course introduces the concept of intellectual property in advancing technological innovation and promoting economic development. Students will learn how to safeguard intellectual property and facilitate technology transfer including the legal, licensing, and disclosure. The course will also explore the requirements for issue of a patent including preparation of a patent application. The course explores how research or an invention may be commercialized in the process of technology transfer.</w:t>
      </w:r>
    </w:p>
    <w:p>
      <w:pPr>
        <w:pStyle w:val="BodyText"/>
        <w:spacing w:line="249" w:lineRule="auto" w:before="8"/>
        <w:ind w:right="682"/>
      </w:pPr>
      <w:r>
        <w:rPr>
          <w:color w:val="303030"/>
        </w:rPr>
        <w:t>Emphasis is placed on the patenting and transfer of technologies pertinent to the biotechnology, pharmaceutical and medical device industries.</w:t>
      </w:r>
    </w:p>
    <w:p>
      <w:pPr>
        <w:pStyle w:val="Heading6"/>
        <w:spacing w:line="249" w:lineRule="auto" w:before="100"/>
        <w:ind w:right="702"/>
      </w:pPr>
      <w:r>
        <w:rPr>
          <w:b w:val="0"/>
        </w:rPr>
        <w:br w:type="column"/>
      </w:r>
      <w:r>
        <w:rPr/>
        <w:t>MHS 652 - LEADERSHIP AND COMMUNICATION (3)</w:t>
      </w:r>
    </w:p>
    <w:p>
      <w:pPr>
        <w:pStyle w:val="BodyText"/>
        <w:spacing w:line="249" w:lineRule="auto" w:before="179"/>
        <w:ind w:right="760"/>
      </w:pPr>
      <w:r>
        <w:rPr/>
        <w:t>Students learn effective management and communication skills through case-study analysis, reading, and class discussion. The course covers topics such as effective listening, setting expectations, delegation, coaching, performance, evaluations, conflict management, negotiation with senior management and leading with integrity. Prerequisite: MHS 600.</w:t>
      </w:r>
    </w:p>
    <w:p>
      <w:pPr>
        <w:pStyle w:val="Heading6"/>
        <w:spacing w:line="249" w:lineRule="auto" w:before="125"/>
        <w:ind w:right="2308"/>
      </w:pPr>
      <w:r>
        <w:rPr/>
        <w:t>MHS 660 - ADVANCED APPLIED PHARMACOLOGY (3)</w:t>
      </w:r>
    </w:p>
    <w:p>
      <w:pPr>
        <w:pStyle w:val="BodyText"/>
        <w:spacing w:line="249" w:lineRule="auto" w:before="184"/>
        <w:ind w:right="624"/>
      </w:pPr>
      <w:r>
        <w:rPr/>
        <w:t>By the end </w:t>
      </w:r>
      <w:r>
        <w:rPr>
          <w:spacing w:val="-3"/>
        </w:rPr>
        <w:t>of </w:t>
      </w:r>
      <w:r>
        <w:rPr/>
        <w:t>this course, students will have an advanced knowledge in pharmacology used in the treatment </w:t>
      </w:r>
      <w:r>
        <w:rPr>
          <w:spacing w:val="-3"/>
        </w:rPr>
        <w:t>of </w:t>
      </w:r>
      <w:r>
        <w:rPr/>
        <w:t>selected health conditions commonly encountered by healthcare providers. Students </w:t>
      </w:r>
      <w:r>
        <w:rPr>
          <w:spacing w:val="-3"/>
        </w:rPr>
        <w:t>will </w:t>
      </w:r>
      <w:r>
        <w:rPr/>
        <w:t>apply principles </w:t>
      </w:r>
      <w:r>
        <w:rPr>
          <w:spacing w:val="-3"/>
        </w:rPr>
        <w:t>of </w:t>
      </w:r>
      <w:r>
        <w:rPr/>
        <w:t>clinical pharmacology, therapeutics, pharmokinetics, and drug metabolism learned in </w:t>
      </w:r>
      <w:r>
        <w:rPr>
          <w:spacing w:val="-3"/>
        </w:rPr>
        <w:t>PHA </w:t>
      </w:r>
      <w:r>
        <w:rPr/>
        <w:t>120 and </w:t>
      </w:r>
      <w:r>
        <w:rPr>
          <w:spacing w:val="-3"/>
        </w:rPr>
        <w:t>PHA </w:t>
      </w:r>
      <w:r>
        <w:rPr/>
        <w:t>123 as they focus </w:t>
      </w:r>
      <w:r>
        <w:rPr>
          <w:spacing w:val="-3"/>
        </w:rPr>
        <w:t>on </w:t>
      </w:r>
      <w:r>
        <w:rPr/>
        <w:t>the pathophysiological approach to pharmocology. Course activities and resources will emphasize: the integration </w:t>
      </w:r>
      <w:r>
        <w:rPr>
          <w:spacing w:val="-3"/>
        </w:rPr>
        <w:t>of </w:t>
      </w:r>
      <w:r>
        <w:rPr/>
        <w:t>pathophysiology and pharmacologic principles, mechanisms </w:t>
      </w:r>
      <w:r>
        <w:rPr>
          <w:spacing w:val="-3"/>
        </w:rPr>
        <w:t>of </w:t>
      </w:r>
      <w:r>
        <w:rPr/>
        <w:t>action </w:t>
      </w:r>
      <w:r>
        <w:rPr>
          <w:spacing w:val="-3"/>
        </w:rPr>
        <w:t>of </w:t>
      </w:r>
      <w:r>
        <w:rPr/>
        <w:t>drugs, side effects, adverse effects, drug interactions, and the pharmacologic application in clinical settings. Using case studies provided through electronic medical records, students will achieve competency in the decision-making processes used to safely and effectively prescribe and monitor pharmacotherapeutics appropriate to specific patient needs through realistic, simulated, interprofessional interactions </w:t>
      </w:r>
      <w:r>
        <w:rPr>
          <w:spacing w:val="-3"/>
        </w:rPr>
        <w:t>of </w:t>
      </w:r>
      <w:r>
        <w:rPr/>
        <w:t>healthcare providers. Prerequisites: </w:t>
      </w:r>
      <w:r>
        <w:rPr>
          <w:spacing w:val="-3"/>
        </w:rPr>
        <w:t>PHA </w:t>
      </w:r>
      <w:r>
        <w:rPr/>
        <w:t>120 and </w:t>
      </w:r>
      <w:r>
        <w:rPr>
          <w:spacing w:val="-3"/>
        </w:rPr>
        <w:t>PHA </w:t>
      </w:r>
      <w:r>
        <w:rPr/>
        <w:t>123 (AACC PA), and </w:t>
      </w:r>
      <w:r>
        <w:rPr>
          <w:spacing w:val="-3"/>
        </w:rPr>
        <w:t>MHS</w:t>
      </w:r>
      <w:r>
        <w:rPr>
          <w:spacing w:val="4"/>
        </w:rPr>
        <w:t> </w:t>
      </w:r>
      <w:r>
        <w:rPr/>
        <w:t>622.</w:t>
      </w:r>
    </w:p>
    <w:p>
      <w:pPr>
        <w:pStyle w:val="Heading6"/>
        <w:spacing w:before="134"/>
      </w:pPr>
      <w:r>
        <w:rPr/>
        <w:t>MHS 698 - SPECIAL TOPICS (1 TO 3)</w:t>
      </w:r>
    </w:p>
    <w:p>
      <w:pPr>
        <w:pStyle w:val="BodyText"/>
        <w:spacing w:line="249" w:lineRule="auto" w:before="187"/>
        <w:ind w:right="619"/>
      </w:pPr>
      <w:r>
        <w:rPr/>
        <w:t>In this special topics course, participants learn about common sources of stress and burnout in the field of death and dying, what resiliency and self-care is, and why professionals need to diligently practice resiliency-building strategies throughout their careers. Participants learn and practice several strategies to build resiliency and will reflect on their experiential learning. At the end of the course, students will have produced a personalized resiliency-building tool kit for themselves to build resiliency and prevent burnout.</w:t>
      </w:r>
    </w:p>
    <w:p>
      <w:pPr>
        <w:pStyle w:val="Heading6"/>
        <w:spacing w:before="128"/>
      </w:pPr>
      <w:r>
        <w:rPr/>
        <w:t>MHS 700 - CAPSTONE PRESENTATION (3)</w:t>
      </w:r>
    </w:p>
    <w:p>
      <w:pPr>
        <w:pStyle w:val="BodyText"/>
        <w:spacing w:line="249" w:lineRule="auto" w:before="192"/>
        <w:ind w:right="649"/>
      </w:pPr>
      <w:r>
        <w:rPr/>
        <w:t>The capstone is designed to be a supervised health science learning experience and a demonstration of the substantive application of the knowledge and skills that have been acquired in the courses taken as part of the MS in Health Science Program. The capstone functions as both the practice experience and the culminating experience for the</w:t>
      </w:r>
    </w:p>
    <w:p>
      <w:pPr>
        <w:spacing w:after="0" w:line="249" w:lineRule="auto"/>
        <w:sectPr>
          <w:pgSz w:w="12240" w:h="15840"/>
          <w:pgMar w:header="746" w:footer="0" w:top="1320" w:bottom="280" w:left="880" w:right="300"/>
          <w:cols w:num="2" w:equalWidth="0">
            <w:col w:w="4990" w:space="497"/>
            <w:col w:w="5573"/>
          </w:cols>
        </w:sectPr>
      </w:pPr>
    </w:p>
    <w:p>
      <w:pPr>
        <w:pStyle w:val="BodyText"/>
        <w:spacing w:line="249" w:lineRule="auto" w:before="100"/>
        <w:ind w:left="199" w:right="96"/>
      </w:pPr>
      <w:r>
        <w:rPr/>
        <w:t>program. The MS in Health Science capstone experience includes the following components: ? development of a capstone proposal ? delivery of an oral presentation at UMB and at the field placement site as appropriate ? preparation of a capstone portfolio This course requires that the knowledge and skills gained from the Health Science-MS program core courses be applied and reflected upon. Therefore, successful completion of all other MHS courses is required before students can register for the MHS 700 capstone course.</w:t>
      </w:r>
    </w:p>
    <w:p>
      <w:pPr>
        <w:pStyle w:val="Heading2"/>
        <w:spacing w:before="194"/>
      </w:pPr>
      <w:bookmarkStart w:name="MLL -" w:id="129"/>
      <w:bookmarkEnd w:id="129"/>
      <w:r>
        <w:rPr/>
      </w:r>
      <w:bookmarkStart w:name="_bookmark64" w:id="130"/>
      <w:bookmarkEnd w:id="130"/>
      <w:r>
        <w:rPr/>
      </w:r>
      <w:r>
        <w:rPr/>
        <w:t>MLL -</w:t>
      </w:r>
    </w:p>
    <w:p>
      <w:pPr>
        <w:pStyle w:val="Heading6"/>
        <w:spacing w:line="249" w:lineRule="auto" w:before="128"/>
        <w:ind w:right="797"/>
      </w:pPr>
      <w:r>
        <w:rPr/>
        <w:t>MLL 625 - INTERCULTURAL AND CROSS- CULTURAL COMMUNICATION (3)</w:t>
      </w:r>
    </w:p>
    <w:p>
      <w:pPr>
        <w:pStyle w:val="BodyText"/>
        <w:spacing w:line="249" w:lineRule="auto" w:before="179"/>
        <w:ind w:right="79"/>
      </w:pPr>
      <w:r>
        <w:rPr>
          <w:color w:val="303030"/>
        </w:rPr>
        <w:t>The purpose of this course is to study communication within the context of the cultural setting. The three main goals are: to provide students with materials, both cognitive and experiential, with which they can develop an awareness of their own cultural identity; to increase their knowledge of the special communication problems to be expected in a cross-cultural situation; and to offer students the opportunity to apply new insights to cross-cultural encounters.</w:t>
      </w:r>
    </w:p>
    <w:p>
      <w:pPr>
        <w:pStyle w:val="Heading2"/>
        <w:spacing w:before="193"/>
      </w:pPr>
      <w:bookmarkStart w:name="NURS -" w:id="131"/>
      <w:bookmarkEnd w:id="131"/>
      <w:r>
        <w:rPr/>
      </w:r>
      <w:bookmarkStart w:name="_bookmark65" w:id="132"/>
      <w:bookmarkEnd w:id="132"/>
      <w:r>
        <w:rPr/>
      </w:r>
      <w:r>
        <w:rPr/>
        <w:t>NURS -</w:t>
      </w:r>
    </w:p>
    <w:p>
      <w:pPr>
        <w:pStyle w:val="Heading6"/>
        <w:spacing w:line="249" w:lineRule="auto" w:before="128"/>
        <w:ind w:right="1130"/>
      </w:pPr>
      <w:r>
        <w:rPr/>
        <w:t>NURS 810 - EVIDENCE BASED POLICY DEVELOPMENT (3)</w:t>
      </w:r>
    </w:p>
    <w:p>
      <w:pPr>
        <w:pStyle w:val="BodyText"/>
        <w:spacing w:line="249" w:lineRule="auto" w:before="179"/>
        <w:ind w:right="38"/>
      </w:pPr>
      <w:r>
        <w:rPr/>
        <w:t>The purpose </w:t>
      </w:r>
      <w:r>
        <w:rPr>
          <w:spacing w:val="-3"/>
        </w:rPr>
        <w:t>of </w:t>
      </w:r>
      <w:r>
        <w:rPr/>
        <w:t>this course is to enhance doctoral students? understanding </w:t>
      </w:r>
      <w:r>
        <w:rPr>
          <w:spacing w:val="-3"/>
        </w:rPr>
        <w:t>of </w:t>
      </w:r>
      <w:r>
        <w:rPr/>
        <w:t>the role </w:t>
      </w:r>
      <w:r>
        <w:rPr>
          <w:spacing w:val="-3"/>
        </w:rPr>
        <w:t>of </w:t>
      </w:r>
      <w:r>
        <w:rPr/>
        <w:t>existing evidence in the development </w:t>
      </w:r>
      <w:r>
        <w:rPr>
          <w:spacing w:val="-3"/>
        </w:rPr>
        <w:t>of </w:t>
      </w:r>
      <w:r>
        <w:rPr/>
        <w:t>evidence-based health policy in the private and public policy arenas. Theoretical bases and strategies for evidence-based health policy development </w:t>
      </w:r>
      <w:r>
        <w:rPr>
          <w:spacing w:val="-3"/>
        </w:rPr>
        <w:t>will be </w:t>
      </w:r>
      <w:r>
        <w:rPr/>
        <w:t>analyzed. Funding sources </w:t>
      </w:r>
      <w:r>
        <w:rPr>
          <w:spacing w:val="-4"/>
        </w:rPr>
        <w:t>for </w:t>
      </w:r>
      <w:r>
        <w:rPr/>
        <w:t>policy-influencing evaluation and research </w:t>
      </w:r>
      <w:r>
        <w:rPr>
          <w:spacing w:val="-3"/>
        </w:rPr>
        <w:t>will be </w:t>
      </w:r>
      <w:r>
        <w:rPr/>
        <w:t>explored. Leadership skills in the areas </w:t>
      </w:r>
      <w:r>
        <w:rPr>
          <w:spacing w:val="-3"/>
        </w:rPr>
        <w:t>of </w:t>
      </w:r>
      <w:r>
        <w:rPr/>
        <w:t>developing evidence-based policy, garnering grass roots support, and communicating a policy message to the media and policy-makers </w:t>
      </w:r>
      <w:r>
        <w:rPr>
          <w:spacing w:val="-3"/>
        </w:rPr>
        <w:t>will be</w:t>
      </w:r>
      <w:r>
        <w:rPr>
          <w:spacing w:val="4"/>
        </w:rPr>
        <w:t> </w:t>
      </w:r>
      <w:r>
        <w:rPr/>
        <w:t>developed.</w:t>
      </w:r>
    </w:p>
    <w:p>
      <w:pPr>
        <w:pStyle w:val="BodyText"/>
        <w:spacing w:line="249" w:lineRule="auto" w:before="7"/>
        <w:ind w:right="115"/>
      </w:pPr>
      <w:r>
        <w:rPr/>
        <w:t>Examples of translation of evidence into health policy decisions at the professional, organizational, state, federal, and international levels will be critiqued, and doctoral students will analyze the policy implications of evidence related to their respective research interests and practice specialties.</w:t>
      </w:r>
    </w:p>
    <w:p>
      <w:pPr>
        <w:pStyle w:val="BodyText"/>
        <w:spacing w:before="187"/>
      </w:pPr>
      <w:r>
        <w:rPr/>
        <w:t>Offered: 202009.</w:t>
      </w:r>
    </w:p>
    <w:p>
      <w:pPr>
        <w:pStyle w:val="Heading6"/>
        <w:spacing w:line="249" w:lineRule="auto"/>
        <w:ind w:left="199" w:right="831"/>
      </w:pPr>
      <w:r>
        <w:rPr/>
        <w:t>NURS 811 - MEASUREMENT OF NURSING PHENOMENA (3)</w:t>
      </w:r>
    </w:p>
    <w:p>
      <w:pPr>
        <w:pStyle w:val="BodyText"/>
        <w:spacing w:line="249" w:lineRule="auto" w:before="179"/>
        <w:ind w:right="449"/>
      </w:pPr>
      <w:r>
        <w:rPr/>
        <w:t>The theoretical basis of measurement is presented as a foundation for the development and evaluation of</w:t>
      </w:r>
    </w:p>
    <w:p>
      <w:pPr>
        <w:pStyle w:val="BodyText"/>
        <w:spacing w:line="249" w:lineRule="auto" w:before="98"/>
        <w:ind w:right="621"/>
      </w:pPr>
      <w:r>
        <w:rPr/>
        <w:br w:type="column"/>
      </w:r>
      <w:r>
        <w:rPr/>
        <w:t>measurement instruments for use in nursing research. Types of measures, techniques of construction, the statistical analysis of reliability and validity, strengths and limitations for use of selected measures in nursing research are presented. Nursing research studies are evaluated relative to measurement theory. Tools and procedures, including those used to measure affective, cognitive, behavioral and physiological aspects of selected concepts, are evaluated.</w:t>
      </w:r>
    </w:p>
    <w:p>
      <w:pPr>
        <w:pStyle w:val="BodyText"/>
        <w:spacing w:before="184"/>
      </w:pPr>
      <w:r>
        <w:rPr/>
        <w:t>Offered:</w:t>
      </w:r>
      <w:r>
        <w:rPr>
          <w:spacing w:val="-2"/>
        </w:rPr>
        <w:t> </w:t>
      </w:r>
      <w:r>
        <w:rPr/>
        <w:t>202009.</w:t>
      </w:r>
    </w:p>
    <w:p>
      <w:pPr>
        <w:pStyle w:val="Heading6"/>
      </w:pPr>
      <w:r>
        <w:rPr/>
        <w:t>NURS 812 - </w:t>
      </w:r>
      <w:r>
        <w:rPr>
          <w:spacing w:val="1"/>
        </w:rPr>
        <w:t> </w:t>
      </w:r>
      <w:r>
        <w:rPr/>
        <w:t>(3)</w:t>
      </w:r>
    </w:p>
    <w:p>
      <w:pPr>
        <w:pStyle w:val="BodyText"/>
        <w:spacing w:before="192"/>
      </w:pPr>
      <w:r>
        <w:rPr/>
        <w:t>Offered:</w:t>
      </w:r>
      <w:r>
        <w:rPr>
          <w:spacing w:val="-2"/>
        </w:rPr>
        <w:t> </w:t>
      </w:r>
      <w:r>
        <w:rPr/>
        <w:t>202002.</w:t>
      </w:r>
    </w:p>
    <w:p>
      <w:pPr>
        <w:pStyle w:val="Heading6"/>
        <w:spacing w:line="249" w:lineRule="auto" w:before="131"/>
        <w:ind w:right="857"/>
      </w:pPr>
      <w:r>
        <w:rPr/>
        <w:t>NURS 814 - DESIGN OF NURSING RESEARCH II (3)</w:t>
      </w:r>
    </w:p>
    <w:p>
      <w:pPr>
        <w:pStyle w:val="BodyText"/>
        <w:spacing w:line="249" w:lineRule="auto" w:before="179"/>
        <w:ind w:right="698"/>
      </w:pPr>
      <w:r>
        <w:rPr/>
        <w:t>The course provides an overview of non-experimental research designs (e.g., cohort, case-control, survey), measures such as incidence and prevalence, and related analytic procedures (e.g., logistic regression) for the study of nursing problems. Sampling theory and strategies for conducting probability sampling are also included.</w:t>
      </w:r>
    </w:p>
    <w:p>
      <w:pPr>
        <w:pStyle w:val="BodyText"/>
        <w:spacing w:before="186"/>
      </w:pPr>
      <w:r>
        <w:rPr/>
        <w:t>Offered:</w:t>
      </w:r>
      <w:r>
        <w:rPr>
          <w:spacing w:val="-2"/>
        </w:rPr>
        <w:t> </w:t>
      </w:r>
      <w:r>
        <w:rPr/>
        <w:t>202009.</w:t>
      </w:r>
    </w:p>
    <w:p>
      <w:pPr>
        <w:pStyle w:val="Heading6"/>
        <w:spacing w:line="249" w:lineRule="auto"/>
        <w:ind w:right="620"/>
      </w:pPr>
      <w:r>
        <w:rPr/>
        <w:t>NURS 815 - QUALITATIVE METHODS</w:t>
      </w:r>
      <w:r>
        <w:rPr>
          <w:spacing w:val="-18"/>
        </w:rPr>
        <w:t> </w:t>
      </w:r>
      <w:r>
        <w:rPr/>
        <w:t>INNURSING RESEARCH</w:t>
      </w:r>
      <w:r>
        <w:rPr>
          <w:spacing w:val="3"/>
        </w:rPr>
        <w:t> </w:t>
      </w:r>
      <w:r>
        <w:rPr/>
        <w:t>(3)</w:t>
      </w:r>
    </w:p>
    <w:p>
      <w:pPr>
        <w:pStyle w:val="BodyText"/>
        <w:spacing w:line="249" w:lineRule="auto" w:before="180"/>
        <w:ind w:right="629"/>
      </w:pPr>
      <w:r>
        <w:rPr/>
        <w:t>Provides an overview to the qualitative paradigm and major approaches to qualitative research. Topics related to qualitative research design, conduct, reporting and evaluation </w:t>
      </w:r>
      <w:r>
        <w:rPr>
          <w:spacing w:val="-3"/>
        </w:rPr>
        <w:t>of </w:t>
      </w:r>
      <w:r>
        <w:rPr/>
        <w:t>qualitative research are addressed. Emphasis is placed </w:t>
      </w:r>
      <w:r>
        <w:rPr>
          <w:spacing w:val="-3"/>
        </w:rPr>
        <w:t>on </w:t>
      </w:r>
      <w:r>
        <w:rPr/>
        <w:t>the appropriate use </w:t>
      </w:r>
      <w:r>
        <w:rPr>
          <w:spacing w:val="-3"/>
        </w:rPr>
        <w:t>of </w:t>
      </w:r>
      <w:r>
        <w:rPr/>
        <w:t>qualitative methods and differences across qualitative approaches. The course focuses </w:t>
      </w:r>
      <w:r>
        <w:rPr>
          <w:spacing w:val="-3"/>
        </w:rPr>
        <w:t>on </w:t>
      </w:r>
      <w:r>
        <w:rPr/>
        <w:t>the development </w:t>
      </w:r>
      <w:r>
        <w:rPr>
          <w:spacing w:val="-3"/>
        </w:rPr>
        <w:t>of </w:t>
      </w:r>
      <w:r>
        <w:rPr/>
        <w:t>interview skills, </w:t>
      </w:r>
      <w:r>
        <w:rPr>
          <w:spacing w:val="-3"/>
        </w:rPr>
        <w:t>observation </w:t>
      </w:r>
      <w:r>
        <w:rPr/>
        <w:t>skills and data</w:t>
      </w:r>
      <w:r>
        <w:rPr>
          <w:spacing w:val="-8"/>
        </w:rPr>
        <w:t> </w:t>
      </w:r>
      <w:r>
        <w:rPr/>
        <w:t>analysis.</w:t>
      </w:r>
    </w:p>
    <w:p>
      <w:pPr>
        <w:pStyle w:val="BodyText"/>
        <w:spacing w:before="188"/>
      </w:pPr>
      <w:r>
        <w:rPr/>
        <w:t>Offered: 202009.</w:t>
      </w:r>
    </w:p>
    <w:p>
      <w:pPr>
        <w:pStyle w:val="Heading6"/>
        <w:spacing w:line="249" w:lineRule="auto"/>
        <w:ind w:right="1135"/>
      </w:pPr>
      <w:r>
        <w:rPr/>
        <w:t>NURS 816 - MULTIVARIATE ANALYSIS IN SOCIAL AND HEALTH CARE RESEARCH (4)</w:t>
      </w:r>
    </w:p>
    <w:p>
      <w:pPr>
        <w:pStyle w:val="BodyText"/>
        <w:spacing w:line="249" w:lineRule="auto" w:before="179"/>
        <w:ind w:right="626"/>
      </w:pPr>
      <w:r>
        <w:rPr/>
        <w:t>Social and health care research deals with complex, multidimensional systems, and any adequate assessment of these systems requires that multiple measures be used.</w:t>
      </w:r>
    </w:p>
    <w:p>
      <w:pPr>
        <w:pStyle w:val="BodyText"/>
        <w:spacing w:line="249" w:lineRule="auto" w:before="2"/>
        <w:ind w:right="903"/>
      </w:pPr>
      <w:r>
        <w:rPr/>
        <w:t>Topics introduced in this course include multiple regression, path analysis, logistic regression,</w:t>
      </w:r>
      <w:r>
        <w:rPr>
          <w:spacing w:val="-23"/>
        </w:rPr>
        <w:t> </w:t>
      </w:r>
      <w:r>
        <w:rPr/>
        <w:t>principal components analysis, factor analysis and discriminant function</w:t>
      </w:r>
      <w:r>
        <w:rPr>
          <w:spacing w:val="1"/>
        </w:rPr>
        <w:t> </w:t>
      </w:r>
      <w:r>
        <w:rPr/>
        <w:t>analysis.</w:t>
      </w:r>
    </w:p>
    <w:p>
      <w:pPr>
        <w:pStyle w:val="BodyText"/>
      </w:pPr>
      <w:r>
        <w:rPr/>
        <w:t>Offered:</w:t>
      </w:r>
      <w:r>
        <w:rPr>
          <w:spacing w:val="-2"/>
        </w:rPr>
        <w:t> </w:t>
      </w:r>
      <w:r>
        <w:rPr/>
        <w:t>202009.</w:t>
      </w:r>
    </w:p>
    <w:p>
      <w:pPr>
        <w:spacing w:after="0"/>
        <w:sectPr>
          <w:pgSz w:w="12240" w:h="15840"/>
          <w:pgMar w:header="746" w:footer="0" w:top="1320" w:bottom="280" w:left="880" w:right="300"/>
          <w:cols w:num="2" w:equalWidth="0">
            <w:col w:w="5012" w:space="475"/>
            <w:col w:w="5573"/>
          </w:cols>
        </w:sectPr>
      </w:pPr>
    </w:p>
    <w:p>
      <w:pPr>
        <w:pStyle w:val="Heading6"/>
        <w:spacing w:line="249" w:lineRule="auto" w:before="100"/>
        <w:ind w:right="23"/>
      </w:pPr>
      <w:r>
        <w:rPr/>
        <w:t>NURS 817 - LONGITUDINAL DESIGNS IN HEALTH CARE RESEARCH (3)</w:t>
      </w:r>
    </w:p>
    <w:p>
      <w:pPr>
        <w:pStyle w:val="BodyText"/>
        <w:spacing w:line="249" w:lineRule="auto" w:before="179"/>
        <w:ind w:right="153"/>
      </w:pPr>
      <w:r>
        <w:rPr/>
        <w:t>Designs in which multiple observations of one or more variables made on a single person or unit (repeated measures designs) or subjects are followed for a long period of time are of particular importance in nursing and health care research. The course will examine several of the more commonly used longitudinal analyses, including ANOVA, linear mixed models, and survival analysis.</w:t>
      </w:r>
    </w:p>
    <w:p>
      <w:pPr>
        <w:pStyle w:val="BodyText"/>
        <w:spacing w:line="249" w:lineRule="auto" w:before="5"/>
        <w:ind w:right="92"/>
      </w:pPr>
      <w:r>
        <w:rPr/>
        <w:t>Designs involving repeated measures on more than one dependent variable, fixed and random effects, and time to event will be considered. Emphasis will be placed on selecting the appropriate design, statistical procedure, and computer program for addressing a given research problem. Small research exercises requiring both computation and interpretation will be assigned in order to promote desired learning.</w:t>
      </w:r>
    </w:p>
    <w:p>
      <w:pPr>
        <w:pStyle w:val="BodyText"/>
        <w:spacing w:before="188"/>
      </w:pPr>
      <w:r>
        <w:rPr/>
        <w:t>Offered:</w:t>
      </w:r>
      <w:r>
        <w:rPr>
          <w:spacing w:val="-2"/>
        </w:rPr>
        <w:t> </w:t>
      </w:r>
      <w:r>
        <w:rPr/>
        <w:t>202009.</w:t>
      </w:r>
    </w:p>
    <w:p>
      <w:pPr>
        <w:pStyle w:val="Heading6"/>
      </w:pPr>
      <w:r>
        <w:rPr/>
        <w:t>NURS 820 - </w:t>
      </w:r>
      <w:r>
        <w:rPr>
          <w:spacing w:val="1"/>
        </w:rPr>
        <w:t> </w:t>
      </w:r>
      <w:r>
        <w:rPr/>
        <w:t>(3)</w:t>
      </w:r>
    </w:p>
    <w:p>
      <w:pPr>
        <w:pStyle w:val="BodyText"/>
        <w:spacing w:line="249" w:lineRule="auto" w:before="188"/>
        <w:ind w:right="431"/>
      </w:pPr>
      <w:r>
        <w:rPr/>
        <w:t>Introduces the issues in and methodology for the quantitative synthesis of research literature. Includes a practical overview of meta-analysis methods for synthesizing and exploring variations in quantitative indices of study outcomes.</w:t>
      </w:r>
    </w:p>
    <w:p>
      <w:pPr>
        <w:pStyle w:val="BodyText"/>
        <w:spacing w:before="186"/>
      </w:pPr>
      <w:r>
        <w:rPr/>
        <w:t>Offered: 202002.</w:t>
      </w:r>
    </w:p>
    <w:p>
      <w:pPr>
        <w:pStyle w:val="Heading6"/>
        <w:spacing w:line="249" w:lineRule="auto"/>
        <w:ind w:right="885"/>
      </w:pPr>
      <w:r>
        <w:rPr/>
        <w:t>NURS 826 - STRUCTURAL MODELING IN HEALTH CARE RESEARCH (3)</w:t>
      </w:r>
    </w:p>
    <w:p>
      <w:pPr>
        <w:pStyle w:val="BodyText"/>
        <w:spacing w:line="249" w:lineRule="auto" w:before="179"/>
        <w:ind w:right="75"/>
      </w:pPr>
      <w:r>
        <w:rPr/>
        <w:t>Provides an introduction to the construction and</w:t>
      </w:r>
      <w:r>
        <w:rPr>
          <w:spacing w:val="-31"/>
        </w:rPr>
        <w:t> </w:t>
      </w:r>
      <w:r>
        <w:rPr/>
        <w:t>estimation of structural models in the context </w:t>
      </w:r>
      <w:r>
        <w:rPr>
          <w:spacing w:val="-3"/>
        </w:rPr>
        <w:t>of </w:t>
      </w:r>
      <w:r>
        <w:rPr/>
        <w:t>health care research. Topics include confirmatory </w:t>
      </w:r>
      <w:r>
        <w:rPr>
          <w:spacing w:val="-2"/>
        </w:rPr>
        <w:t>factor </w:t>
      </w:r>
      <w:r>
        <w:rPr/>
        <w:t>analysis, path analysis and causal modeling. Emphasis is </w:t>
      </w:r>
      <w:r>
        <w:rPr>
          <w:spacing w:val="-3"/>
        </w:rPr>
        <w:t>on </w:t>
      </w:r>
      <w:r>
        <w:rPr/>
        <w:t>the estimation </w:t>
      </w:r>
      <w:r>
        <w:rPr>
          <w:spacing w:val="-3"/>
        </w:rPr>
        <w:t>of </w:t>
      </w:r>
      <w:r>
        <w:rPr/>
        <w:t>models with latent variables, interpretation </w:t>
      </w:r>
      <w:r>
        <w:rPr>
          <w:spacing w:val="-3"/>
        </w:rPr>
        <w:t>of </w:t>
      </w:r>
      <w:r>
        <w:rPr/>
        <w:t>causal effects and the application </w:t>
      </w:r>
      <w:r>
        <w:rPr>
          <w:spacing w:val="-3"/>
        </w:rPr>
        <w:t>of </w:t>
      </w:r>
      <w:r>
        <w:rPr/>
        <w:t>these models in health care research.</w:t>
      </w:r>
    </w:p>
    <w:p>
      <w:pPr>
        <w:pStyle w:val="BodyText"/>
        <w:spacing w:before="187"/>
      </w:pPr>
      <w:r>
        <w:rPr/>
        <w:t>Offered: 202009.</w:t>
      </w:r>
    </w:p>
    <w:p>
      <w:pPr>
        <w:pStyle w:val="Heading6"/>
        <w:spacing w:before="131"/>
      </w:pPr>
      <w:r>
        <w:rPr/>
        <w:t>NURS 828 - (2 TO 3)</w:t>
      </w:r>
    </w:p>
    <w:p>
      <w:pPr>
        <w:pStyle w:val="BodyText"/>
        <w:spacing w:line="249" w:lineRule="auto" w:before="187"/>
        <w:ind w:right="92"/>
      </w:pPr>
      <w:r>
        <w:rPr/>
        <w:t>Identifies and analyzes professional issues confronting the nurse scholar. Issues including research priorities, options in career patterns, ethics and politics of science, protection of human subjects, grants, publishing and presenting research are presented and discussed and appropriate applications to the role of nurse-scholar are made. When appropriate, diverse perspectives will be presented.</w:t>
      </w:r>
    </w:p>
    <w:p>
      <w:pPr>
        <w:pStyle w:val="BodyText"/>
        <w:spacing w:line="249" w:lineRule="auto" w:before="5"/>
        <w:ind w:right="381"/>
      </w:pPr>
      <w:r>
        <w:rPr/>
        <w:t>Students are expected to synthesize the material and identify the principles appropriate for their own career. Prerequisite: NURS 811.</w:t>
      </w:r>
    </w:p>
    <w:p>
      <w:pPr>
        <w:pStyle w:val="BodyText"/>
        <w:spacing w:before="96"/>
      </w:pPr>
      <w:r>
        <w:rPr/>
        <w:br w:type="column"/>
      </w:r>
      <w:r>
        <w:rPr/>
        <w:t>Offered: 202002.</w:t>
      </w:r>
    </w:p>
    <w:p>
      <w:pPr>
        <w:pStyle w:val="Heading6"/>
        <w:spacing w:line="249" w:lineRule="auto"/>
        <w:ind w:right="975"/>
      </w:pPr>
      <w:r>
        <w:rPr/>
        <w:t>NURS 830 - WORKING WITH LARGE HEALTH CARE DATABASES (2)</w:t>
      </w:r>
    </w:p>
    <w:p>
      <w:pPr>
        <w:pStyle w:val="BodyText"/>
        <w:spacing w:line="249" w:lineRule="auto" w:before="179"/>
        <w:ind w:right="655"/>
      </w:pPr>
      <w:r>
        <w:rPr/>
        <w:t>This course is designed to bridge the gap between nurses? need for information/data and the reality of finding the data, downloading, extracting, and building an effective personal database. Much of the class work will be conducted in the computer lab where students will explore public and private sources of health data that are available via the internet and on CD_ROM. Students will download data to the personal computer, import data into varied software applications, and build a personal database using software of their choice. Prerequisites: A basic knowledge of personal computers including the Windows environment, the use of a mouse, and basic file handling is expected. Knowledge of spreadsheets and databases is a plus. No knowledge of statistical software is needed, although highly desirable for doctoral students.</w:t>
      </w:r>
    </w:p>
    <w:p>
      <w:pPr>
        <w:pStyle w:val="BodyText"/>
        <w:spacing w:before="194"/>
      </w:pPr>
      <w:r>
        <w:rPr/>
        <w:t>Offered:</w:t>
      </w:r>
      <w:r>
        <w:rPr>
          <w:spacing w:val="-2"/>
        </w:rPr>
        <w:t> </w:t>
      </w:r>
      <w:r>
        <w:rPr/>
        <w:t>202009.</w:t>
      </w:r>
    </w:p>
    <w:p>
      <w:pPr>
        <w:pStyle w:val="Heading6"/>
      </w:pPr>
      <w:r>
        <w:rPr/>
        <w:t>NURS 832 - </w:t>
      </w:r>
      <w:r>
        <w:rPr>
          <w:spacing w:val="2"/>
        </w:rPr>
        <w:t> </w:t>
      </w:r>
      <w:r>
        <w:rPr/>
        <w:t>(3)</w:t>
      </w:r>
    </w:p>
    <w:p>
      <w:pPr>
        <w:pStyle w:val="BodyText"/>
        <w:spacing w:line="249" w:lineRule="auto" w:before="187"/>
        <w:ind w:right="617"/>
      </w:pPr>
      <w:r>
        <w:rPr/>
        <w:t>This course is designed </w:t>
      </w:r>
      <w:r>
        <w:rPr>
          <w:spacing w:val="-4"/>
        </w:rPr>
        <w:t>for </w:t>
      </w:r>
      <w:r>
        <w:rPr/>
        <w:t>doctoral students who are interested in examining outcomes research issues. The class content focuses </w:t>
      </w:r>
      <w:r>
        <w:rPr>
          <w:spacing w:val="-3"/>
        </w:rPr>
        <w:t>on </w:t>
      </w:r>
      <w:r>
        <w:rPr/>
        <w:t>the conceptual and technical issues encountered in designing and executing these </w:t>
      </w:r>
      <w:r>
        <w:rPr>
          <w:spacing w:val="-3"/>
        </w:rPr>
        <w:t>types </w:t>
      </w:r>
      <w:r>
        <w:rPr/>
        <w:t>of research studies. Assignments allow students to design a study in their area </w:t>
      </w:r>
      <w:r>
        <w:rPr>
          <w:spacing w:val="-3"/>
        </w:rPr>
        <w:t>of </w:t>
      </w:r>
      <w:r>
        <w:rPr/>
        <w:t>interest, including the identification of potential problems and approaches to dealing </w:t>
      </w:r>
      <w:r>
        <w:rPr>
          <w:spacing w:val="-3"/>
        </w:rPr>
        <w:t>with </w:t>
      </w:r>
      <w:r>
        <w:rPr/>
        <w:t>those problems. Prerequisites: </w:t>
      </w:r>
      <w:r>
        <w:rPr>
          <w:spacing w:val="-4"/>
        </w:rPr>
        <w:t>NURS </w:t>
      </w:r>
      <w:r>
        <w:rPr/>
        <w:t>850, </w:t>
      </w:r>
      <w:r>
        <w:rPr>
          <w:spacing w:val="-4"/>
        </w:rPr>
        <w:t>NURS  </w:t>
      </w:r>
      <w:r>
        <w:rPr/>
        <w:t>851 and </w:t>
      </w:r>
      <w:r>
        <w:rPr>
          <w:spacing w:val="-3"/>
        </w:rPr>
        <w:t>NURS </w:t>
      </w:r>
      <w:r>
        <w:rPr/>
        <w:t>840 (Students are required to have had a course in theory development and research design. </w:t>
      </w:r>
      <w:r>
        <w:rPr>
          <w:spacing w:val="-3"/>
        </w:rPr>
        <w:t>In </w:t>
      </w:r>
      <w:r>
        <w:rPr/>
        <w:t>addition, a basic knowledge of personal computers, data manipulation, and statistical software is</w:t>
      </w:r>
      <w:r>
        <w:rPr>
          <w:spacing w:val="-5"/>
        </w:rPr>
        <w:t> </w:t>
      </w:r>
      <w:r>
        <w:rPr/>
        <w:t>expected.)</w:t>
      </w:r>
    </w:p>
    <w:p>
      <w:pPr>
        <w:pStyle w:val="BodyText"/>
        <w:spacing w:before="191"/>
      </w:pPr>
      <w:r>
        <w:rPr/>
        <w:t>Offered: 202002.</w:t>
      </w:r>
    </w:p>
    <w:p>
      <w:pPr>
        <w:pStyle w:val="Heading6"/>
        <w:spacing w:line="249" w:lineRule="auto"/>
        <w:ind w:right="953"/>
      </w:pPr>
      <w:r>
        <w:rPr/>
        <w:t>NURS 833 - THE EVIDENCE BASED PRACTICE PROCESS (3)</w:t>
      </w:r>
    </w:p>
    <w:p>
      <w:pPr>
        <w:pStyle w:val="BodyText"/>
        <w:spacing w:before="179"/>
      </w:pPr>
      <w:r>
        <w:rPr/>
        <w:t>Offered: 202009.</w:t>
      </w:r>
    </w:p>
    <w:p>
      <w:pPr>
        <w:pStyle w:val="Heading6"/>
        <w:spacing w:line="249" w:lineRule="auto" w:before="131"/>
        <w:ind w:right="625"/>
      </w:pPr>
      <w:r>
        <w:rPr/>
        <w:t>NURS 834 - TRANSLATING EVIDENCE PRACTICE (3)</w:t>
      </w:r>
    </w:p>
    <w:p>
      <w:pPr>
        <w:pStyle w:val="BodyText"/>
        <w:spacing w:line="249" w:lineRule="auto" w:before="183"/>
        <w:ind w:right="625"/>
      </w:pPr>
      <w:r>
        <w:rPr/>
        <w:t>This course focuses </w:t>
      </w:r>
      <w:r>
        <w:rPr>
          <w:spacing w:val="-3"/>
        </w:rPr>
        <w:t>on </w:t>
      </w:r>
      <w:r>
        <w:rPr/>
        <w:t>how to translate, evaluate and disseminate evidence in a contemporary health care environment. Individual, organizational and </w:t>
      </w:r>
      <w:r>
        <w:rPr>
          <w:spacing w:val="-3"/>
        </w:rPr>
        <w:t>global </w:t>
      </w:r>
      <w:r>
        <w:rPr/>
        <w:t>barriers to translating evidence into practice are explored. Evidence will </w:t>
      </w:r>
      <w:r>
        <w:rPr>
          <w:spacing w:val="-3"/>
        </w:rPr>
        <w:t>be </w:t>
      </w:r>
      <w:r>
        <w:rPr/>
        <w:t>summarized and an action plan </w:t>
      </w:r>
      <w:r>
        <w:rPr>
          <w:spacing w:val="-3"/>
        </w:rPr>
        <w:t>will be </w:t>
      </w:r>
      <w:r>
        <w:rPr/>
        <w:t>developed  to produce valid and reliable clinical recommendations </w:t>
      </w:r>
      <w:r>
        <w:rPr>
          <w:spacing w:val="-4"/>
        </w:rPr>
        <w:t>for </w:t>
      </w:r>
      <w:r>
        <w:rPr/>
        <w:t>dissemination into practice. </w:t>
      </w:r>
      <w:r>
        <w:rPr>
          <w:spacing w:val="-4"/>
        </w:rPr>
        <w:t>An </w:t>
      </w:r>
      <w:r>
        <w:rPr/>
        <w:t>evaluation plan that includes the patient, health care providers and</w:t>
      </w:r>
      <w:r>
        <w:rPr>
          <w:spacing w:val="-7"/>
        </w:rPr>
        <w:t> </w:t>
      </w:r>
      <w:r>
        <w:rPr>
          <w:spacing w:val="-4"/>
        </w:rPr>
        <w:t>system</w:t>
      </w:r>
    </w:p>
    <w:p>
      <w:pPr>
        <w:spacing w:after="0" w:line="249" w:lineRule="auto"/>
        <w:sectPr>
          <w:pgSz w:w="12240" w:h="15840"/>
          <w:pgMar w:header="746" w:footer="0" w:top="1320" w:bottom="280" w:left="880" w:right="300"/>
          <w:cols w:num="2" w:equalWidth="0">
            <w:col w:w="5000" w:space="486"/>
            <w:col w:w="5574"/>
          </w:cols>
        </w:sectPr>
      </w:pPr>
    </w:p>
    <w:p>
      <w:pPr>
        <w:pStyle w:val="BodyText"/>
        <w:spacing w:line="249" w:lineRule="auto" w:before="100"/>
        <w:ind w:right="84"/>
        <w:jc w:val="both"/>
      </w:pPr>
      <w:r>
        <w:rPr/>
        <w:t>outcome measures will be designed to measure the success of the evidence based practice initiative. The integration of nursing theory and theories from other disciplines to guide practice will be emphasized.</w:t>
      </w:r>
    </w:p>
    <w:p>
      <w:pPr>
        <w:pStyle w:val="BodyText"/>
        <w:spacing w:before="180"/>
      </w:pPr>
      <w:r>
        <w:rPr/>
        <w:t>Offered:</w:t>
      </w:r>
      <w:r>
        <w:rPr>
          <w:spacing w:val="-2"/>
        </w:rPr>
        <w:t> </w:t>
      </w:r>
      <w:r>
        <w:rPr/>
        <w:t>202009.</w:t>
      </w:r>
    </w:p>
    <w:p>
      <w:pPr>
        <w:pStyle w:val="Heading6"/>
      </w:pPr>
      <w:r>
        <w:rPr/>
        <w:t>NURS 835 - </w:t>
      </w:r>
      <w:r>
        <w:rPr>
          <w:spacing w:val="2"/>
        </w:rPr>
        <w:t> </w:t>
      </w:r>
      <w:r>
        <w:rPr/>
        <w:t>(3)</w:t>
      </w:r>
    </w:p>
    <w:p>
      <w:pPr>
        <w:pStyle w:val="BodyText"/>
        <w:spacing w:line="249" w:lineRule="auto" w:before="193"/>
        <w:ind w:right="82"/>
      </w:pPr>
      <w:r>
        <w:rPr/>
        <w:t>This course applies the evidence-based practice theoretical knowledge, skills, and attitudes from pre/co-requisite courses through a precepted experience (135 hours total). In an approved practicum site, the student applies their knowledge and skill under the supervision of an experienced faculty and precptor. Each student will develop an individualized learning contract defining the activities by which they will demonstrate attainment of the course and personal objectives. Discussion and written assignments will allow students to comparatively analyze theoretical and conceptual principles with those experienced in the field. A seminar will provide a forum for discussion of issues and special relevant topics.</w:t>
      </w:r>
    </w:p>
    <w:p>
      <w:pPr>
        <w:pStyle w:val="BodyText"/>
        <w:spacing w:line="249" w:lineRule="auto" w:before="9"/>
        <w:ind w:right="466"/>
      </w:pPr>
      <w:r>
        <w:rPr/>
        <w:t>Individual aspects of the practicum will be negotiated between the student, preceptor, and faculty facilitator.</w:t>
      </w:r>
    </w:p>
    <w:p>
      <w:pPr>
        <w:pStyle w:val="BodyText"/>
        <w:spacing w:before="179"/>
      </w:pPr>
      <w:r>
        <w:rPr/>
        <w:t>Offered:</w:t>
      </w:r>
      <w:r>
        <w:rPr>
          <w:spacing w:val="-2"/>
        </w:rPr>
        <w:t> </w:t>
      </w:r>
      <w:r>
        <w:rPr/>
        <w:t>202002.</w:t>
      </w:r>
    </w:p>
    <w:p>
      <w:pPr>
        <w:pStyle w:val="Heading6"/>
      </w:pPr>
      <w:r>
        <w:rPr/>
        <w:t>NURS 836 - </w:t>
      </w:r>
      <w:r>
        <w:rPr>
          <w:spacing w:val="2"/>
        </w:rPr>
        <w:t> </w:t>
      </w:r>
      <w:r>
        <w:rPr/>
        <w:t>(3)</w:t>
      </w:r>
    </w:p>
    <w:p>
      <w:pPr>
        <w:pStyle w:val="BodyText"/>
        <w:spacing w:line="249" w:lineRule="auto" w:before="193"/>
        <w:ind w:right="38"/>
      </w:pPr>
      <w:r>
        <w:rPr/>
        <w:t>Reflects the central role </w:t>
      </w:r>
      <w:r>
        <w:rPr>
          <w:spacing w:val="-3"/>
        </w:rPr>
        <w:t>of </w:t>
      </w:r>
      <w:r>
        <w:rPr/>
        <w:t>decision science in utilizing nursing informatics to improve patient care. </w:t>
      </w:r>
      <w:r>
        <w:rPr>
          <w:spacing w:val="-3"/>
        </w:rPr>
        <w:t>Analyzes </w:t>
      </w:r>
      <w:r>
        <w:rPr/>
        <w:t>selected decision science theories and relevant research that supports and directs the field </w:t>
      </w:r>
      <w:r>
        <w:rPr>
          <w:spacing w:val="-3"/>
        </w:rPr>
        <w:t>of </w:t>
      </w:r>
      <w:r>
        <w:rPr/>
        <w:t>nursing informatics. Decision sciences include statistically based models of clinical judgment, information processing theory </w:t>
      </w:r>
      <w:r>
        <w:rPr>
          <w:spacing w:val="-3"/>
        </w:rPr>
        <w:t>of </w:t>
      </w:r>
      <w:r>
        <w:rPr/>
        <w:t>clinical judgment and theories </w:t>
      </w:r>
      <w:r>
        <w:rPr>
          <w:spacing w:val="-4"/>
        </w:rPr>
        <w:t>for </w:t>
      </w:r>
      <w:r>
        <w:rPr/>
        <w:t>knowledge and skill acquisition. Case simulations, protocol analysis, knowledge engineering, decision analysis models, grounded </w:t>
      </w:r>
      <w:r>
        <w:rPr>
          <w:spacing w:val="-3"/>
        </w:rPr>
        <w:t>theory, </w:t>
      </w:r>
      <w:r>
        <w:rPr/>
        <w:t>neural networks and </w:t>
      </w:r>
      <w:r>
        <w:rPr>
          <w:spacing w:val="-3"/>
        </w:rPr>
        <w:t>ways </w:t>
      </w:r>
      <w:r>
        <w:rPr/>
        <w:t>of knowing are evaluated </w:t>
      </w:r>
      <w:r>
        <w:rPr>
          <w:spacing w:val="-4"/>
        </w:rPr>
        <w:t>for </w:t>
      </w:r>
      <w:r>
        <w:rPr/>
        <w:t>their usefulness to nursing informatics. Prerequisites: </w:t>
      </w:r>
      <w:r>
        <w:rPr>
          <w:spacing w:val="-3"/>
        </w:rPr>
        <w:t>NURS </w:t>
      </w:r>
      <w:r>
        <w:rPr/>
        <w:t>737, </w:t>
      </w:r>
      <w:r>
        <w:rPr>
          <w:spacing w:val="-4"/>
        </w:rPr>
        <w:t>NURS </w:t>
      </w:r>
      <w:r>
        <w:rPr/>
        <w:t>840, </w:t>
      </w:r>
      <w:r>
        <w:rPr>
          <w:spacing w:val="-4"/>
        </w:rPr>
        <w:t>NURS </w:t>
      </w:r>
      <w:r>
        <w:rPr/>
        <w:t>850 and </w:t>
      </w:r>
      <w:r>
        <w:rPr>
          <w:spacing w:val="-4"/>
        </w:rPr>
        <w:t>NURS </w:t>
      </w:r>
      <w:r>
        <w:rPr/>
        <w:t>851</w:t>
      </w:r>
    </w:p>
    <w:p>
      <w:pPr>
        <w:pStyle w:val="BodyText"/>
        <w:spacing w:before="186"/>
      </w:pPr>
      <w:r>
        <w:rPr/>
        <w:t>Offered: 202002.</w:t>
      </w:r>
    </w:p>
    <w:p>
      <w:pPr>
        <w:pStyle w:val="Heading6"/>
        <w:spacing w:line="249" w:lineRule="auto"/>
        <w:ind w:right="47"/>
      </w:pPr>
      <w:r>
        <w:rPr/>
        <w:t>NURS 837 - NURSING INFORMATICS IN QUALITY OF CARE (3)</w:t>
      </w:r>
    </w:p>
    <w:p>
      <w:pPr>
        <w:pStyle w:val="BodyText"/>
        <w:spacing w:line="249" w:lineRule="auto" w:before="184"/>
        <w:ind w:right="48"/>
      </w:pPr>
      <w:r>
        <w:rPr/>
        <w:t>Addresses aggregate-level data analysis in the application of nursing informatics in describing, improving, measuring and delivering quality care. Employs a broad definition of systems and analyzes selected systems theories and relevant research, which supports and directs the field of nursing informatics and its use of available and emerging technology. Theories are applied to the study of systems to determine how their definitions and boundaries facilitate the application of quality of care models and enhance the</w:t>
      </w:r>
    </w:p>
    <w:p>
      <w:pPr>
        <w:pStyle w:val="BodyText"/>
        <w:spacing w:line="249" w:lineRule="auto" w:before="96"/>
        <w:ind w:right="903"/>
      </w:pPr>
      <w:r>
        <w:rPr/>
        <w:br w:type="column"/>
      </w:r>
      <w:r>
        <w:rPr/>
        <w:t>access, quality and cost-effectiveness of care. A multidimensional model provides a framework for studying the direct and indirect effects of nursing informatics technology.</w:t>
      </w:r>
    </w:p>
    <w:p>
      <w:pPr>
        <w:pStyle w:val="BodyText"/>
        <w:spacing w:before="180"/>
      </w:pPr>
      <w:r>
        <w:rPr/>
        <w:t>Offered: 202009.</w:t>
      </w:r>
    </w:p>
    <w:p>
      <w:pPr>
        <w:pStyle w:val="Heading6"/>
        <w:spacing w:line="249" w:lineRule="auto"/>
        <w:ind w:right="1208"/>
      </w:pPr>
      <w:r>
        <w:rPr/>
        <w:t>NURS 840 - PHILOSOPHY OF SCIENCE AND DEVELOPMENT OF THEORY (3)</w:t>
      </w:r>
    </w:p>
    <w:p>
      <w:pPr>
        <w:pStyle w:val="BodyText"/>
        <w:spacing w:line="249" w:lineRule="auto" w:before="184"/>
        <w:ind w:right="632"/>
      </w:pPr>
      <w:r>
        <w:rPr/>
        <w:t>Reviews the nature of knowledge and theory in the various scientific disciplines. Describes and analyzes the revolutions or paradigm shifts that have occurred in science. The struggle between many world views is discussed including empiricism, positivism, rationalism and the hypodeductive model of science. After considering the ways of knowing (epistemology), selected world views and theories from a variety of disciplines are analyzed.</w:t>
      </w:r>
    </w:p>
    <w:p>
      <w:pPr>
        <w:pStyle w:val="BodyText"/>
        <w:spacing w:line="249" w:lineRule="auto" w:before="6"/>
        <w:ind w:right="622"/>
      </w:pPr>
      <w:r>
        <w:rPr/>
        <w:t>Discusses strategies for developing nursing theories and introduces alternative metatheoretical approaches available for use in theory evaluation in nursing.</w:t>
      </w:r>
    </w:p>
    <w:p>
      <w:pPr>
        <w:pStyle w:val="BodyText"/>
        <w:spacing w:before="180"/>
      </w:pPr>
      <w:r>
        <w:rPr/>
        <w:t>Offered: 202009.</w:t>
      </w:r>
    </w:p>
    <w:p>
      <w:pPr>
        <w:pStyle w:val="Heading6"/>
        <w:spacing w:line="249" w:lineRule="auto"/>
        <w:ind w:right="624"/>
      </w:pPr>
      <w:r>
        <w:rPr/>
        <w:t>NURS 841 - THEORY AND CONCEPTUALIZATION IN NURSING SCIENCE (3)</w:t>
      </w:r>
    </w:p>
    <w:p>
      <w:pPr>
        <w:pStyle w:val="BodyText"/>
        <w:spacing w:line="249" w:lineRule="auto" w:before="184"/>
        <w:ind w:right="615"/>
      </w:pPr>
      <w:r>
        <w:rPr/>
        <w:t>Focuses on the nature of theory in scientific disciplines, nursing theory within the context of the philosophy of science and the evolution of nursing science and the application of conceptualization to the process and conduct of nursing research. Interrelationships between components, context and structure of modes of systematic inquiry, the conceptual basis of theory development and a variety of mid-range theories and their paradigms are analyzed. Contribution of these modes, concepts and theories (practice, mid-range, grand) to knowledge generation and theory development in nursing is critically evaluated in relation to nursing science and applied to student?s area of interest.</w:t>
      </w:r>
    </w:p>
    <w:p>
      <w:pPr>
        <w:pStyle w:val="BodyText"/>
        <w:spacing w:before="187"/>
      </w:pPr>
      <w:r>
        <w:rPr/>
        <w:t>Offered: 202009.</w:t>
      </w:r>
    </w:p>
    <w:p>
      <w:pPr>
        <w:pStyle w:val="Heading6"/>
        <w:spacing w:line="249" w:lineRule="auto"/>
        <w:ind w:right="1686"/>
      </w:pPr>
      <w:r>
        <w:rPr/>
        <w:t>NURS 850 - EXPERIMENTAL NURSING RESEARCH DESIGNS (3)</w:t>
      </w:r>
    </w:p>
    <w:p>
      <w:pPr>
        <w:pStyle w:val="BodyText"/>
        <w:spacing w:line="249" w:lineRule="auto" w:before="184"/>
        <w:ind w:right="621"/>
      </w:pPr>
      <w:r>
        <w:rPr/>
        <w:t>This course focuses on the relationship between theory and design and selected experimental and quasi-experimental research designs. Threats to both the internal validity and the construct validity of research designs are explored as well as ways of minimizing them. Issues of bias, representativeness, and generalizability are discussed in relation to probability and nonprobability sampling.</w:t>
      </w:r>
    </w:p>
    <w:p>
      <w:pPr>
        <w:pStyle w:val="BodyText"/>
        <w:spacing w:before="183"/>
      </w:pPr>
      <w:r>
        <w:rPr/>
        <w:t>Offered: 202009.</w:t>
      </w:r>
    </w:p>
    <w:p>
      <w:pPr>
        <w:spacing w:after="0"/>
        <w:sectPr>
          <w:headerReference w:type="default" r:id="rId98"/>
          <w:headerReference w:type="even" r:id="rId99"/>
          <w:pgSz w:w="12240" w:h="15840"/>
          <w:pgMar w:header="746" w:footer="0" w:top="1320" w:bottom="280" w:left="880" w:right="300"/>
          <w:cols w:num="2" w:equalWidth="0">
            <w:col w:w="5001" w:space="486"/>
            <w:col w:w="5573"/>
          </w:cols>
        </w:sectPr>
      </w:pPr>
    </w:p>
    <w:p>
      <w:pPr>
        <w:pStyle w:val="Heading6"/>
        <w:spacing w:line="249" w:lineRule="auto" w:before="100"/>
        <w:ind w:right="532"/>
      </w:pPr>
      <w:r>
        <w:rPr/>
        <w:t>NURS 851 - ANALYSIS FOR EXPERIMENTAL NURSING RESEARCH DESIGNS (3)</w:t>
      </w:r>
    </w:p>
    <w:p>
      <w:pPr>
        <w:pStyle w:val="BodyText"/>
        <w:spacing w:line="249" w:lineRule="auto" w:before="179"/>
        <w:ind w:right="56"/>
      </w:pPr>
      <w:r>
        <w:rPr/>
        <w:t>This course is designed to </w:t>
      </w:r>
      <w:r>
        <w:rPr>
          <w:spacing w:val="-3"/>
        </w:rPr>
        <w:t>be </w:t>
      </w:r>
      <w:r>
        <w:rPr/>
        <w:t>taken concurrently with </w:t>
      </w:r>
      <w:r>
        <w:rPr>
          <w:spacing w:val="-3"/>
        </w:rPr>
        <w:t>NURS </w:t>
      </w:r>
      <w:r>
        <w:rPr/>
        <w:t>850: Experimental Nursing </w:t>
      </w:r>
      <w:r>
        <w:rPr>
          <w:spacing w:val="-3"/>
        </w:rPr>
        <w:t>Research </w:t>
      </w:r>
      <w:r>
        <w:rPr/>
        <w:t>Designs and provides the theoretical and practical knowledge to conduct </w:t>
      </w:r>
      <w:r>
        <w:rPr>
          <w:spacing w:val="-3"/>
        </w:rPr>
        <w:t>analyses </w:t>
      </w:r>
      <w:r>
        <w:rPr/>
        <w:t>of experimental data. The course </w:t>
      </w:r>
      <w:r>
        <w:rPr>
          <w:spacing w:val="-3"/>
        </w:rPr>
        <w:t>focuses </w:t>
      </w:r>
      <w:r>
        <w:rPr/>
        <w:t>on: 1) the identification and uses </w:t>
      </w:r>
      <w:r>
        <w:rPr>
          <w:spacing w:val="-3"/>
        </w:rPr>
        <w:t>of </w:t>
      </w:r>
      <w:r>
        <w:rPr/>
        <w:t>appropriate descriptive and inferential statistics; 2) the acquisition </w:t>
      </w:r>
      <w:r>
        <w:rPr>
          <w:spacing w:val="-3"/>
        </w:rPr>
        <w:t>of </w:t>
      </w:r>
      <w:r>
        <w:rPr/>
        <w:t>data manipulation skills necessary to conduct experimental and interventional research; and 3) the development </w:t>
      </w:r>
      <w:r>
        <w:rPr>
          <w:spacing w:val="-3"/>
        </w:rPr>
        <w:t>of </w:t>
      </w:r>
      <w:r>
        <w:rPr/>
        <w:t>analytical writing and data summary skills. Hypothesis testing </w:t>
      </w:r>
      <w:r>
        <w:rPr>
          <w:spacing w:val="-3"/>
        </w:rPr>
        <w:t>with </w:t>
      </w:r>
      <w:r>
        <w:rPr/>
        <w:t>various levels </w:t>
      </w:r>
      <w:r>
        <w:rPr>
          <w:spacing w:val="-3"/>
        </w:rPr>
        <w:t>of </w:t>
      </w:r>
      <w:r>
        <w:rPr/>
        <w:t>measurement, and inferential statistics will </w:t>
      </w:r>
      <w:r>
        <w:rPr>
          <w:spacing w:val="-3"/>
        </w:rPr>
        <w:t>be </w:t>
      </w:r>
      <w:r>
        <w:rPr/>
        <w:t>examined. The relationships </w:t>
      </w:r>
      <w:r>
        <w:rPr>
          <w:spacing w:val="-3"/>
        </w:rPr>
        <w:t>between </w:t>
      </w:r>
      <w:r>
        <w:rPr/>
        <w:t>design and analysis are revealed through the development of an analytical plan. The procedures </w:t>
      </w:r>
      <w:r>
        <w:rPr>
          <w:spacing w:val="-4"/>
        </w:rPr>
        <w:t>for </w:t>
      </w:r>
      <w:r>
        <w:rPr/>
        <w:t>compiling data, developing a research file, and documenting the file are specified. Analytic techniques address descriptive statistics, measures </w:t>
      </w:r>
      <w:r>
        <w:rPr>
          <w:spacing w:val="-3"/>
        </w:rPr>
        <w:t>of </w:t>
      </w:r>
      <w:r>
        <w:rPr/>
        <w:t>association, ANOVA, and simple regression.</w:t>
      </w:r>
    </w:p>
    <w:p>
      <w:pPr>
        <w:pStyle w:val="BodyText"/>
        <w:spacing w:before="195"/>
      </w:pPr>
      <w:r>
        <w:rPr/>
        <w:t>Offered: 202009.</w:t>
      </w:r>
    </w:p>
    <w:p>
      <w:pPr>
        <w:pStyle w:val="Heading6"/>
        <w:spacing w:line="249" w:lineRule="auto"/>
        <w:ind w:right="582"/>
      </w:pPr>
      <w:r>
        <w:rPr/>
        <w:t>NURS 852 - NON-EXPERIMENTAL NURSING RESEARCH DESIGNS (3)</w:t>
      </w:r>
    </w:p>
    <w:p>
      <w:pPr>
        <w:pStyle w:val="BodyText"/>
        <w:spacing w:line="249" w:lineRule="auto" w:before="179"/>
        <w:ind w:right="151"/>
      </w:pPr>
      <w:r>
        <w:rPr/>
        <w:t>Focuses on non-experimental research designs, including descriptive, cross-sectional, survey, prospective, retrospective, exploratory and qualitative. Incorporates similar approaches including consideration of the validity of the designs as well as bias, sampling, rigor and application of non-experimental research design approaches to researchable nursing questions.</w:t>
      </w:r>
    </w:p>
    <w:p>
      <w:pPr>
        <w:pStyle w:val="BodyText"/>
        <w:spacing w:before="187"/>
      </w:pPr>
      <w:r>
        <w:rPr/>
        <w:t>Offered: 202009.</w:t>
      </w:r>
    </w:p>
    <w:p>
      <w:pPr>
        <w:pStyle w:val="Heading6"/>
        <w:spacing w:line="249" w:lineRule="auto"/>
        <w:ind w:right="21"/>
      </w:pPr>
      <w:r>
        <w:rPr/>
        <w:t>NURS 853 - ANALYSIS FOR NON-EXPERIMENTAL NURSING RESEARCH (2)</w:t>
      </w:r>
    </w:p>
    <w:p>
      <w:pPr>
        <w:pStyle w:val="BodyText"/>
        <w:spacing w:line="249" w:lineRule="auto" w:before="179"/>
        <w:ind w:right="90"/>
      </w:pPr>
      <w:r>
        <w:rPr/>
        <w:t>Focuses on analytical approaches used to design and conduct non-experimental research and approaches to data reduction and data summary common to non-experimental studies. Addresses analytical issues related to survey and qualitative research, including coding of open-ended questions, handling of missing data, weighing data and non-parametric testing. Reviews software used for data collection, data reduction and reporting.</w:t>
      </w:r>
    </w:p>
    <w:p>
      <w:pPr>
        <w:pStyle w:val="BodyText"/>
        <w:spacing w:before="189"/>
      </w:pPr>
      <w:r>
        <w:rPr/>
        <w:t>Offered: 202009.</w:t>
      </w:r>
    </w:p>
    <w:p>
      <w:pPr>
        <w:pStyle w:val="Heading6"/>
        <w:spacing w:line="249" w:lineRule="auto"/>
        <w:ind w:right="177"/>
      </w:pPr>
      <w:r>
        <w:rPr/>
        <w:t>NURS 880 - INTERDISCIPLINARY RESEARCH SEMINAR - CENTERS OF EXCELLENCE (1 TO 2)</w:t>
      </w:r>
    </w:p>
    <w:p>
      <w:pPr>
        <w:pStyle w:val="BodyText"/>
        <w:spacing w:before="179"/>
      </w:pPr>
      <w:r>
        <w:rPr/>
        <w:t>Offered: 202009.</w:t>
      </w:r>
    </w:p>
    <w:p>
      <w:pPr>
        <w:pStyle w:val="Heading6"/>
        <w:spacing w:line="249" w:lineRule="auto" w:before="96"/>
        <w:ind w:right="1120"/>
      </w:pPr>
      <w:r>
        <w:rPr>
          <w:b w:val="0"/>
        </w:rPr>
        <w:br w:type="column"/>
      </w:r>
      <w:r>
        <w:rPr/>
        <w:t>NURS 881 - THEORETICAL AND METHODOLOGICAL ISSUES ON COPING (2)</w:t>
      </w:r>
    </w:p>
    <w:p>
      <w:pPr>
        <w:pStyle w:val="BodyText"/>
        <w:spacing w:line="249" w:lineRule="auto" w:before="179"/>
        <w:ind w:right="605"/>
      </w:pPr>
      <w:r>
        <w:rPr/>
        <w:t>Provides the student with an opportunity to develop a conceptual framework for viewing and investigating the process of coping. Through a survey and critical review of both historical and contemporary literature from multiple disciplines, an array of models of coping is examined and a prospectus for individual or group studies on coping with stress in health and disease is developed.</w:t>
      </w:r>
    </w:p>
    <w:p>
      <w:pPr>
        <w:pStyle w:val="BodyText"/>
        <w:spacing w:before="188"/>
      </w:pPr>
      <w:r>
        <w:rPr/>
        <w:t>Offered:</w:t>
      </w:r>
      <w:r>
        <w:rPr>
          <w:spacing w:val="-2"/>
        </w:rPr>
        <w:t> </w:t>
      </w:r>
      <w:r>
        <w:rPr/>
        <w:t>202009.</w:t>
      </w:r>
    </w:p>
    <w:p>
      <w:pPr>
        <w:pStyle w:val="Heading6"/>
      </w:pPr>
      <w:r>
        <w:rPr/>
        <w:t>NURS 884 - </w:t>
      </w:r>
      <w:r>
        <w:rPr>
          <w:spacing w:val="2"/>
        </w:rPr>
        <w:t> </w:t>
      </w:r>
      <w:r>
        <w:rPr/>
        <w:t>(2)</w:t>
      </w:r>
    </w:p>
    <w:p>
      <w:pPr>
        <w:pStyle w:val="BodyText"/>
        <w:spacing w:before="187"/>
      </w:pPr>
      <w:r>
        <w:rPr/>
        <w:t>Offered:</w:t>
      </w:r>
      <w:r>
        <w:rPr>
          <w:spacing w:val="-2"/>
        </w:rPr>
        <w:t> </w:t>
      </w:r>
      <w:r>
        <w:rPr/>
        <w:t>202002.</w:t>
      </w:r>
    </w:p>
    <w:p>
      <w:pPr>
        <w:pStyle w:val="Heading6"/>
        <w:spacing w:line="249" w:lineRule="auto" w:before="131"/>
        <w:ind w:right="1386"/>
      </w:pPr>
      <w:r>
        <w:rPr/>
        <w:t>NURS 897 - SPECIAL TOPICS IN NURSING SCIENCE (1 TO 6)</w:t>
      </w:r>
    </w:p>
    <w:p>
      <w:pPr>
        <w:pStyle w:val="BodyText"/>
        <w:spacing w:line="249" w:lineRule="auto" w:before="183"/>
        <w:ind w:right="655"/>
      </w:pPr>
      <w:r>
        <w:rPr/>
        <w:t>Allows a student to study a topic of professional interest within the sphere of indirect nursing with a graduate faculty member who has special competence in the subject area. Specific objectives and requirements are determined by contractual agreement prior to registration. Repeatable up to a maximum of six credits.</w:t>
      </w:r>
    </w:p>
    <w:p>
      <w:pPr>
        <w:pStyle w:val="BodyText"/>
        <w:spacing w:before="182"/>
      </w:pPr>
      <w:r>
        <w:rPr/>
        <w:t>Offered: 202009.</w:t>
      </w:r>
    </w:p>
    <w:p>
      <w:pPr>
        <w:pStyle w:val="Heading6"/>
        <w:spacing w:before="131"/>
      </w:pPr>
      <w:r>
        <w:rPr/>
        <w:t>NURS 898 - (1 TO 8)</w:t>
      </w:r>
    </w:p>
    <w:p>
      <w:pPr>
        <w:pStyle w:val="BodyText"/>
        <w:spacing w:line="249" w:lineRule="auto" w:before="192"/>
        <w:ind w:right="678"/>
      </w:pPr>
      <w:r>
        <w:rPr/>
        <w:t>Allows pre-candidacy students to study a topic of professional interest with a graduate faculty member who has special competence in the subject area. Specific objectives and requirements are determined by contractual agreement prior to registration.</w:t>
      </w:r>
    </w:p>
    <w:p>
      <w:pPr>
        <w:pStyle w:val="BodyText"/>
        <w:spacing w:before="181"/>
      </w:pPr>
      <w:r>
        <w:rPr/>
        <w:t>Offered: 202002.</w:t>
      </w:r>
    </w:p>
    <w:p>
      <w:pPr>
        <w:pStyle w:val="Heading6"/>
      </w:pPr>
      <w:r>
        <w:rPr/>
        <w:t>NURS 899 - (1 TO 12)</w:t>
      </w:r>
    </w:p>
    <w:p>
      <w:pPr>
        <w:pStyle w:val="BodyText"/>
        <w:spacing w:line="249" w:lineRule="auto" w:before="193"/>
        <w:ind w:right="645"/>
      </w:pPr>
      <w:r>
        <w:rPr/>
        <w:t>Dissertation credits are taken </w:t>
      </w:r>
      <w:r>
        <w:rPr>
          <w:spacing w:val="-3"/>
        </w:rPr>
        <w:t>after </w:t>
      </w:r>
      <w:r>
        <w:rPr/>
        <w:t>admission to candidacy for the doctoral degree. The credits taken during a given semester should reflect the expenditure </w:t>
      </w:r>
      <w:r>
        <w:rPr>
          <w:spacing w:val="-3"/>
        </w:rPr>
        <w:t>of </w:t>
      </w:r>
      <w:r>
        <w:rPr/>
        <w:t>time (student?s and advisor?s) </w:t>
      </w:r>
      <w:r>
        <w:rPr>
          <w:spacing w:val="-3"/>
        </w:rPr>
        <w:t>on </w:t>
      </w:r>
      <w:r>
        <w:rPr/>
        <w:t>dissertation related activity. A No Mark (NM) grade is assigned to </w:t>
      </w:r>
      <w:r>
        <w:rPr>
          <w:spacing w:val="-4"/>
        </w:rPr>
        <w:t>NURS </w:t>
      </w:r>
      <w:r>
        <w:rPr/>
        <w:t>899 credits until after the dissertation defense is completed. This seminar, </w:t>
      </w:r>
      <w:r>
        <w:rPr>
          <w:spacing w:val="-3"/>
        </w:rPr>
        <w:t>based </w:t>
      </w:r>
      <w:r>
        <w:rPr/>
        <w:t>upon a student-centered learning approach, provides peer and faculty support to students planning to undertake individual research studies, usually (but not limited to) doctoral dissertations. Students </w:t>
      </w:r>
      <w:r>
        <w:rPr>
          <w:spacing w:val="-3"/>
        </w:rPr>
        <w:t>develop </w:t>
      </w:r>
      <w:r>
        <w:rPr/>
        <w:t>course and individual objectives the first day of class. A topical outline </w:t>
      </w:r>
      <w:r>
        <w:rPr>
          <w:spacing w:val="-4"/>
        </w:rPr>
        <w:t>for </w:t>
      </w:r>
      <w:r>
        <w:rPr/>
        <w:t>class sessions during the semester is agreed upon during the second class meeting. Course and individual objectives usually include development </w:t>
      </w:r>
      <w:r>
        <w:rPr>
          <w:spacing w:val="-3"/>
        </w:rPr>
        <w:t>of </w:t>
      </w:r>
      <w:r>
        <w:rPr/>
        <w:t>individual research designs, instruments, and data analysis plans, literature reviews and a written research</w:t>
      </w:r>
      <w:r>
        <w:rPr>
          <w:spacing w:val="-29"/>
        </w:rPr>
        <w:t> </w:t>
      </w:r>
      <w:r>
        <w:rPr/>
        <w:t>prospectus.</w:t>
      </w:r>
    </w:p>
    <w:p>
      <w:pPr>
        <w:spacing w:after="0" w:line="249" w:lineRule="auto"/>
        <w:sectPr>
          <w:pgSz w:w="12240" w:h="15840"/>
          <w:pgMar w:header="746" w:footer="0" w:top="1320" w:bottom="280" w:left="880" w:right="300"/>
          <w:cols w:num="2" w:equalWidth="0">
            <w:col w:w="4981" w:space="505"/>
            <w:col w:w="5574"/>
          </w:cols>
        </w:sectPr>
      </w:pPr>
    </w:p>
    <w:p>
      <w:pPr>
        <w:pStyle w:val="BodyText"/>
        <w:spacing w:line="249" w:lineRule="auto" w:before="100"/>
        <w:ind w:right="26"/>
      </w:pPr>
      <w:r>
        <w:rPr/>
        <w:t>Didactic presentations include the components of a dissertation proposal; methods for negotiating the system including selecting and working with committees, selecting and securing agency cooperation, and Institutional Review Board approval. The majority of class sessions are devoted to student presentations of their research plans with group feedback to strengthen these plans.</w:t>
      </w:r>
    </w:p>
    <w:p>
      <w:pPr>
        <w:pStyle w:val="BodyText"/>
        <w:spacing w:before="182"/>
      </w:pPr>
      <w:r>
        <w:rPr/>
        <w:t>Offered: 202002.</w:t>
      </w:r>
    </w:p>
    <w:p>
      <w:pPr>
        <w:pStyle w:val="Heading2"/>
        <w:spacing w:before="197"/>
      </w:pPr>
      <w:bookmarkStart w:name="PALC" w:id="133"/>
      <w:bookmarkEnd w:id="133"/>
      <w:r>
        <w:rPr/>
      </w:r>
      <w:bookmarkStart w:name="_bookmark66" w:id="134"/>
      <w:bookmarkEnd w:id="134"/>
      <w:r>
        <w:rPr/>
      </w:r>
      <w:r>
        <w:rPr/>
        <w:t>PALC</w:t>
      </w:r>
    </w:p>
    <w:p>
      <w:pPr>
        <w:pStyle w:val="Heading6"/>
        <w:spacing w:line="249" w:lineRule="auto" w:before="128"/>
        <w:ind w:right="475"/>
      </w:pPr>
      <w:r>
        <w:rPr/>
        <w:t>PALC 601 - PRINCLIPLES AND PRACTICE OF HOSPICE AND PALLIATIVE CARE (3)</w:t>
      </w:r>
    </w:p>
    <w:p>
      <w:pPr>
        <w:pStyle w:val="BodyText"/>
        <w:spacing w:line="249" w:lineRule="auto" w:before="184"/>
        <w:ind w:right="65"/>
      </w:pPr>
      <w:r>
        <w:rPr/>
        <w:t>In this introductory course, participants learn about the patient/family centric model of palliative care, the interdisciplinary team concept, models of care in hospice and palliative care and regulatory aspects of these practice models. Participants also learn about education and self- care for practitioners, operational aspects of hospice and palliative care, the application of analytic inquiry and evidence-based discovery, and implications for community outreach.</w:t>
      </w:r>
    </w:p>
    <w:p>
      <w:pPr>
        <w:pStyle w:val="Heading6"/>
        <w:spacing w:line="249" w:lineRule="auto" w:before="126"/>
        <w:ind w:right="497"/>
      </w:pPr>
      <w:r>
        <w:rPr/>
        <w:t>PALC 602 - PRINCIPLES AND PRACTICES OF PALLIATIVE CARE EDUCATION (3)</w:t>
      </w:r>
    </w:p>
    <w:p>
      <w:pPr>
        <w:pStyle w:val="BodyText"/>
        <w:spacing w:line="249" w:lineRule="auto" w:before="179"/>
        <w:ind w:right="76"/>
      </w:pPr>
      <w:r>
        <w:rPr/>
        <w:t>This course provides participants with a solid grounding in the principles of adult learning, how to assess knowledge and learning differences, principles of instructional design, and barriers to teaching and learning. Participants will be prepared to perform an audience analysis, and will be prepared to deliver learning materials to patients, families, caregivers, health care providers and other stakeholders.</w:t>
      </w:r>
    </w:p>
    <w:p>
      <w:pPr>
        <w:pStyle w:val="Heading6"/>
        <w:spacing w:line="249" w:lineRule="auto" w:before="126"/>
        <w:ind w:right="1125"/>
      </w:pPr>
      <w:r>
        <w:rPr/>
        <w:t>PALC 603 - COMMUNICATION AND HEALTHCARE DECISION MAKING (3)</w:t>
      </w:r>
    </w:p>
    <w:p>
      <w:pPr>
        <w:pStyle w:val="BodyText"/>
        <w:spacing w:line="249" w:lineRule="auto" w:before="183"/>
        <w:ind w:right="193"/>
      </w:pPr>
      <w:r>
        <w:rPr/>
        <w:t>This course lays the foundation for effective communication with patients, families, and colleagues. Clear and compassionate communication skills are essential when determining patient and family goals, preferences and choices during advanced illness, and developing a plan of care to support these preferences. A significant portion of this course is devoted to communication techniques including delivering serious news, facilitating family conferences, enhancing team communication, and participating in the shared decision- making process. Introductory content on moral principles and ethical decision-making are also explored.</w:t>
      </w:r>
    </w:p>
    <w:p>
      <w:pPr>
        <w:pStyle w:val="Heading6"/>
        <w:spacing w:line="249" w:lineRule="auto" w:before="129"/>
        <w:ind w:right="420"/>
      </w:pPr>
      <w:r>
        <w:rPr/>
        <w:t>PALC 604 - PSYCHOSOCIAL, CULTURAL AND SPIRITUAL CARE (3)</w:t>
      </w:r>
    </w:p>
    <w:p>
      <w:pPr>
        <w:pStyle w:val="BodyText"/>
        <w:spacing w:before="179"/>
      </w:pPr>
      <w:r>
        <w:rPr/>
        <w:t>In this introductory course, participants learn how to</w:t>
      </w:r>
    </w:p>
    <w:p>
      <w:pPr>
        <w:pStyle w:val="BodyText"/>
        <w:spacing w:line="249" w:lineRule="auto" w:before="97"/>
        <w:ind w:right="655"/>
      </w:pPr>
      <w:r>
        <w:rPr/>
        <w:br w:type="column"/>
      </w:r>
      <w:r>
        <w:rPr/>
        <w:t>identify and address psychological, emotional, social, cultural and spiritual aspects of care in advanced illness, including grief and bereavement. Commonly used screening and assessment tools are reviewed. Roles of various professions in addressing psychosocial and spiritual needs are considered. Development of patient and family centered care plans are addressed, along with communication strategies and interventions, including referrals as needed. The importance of equity in palliative care is introduced.</w:t>
      </w:r>
    </w:p>
    <w:p>
      <w:pPr>
        <w:pStyle w:val="Heading6"/>
        <w:spacing w:line="249" w:lineRule="auto" w:before="127"/>
        <w:ind w:right="1415"/>
      </w:pPr>
      <w:r>
        <w:rPr/>
        <w:t>PALC 605 - SYMPTOM MANAGEMENT IN ADVANCED ILLNESS (3)</w:t>
      </w:r>
    </w:p>
    <w:p>
      <w:pPr>
        <w:pStyle w:val="BodyText"/>
        <w:spacing w:line="249" w:lineRule="auto" w:before="179"/>
        <w:ind w:right="595"/>
      </w:pPr>
      <w:r>
        <w:rPr/>
        <w:t>Pain management is the most prevalent </w:t>
      </w:r>
      <w:r>
        <w:rPr>
          <w:spacing w:val="-3"/>
        </w:rPr>
        <w:t>symptom </w:t>
      </w:r>
      <w:r>
        <w:rPr/>
        <w:t>in advanced illness. Participants learn how to perform a uni- and multi-dimensional pain assessment, and the assessment of the most common non-pain symptoms associated </w:t>
      </w:r>
      <w:r>
        <w:rPr>
          <w:spacing w:val="-3"/>
        </w:rPr>
        <w:t>with </w:t>
      </w:r>
      <w:r>
        <w:rPr/>
        <w:t>advanced illness. Management strategies including non- pharmacologic and pharmacologic are examined. A case- based learning model is used in this course to master content, including demonstration </w:t>
      </w:r>
      <w:r>
        <w:rPr>
          <w:spacing w:val="-3"/>
        </w:rPr>
        <w:t>of </w:t>
      </w:r>
      <w:r>
        <w:rPr/>
        <w:t>information literacy and quantitative</w:t>
      </w:r>
      <w:r>
        <w:rPr>
          <w:spacing w:val="-5"/>
        </w:rPr>
        <w:t> </w:t>
      </w:r>
      <w:r>
        <w:rPr/>
        <w:t>fluency.</w:t>
      </w:r>
    </w:p>
    <w:p>
      <w:pPr>
        <w:pStyle w:val="Heading6"/>
        <w:spacing w:line="249" w:lineRule="auto" w:before="127"/>
        <w:ind w:right="1176"/>
      </w:pPr>
      <w:r>
        <w:rPr/>
        <w:t>PALC 606 - SELF-CARE </w:t>
      </w:r>
      <w:r>
        <w:rPr>
          <w:spacing w:val="-3"/>
        </w:rPr>
        <w:t>FOR </w:t>
      </w:r>
      <w:r>
        <w:rPr/>
        <w:t>HEALTH CARE PROFESSIONALS (3)</w:t>
      </w:r>
    </w:p>
    <w:p>
      <w:pPr>
        <w:pStyle w:val="BodyText"/>
        <w:spacing w:line="249" w:lineRule="auto" w:before="184"/>
        <w:ind w:right="622"/>
      </w:pPr>
      <w:r>
        <w:rPr/>
        <w:t>This course is designed to provide students with an evidence-based and experiential understanding of the benefits of self-care in the practice of health care. Hospice and palliative care professionals are at high risk for burnout. Participants in this course learn about common sources of stress, burnout, and compassion fatigue, as well as practical techniques for self-care. Participants will have opportunities to practice integrative self-care tools and to reflect upon their use. At the end of the course, participants will have developed a comprehensive, individualized self- care plan to achieve greater wellness and resilience to burnout</w:t>
      </w:r>
    </w:p>
    <w:p>
      <w:pPr>
        <w:pStyle w:val="Heading6"/>
        <w:spacing w:line="249" w:lineRule="auto" w:before="129"/>
        <w:ind w:right="1404"/>
      </w:pPr>
      <w:r>
        <w:rPr/>
        <w:t>PALC 607 - CLINICAL MANAGEMENT OF SPECIAL PATIENT POPULATIONS (3)</w:t>
      </w:r>
    </w:p>
    <w:p>
      <w:pPr>
        <w:pStyle w:val="BodyText"/>
        <w:spacing w:line="249" w:lineRule="auto" w:before="179"/>
        <w:ind w:right="616"/>
      </w:pPr>
      <w:r>
        <w:rPr/>
        <w:t>Participants in this course </w:t>
      </w:r>
      <w:r>
        <w:rPr>
          <w:spacing w:val="-3"/>
        </w:rPr>
        <w:t>will develop </w:t>
      </w:r>
      <w:r>
        <w:rPr/>
        <w:t>advanced skills used to manage special populations with advanced illness including pediatrics, geriatrics, palliative care emergencies, and advanced assessment cases; and will develop management skills to facilitate withdrawal </w:t>
      </w:r>
      <w:r>
        <w:rPr>
          <w:spacing w:val="-3"/>
        </w:rPr>
        <w:t>of </w:t>
      </w:r>
      <w:r>
        <w:rPr/>
        <w:t>life- sustaining treatments, and to manage the </w:t>
      </w:r>
      <w:r>
        <w:rPr>
          <w:spacing w:val="-3"/>
        </w:rPr>
        <w:t>days </w:t>
      </w:r>
      <w:r>
        <w:rPr/>
        <w:t>before  death.</w:t>
      </w:r>
    </w:p>
    <w:p>
      <w:pPr>
        <w:pStyle w:val="Heading6"/>
        <w:spacing w:line="249" w:lineRule="auto" w:before="125"/>
        <w:ind w:right="1559"/>
      </w:pPr>
      <w:r>
        <w:rPr/>
        <w:t>PALC 608 - HOSPICE LEADERSHIP AND ADMINISTRATION (3)</w:t>
      </w:r>
    </w:p>
    <w:p>
      <w:pPr>
        <w:pStyle w:val="BodyText"/>
        <w:spacing w:line="249" w:lineRule="auto" w:before="184"/>
        <w:ind w:right="1176"/>
      </w:pPr>
      <w:r>
        <w:rPr/>
        <w:t>This course addresses the development of hospice leadership skills, including: developing a supportive</w:t>
      </w:r>
    </w:p>
    <w:p>
      <w:pPr>
        <w:spacing w:after="0" w:line="249" w:lineRule="auto"/>
        <w:sectPr>
          <w:headerReference w:type="even" r:id="rId100"/>
          <w:headerReference w:type="default" r:id="rId101"/>
          <w:pgSz w:w="12240" w:h="15840"/>
          <w:pgMar w:header="746" w:footer="0" w:top="1320" w:bottom="280" w:left="880" w:right="300"/>
          <w:pgNumType w:start="142"/>
          <w:cols w:num="2" w:equalWidth="0">
            <w:col w:w="5007" w:space="479"/>
            <w:col w:w="5574"/>
          </w:cols>
        </w:sectPr>
      </w:pPr>
    </w:p>
    <w:p>
      <w:pPr>
        <w:pStyle w:val="BodyText"/>
        <w:spacing w:line="249" w:lineRule="auto" w:before="100"/>
        <w:ind w:left="199" w:right="57"/>
      </w:pPr>
      <w:r>
        <w:rPr/>
        <w:t>culture, mission and values; promoting team building, quality improvement initiatives, service and performance excellence; and assuring appropriate staffing, operational aspects, financial management, human resources management, quality management, organizational integrity and compliance. Participants </w:t>
      </w:r>
      <w:r>
        <w:rPr>
          <w:spacing w:val="-3"/>
        </w:rPr>
        <w:t>will become </w:t>
      </w:r>
      <w:r>
        <w:rPr/>
        <w:t>knowledgeable about the standards and regulations </w:t>
      </w:r>
      <w:r>
        <w:rPr>
          <w:spacing w:val="-4"/>
        </w:rPr>
        <w:t>for </w:t>
      </w:r>
      <w:r>
        <w:rPr/>
        <w:t>hospice eligibility and compensation</w:t>
      </w:r>
      <w:r>
        <w:rPr>
          <w:spacing w:val="3"/>
        </w:rPr>
        <w:t> </w:t>
      </w:r>
      <w:r>
        <w:rPr/>
        <w:t>models</w:t>
      </w:r>
    </w:p>
    <w:p>
      <w:pPr>
        <w:pStyle w:val="Heading6"/>
        <w:spacing w:line="249" w:lineRule="auto" w:before="126"/>
        <w:ind w:right="26"/>
      </w:pPr>
      <w:r>
        <w:rPr/>
        <w:t>PALC 609 - PALLIATIVE CARE LEADERSHIP </w:t>
      </w:r>
      <w:r>
        <w:rPr>
          <w:spacing w:val="-2"/>
        </w:rPr>
        <w:t>AND </w:t>
      </w:r>
      <w:r>
        <w:rPr/>
        <w:t>ADMINISTRATION (3)</w:t>
      </w:r>
    </w:p>
    <w:p>
      <w:pPr>
        <w:pStyle w:val="BodyText"/>
        <w:spacing w:line="249" w:lineRule="auto" w:before="179"/>
        <w:ind w:right="50"/>
      </w:pPr>
      <w:r>
        <w:rPr/>
        <w:t>This course addresses the development of palliative care leadership skills including developing a supportive culture, establishing mission and values, promoting team building, promoting quality improvement initiatives, establishing service and performance excellence, assuring appropriate staffing and operational aspects, and developing financial management, human resources management, quality management, and organizational integrity and compliance. Participants will be intimately knowledgeable about the standards and regulations for palliative care practice and compensation models. Prerequisite: PALC 601</w:t>
      </w:r>
    </w:p>
    <w:p>
      <w:pPr>
        <w:pStyle w:val="Heading6"/>
        <w:spacing w:line="249" w:lineRule="auto" w:before="128"/>
        <w:ind w:right="571"/>
      </w:pPr>
      <w:r>
        <w:rPr/>
        <w:t>PALC 610 - PRACTICE DEVELOPMENT AND STRATEGIC PLANNING (3)</w:t>
      </w:r>
    </w:p>
    <w:p>
      <w:pPr>
        <w:pStyle w:val="BodyText"/>
        <w:spacing w:line="249" w:lineRule="auto" w:before="184"/>
        <w:ind w:right="111"/>
      </w:pPr>
      <w:r>
        <w:rPr/>
        <w:t>Participants in this course learn to assess the need for a hospice and/or palliative care program. Additionally, participants learn to develop, implement and maintain an ongoing, data-driven process that reflects the complexity of the organization, and one which focuses on clinical, economic and humanistic outcomes. Learners will assure strategic alignment of program operationalization with the established organizational mission and vision, with consideration for growth.</w:t>
      </w:r>
    </w:p>
    <w:p>
      <w:pPr>
        <w:pStyle w:val="Heading6"/>
        <w:spacing w:line="249" w:lineRule="auto" w:before="126"/>
        <w:ind w:right="427"/>
      </w:pPr>
      <w:r>
        <w:rPr/>
        <w:t>PALC 611 - ADVANCED NON-PAIN SYMPTOM MANAGEMENT (3)</w:t>
      </w:r>
    </w:p>
    <w:p>
      <w:pPr>
        <w:pStyle w:val="BodyText"/>
        <w:spacing w:line="249" w:lineRule="auto" w:before="179"/>
        <w:ind w:right="57"/>
      </w:pPr>
      <w:r>
        <w:rPr/>
        <w:t>This course prepares participants to perform advanced assessment </w:t>
      </w:r>
      <w:r>
        <w:rPr>
          <w:spacing w:val="-3"/>
        </w:rPr>
        <w:t>of </w:t>
      </w:r>
      <w:r>
        <w:rPr/>
        <w:t>patients </w:t>
      </w:r>
      <w:r>
        <w:rPr>
          <w:spacing w:val="-3"/>
        </w:rPr>
        <w:t>with </w:t>
      </w:r>
      <w:r>
        <w:rPr/>
        <w:t>complex non-pain symptoms, to develop advanced skills to identify pathogenesis </w:t>
      </w:r>
      <w:r>
        <w:rPr>
          <w:spacing w:val="-3"/>
        </w:rPr>
        <w:t>of </w:t>
      </w:r>
      <w:r>
        <w:rPr/>
        <w:t>the complaint, and to </w:t>
      </w:r>
      <w:r>
        <w:rPr>
          <w:spacing w:val="-3"/>
        </w:rPr>
        <w:t>develop </w:t>
      </w:r>
      <w:r>
        <w:rPr/>
        <w:t>advanced non-pharmacologic and pharmacologic management </w:t>
      </w:r>
      <w:r>
        <w:rPr>
          <w:spacing w:val="-3"/>
        </w:rPr>
        <w:t>of </w:t>
      </w:r>
      <w:r>
        <w:rPr/>
        <w:t>symptoms. Participants will </w:t>
      </w:r>
      <w:r>
        <w:rPr>
          <w:spacing w:val="-3"/>
        </w:rPr>
        <w:t>develop </w:t>
      </w:r>
      <w:r>
        <w:rPr/>
        <w:t>advanced skills in managing these symptoms through the interdisciplinary</w:t>
      </w:r>
      <w:r>
        <w:rPr>
          <w:spacing w:val="-12"/>
        </w:rPr>
        <w:t> </w:t>
      </w:r>
      <w:r>
        <w:rPr/>
        <w:t>team.</w:t>
      </w:r>
    </w:p>
    <w:p>
      <w:pPr>
        <w:pStyle w:val="Heading6"/>
        <w:spacing w:line="249" w:lineRule="auto" w:before="126"/>
        <w:ind w:right="959"/>
      </w:pPr>
      <w:r>
        <w:rPr/>
        <w:t>PALC 612 - ADVANCED DISEASE STATE MANAGEMENT (3)</w:t>
      </w:r>
    </w:p>
    <w:p>
      <w:pPr>
        <w:pStyle w:val="BodyText"/>
        <w:spacing w:line="249" w:lineRule="auto" w:before="184"/>
        <w:ind w:right="122"/>
      </w:pPr>
      <w:r>
        <w:rPr/>
        <w:t>Using a disease-based approach, participants perform advanced assessment of common advanced illness disease states (e.g., COPD, cancer, neurodegenerative disorders, heart disease, etc.), sophisticated identification of pathogenesis and disease progression, selection of</w:t>
      </w:r>
    </w:p>
    <w:p>
      <w:pPr>
        <w:pStyle w:val="BodyText"/>
        <w:spacing w:line="249" w:lineRule="auto" w:before="96"/>
        <w:ind w:right="1333" w:hanging="1"/>
      </w:pPr>
      <w:r>
        <w:rPr/>
        <w:br w:type="column"/>
      </w:r>
      <w:r>
        <w:rPr/>
        <w:t>beneficial evidence-based treatments, and skills to discontinue medically futile treatments as disease progresses. Prerequisite: PALC</w:t>
      </w:r>
      <w:r>
        <w:rPr>
          <w:spacing w:val="4"/>
        </w:rPr>
        <w:t> </w:t>
      </w:r>
      <w:r>
        <w:rPr/>
        <w:t>605</w:t>
      </w:r>
    </w:p>
    <w:p>
      <w:pPr>
        <w:pStyle w:val="Heading6"/>
        <w:spacing w:line="249" w:lineRule="auto" w:before="122"/>
        <w:ind w:right="697"/>
      </w:pPr>
      <w:r>
        <w:rPr/>
        <w:t>PALC 613 - ADVANCED DECISION-MAKING </w:t>
      </w:r>
      <w:r>
        <w:rPr>
          <w:spacing w:val="-2"/>
        </w:rPr>
        <w:t>AND </w:t>
      </w:r>
      <w:r>
        <w:rPr/>
        <w:t>COMMUNICATION SKILLS</w:t>
      </w:r>
      <w:r>
        <w:rPr>
          <w:spacing w:val="-4"/>
        </w:rPr>
        <w:t> </w:t>
      </w:r>
      <w:r>
        <w:rPr/>
        <w:t>(3)</w:t>
      </w:r>
    </w:p>
    <w:p>
      <w:pPr>
        <w:pStyle w:val="BodyText"/>
        <w:spacing w:line="249" w:lineRule="auto" w:before="179"/>
        <w:ind w:right="637"/>
      </w:pPr>
      <w:r>
        <w:rPr/>
        <w:t>This course provides participants with advanced skills and information necessary to elicit patient and/or family values and to delineate goals of care regarding pain and symptom management, advanced life-sustaining therapies, and advanced communication techniques for delivering bad news, establishing goals of care, suspending therapies, and death notification.</w:t>
      </w:r>
    </w:p>
    <w:p>
      <w:pPr>
        <w:pStyle w:val="Heading6"/>
        <w:spacing w:line="249" w:lineRule="auto" w:before="126"/>
        <w:ind w:right="1169"/>
      </w:pPr>
      <w:r>
        <w:rPr/>
        <w:t>PALC 614 - ADVANCED SPIRITUALITY AND PSYCHOSOCIAL SKILLS (3)</w:t>
      </w:r>
    </w:p>
    <w:p>
      <w:pPr>
        <w:pStyle w:val="BodyText"/>
        <w:spacing w:line="249" w:lineRule="auto" w:before="183"/>
        <w:ind w:right="647"/>
      </w:pPr>
      <w:r>
        <w:rPr/>
        <w:t>Participants develop advanced skills in assessing patients and families to determine psychosocial needs, spiritual and cultural concerns, and in addressing patient and family suffering, coping and healing within the emotional, psychological and social domains with focused developmentally-appropriate assessment followed by targeted communication, interventions and referrals.</w:t>
      </w:r>
    </w:p>
    <w:p>
      <w:pPr>
        <w:pStyle w:val="BodyText"/>
        <w:spacing w:before="5"/>
      </w:pPr>
      <w:r>
        <w:rPr/>
        <w:t>Prerequisite: PALC 604</w:t>
      </w:r>
    </w:p>
    <w:p>
      <w:pPr>
        <w:pStyle w:val="Heading6"/>
        <w:spacing w:line="249" w:lineRule="auto" w:before="131"/>
        <w:ind w:right="1047"/>
      </w:pPr>
      <w:r>
        <w:rPr/>
        <w:t>PALC 615 - ADVANCED PAIN MANAGEMENT AND OPIOID DOSING (3)</w:t>
      </w:r>
    </w:p>
    <w:p>
      <w:pPr>
        <w:pStyle w:val="BodyText"/>
        <w:spacing w:line="249" w:lineRule="auto" w:before="179"/>
        <w:ind w:right="780"/>
      </w:pPr>
      <w:r>
        <w:rPr/>
        <w:t>In this course, participants learn to perform an advanced assessment of a pain complaint (history, physical exam, diagnostics/imaging as necessary) and demonstrate advanced and in-depth knowledge of the pathogenesis of pain. Participants also acquire in-depth knowledge of evidence-based non-pharmacologic management of pain, and evidence-based advanced pharmacology (including drug therapy selection, dosing, monitoring, and titration), designed to meet patient-centric therapeutic goals.</w:t>
      </w:r>
    </w:p>
    <w:p>
      <w:pPr>
        <w:pStyle w:val="Heading6"/>
        <w:spacing w:line="249" w:lineRule="auto" w:before="126"/>
        <w:ind w:right="1029"/>
      </w:pPr>
      <w:r>
        <w:rPr/>
        <w:t>PALC 616 - RESEARCH AND OUTCOMES ASSESSMENT IN HOSPICE AND PALLIATIVE CARE (3)</w:t>
      </w:r>
    </w:p>
    <w:p>
      <w:pPr>
        <w:pStyle w:val="BodyText"/>
        <w:spacing w:line="249" w:lineRule="auto"/>
        <w:ind w:right="721"/>
      </w:pPr>
      <w:r>
        <w:rPr/>
        <w:t>In this introductory course, participants learn about the development and review of study protocols and institutional review board (IRB) applications in palliative care research. Participants also learn how to develop and assess research questions, hypotheses, study design options, data collection procedures, data management and human subjects protections, and presentation of study results. At the end of the course, participants will be expected to write a research study protocol acceptable for submission to an IRB.</w:t>
      </w:r>
    </w:p>
    <w:p>
      <w:pPr>
        <w:spacing w:after="0" w:line="249" w:lineRule="auto"/>
        <w:sectPr>
          <w:pgSz w:w="12240" w:h="15840"/>
          <w:pgMar w:header="746" w:footer="0" w:top="1320" w:bottom="280" w:left="880" w:right="300"/>
          <w:cols w:num="2" w:equalWidth="0">
            <w:col w:w="4997" w:space="490"/>
            <w:col w:w="5573"/>
          </w:cols>
        </w:sectPr>
      </w:pPr>
    </w:p>
    <w:p>
      <w:pPr>
        <w:pStyle w:val="Heading6"/>
        <w:spacing w:before="100"/>
      </w:pPr>
      <w:r>
        <w:rPr/>
        <w:t>PALC 617 -</w:t>
      </w:r>
    </w:p>
    <w:p>
      <w:pPr>
        <w:pStyle w:val="Heading2"/>
        <w:spacing w:before="195"/>
      </w:pPr>
      <w:bookmarkStart w:name="PATH" w:id="135"/>
      <w:bookmarkEnd w:id="135"/>
      <w:r>
        <w:rPr/>
      </w:r>
      <w:bookmarkStart w:name="_bookmark67" w:id="136"/>
      <w:bookmarkEnd w:id="136"/>
      <w:r>
        <w:rPr/>
      </w:r>
      <w:r>
        <w:rPr/>
        <w:t>PATH</w:t>
      </w:r>
    </w:p>
    <w:p>
      <w:pPr>
        <w:pStyle w:val="Heading6"/>
        <w:spacing w:before="128"/>
      </w:pPr>
      <w:r>
        <w:rPr/>
        <w:t>PATH 602 - SYSTEMIC PATHOLOGY (3)</w:t>
      </w:r>
    </w:p>
    <w:p>
      <w:pPr>
        <w:pStyle w:val="BodyText"/>
        <w:spacing w:line="249" w:lineRule="auto" w:before="188"/>
        <w:ind w:right="151"/>
      </w:pPr>
      <w:r>
        <w:rPr/>
        <w:t>This course covers in-depth, the disease entities and disease processes of the following organ systems: blood vessels, the heart, the lungs, head and neck, the gastrointestinal tract, the liver and biliary tract, the pancreas, the kidneys, the lower urinary tract and male genital system, the female genital tract, the breast, the endocrine system, the skin, bones, joints and soft tissue, the peripheral nerves and skeletal muscles, the central nervous system, and the eye. Neonatal, forensic, and environmental pathology topics are also presented as they relate to the various organ systems. Instruction is by lecture, laboratory, and computer. The course is offered Spring semesters only.</w:t>
      </w:r>
    </w:p>
    <w:p>
      <w:pPr>
        <w:pStyle w:val="Heading6"/>
        <w:spacing w:before="129"/>
      </w:pPr>
      <w:r>
        <w:rPr/>
        <w:t>PATH 603 - GENERAL PATHOLOGY (3)</w:t>
      </w:r>
    </w:p>
    <w:p>
      <w:pPr>
        <w:pStyle w:val="BodyText"/>
        <w:spacing w:line="249" w:lineRule="auto" w:before="193"/>
        <w:ind w:left="199" w:right="94"/>
      </w:pPr>
      <w:r>
        <w:rPr/>
        <w:t>This course covers the major subdivisions </w:t>
      </w:r>
      <w:r>
        <w:rPr>
          <w:spacing w:val="-3"/>
        </w:rPr>
        <w:t>of </w:t>
      </w:r>
      <w:r>
        <w:rPr/>
        <w:t>general pathology: cellular adaptations, tissue inflammation and repair, neoplasia, environmental and nutritional </w:t>
      </w:r>
      <w:r>
        <w:rPr>
          <w:spacing w:val="-3"/>
        </w:rPr>
        <w:t>pathology, </w:t>
      </w:r>
      <w:r>
        <w:rPr/>
        <w:t>and diseases </w:t>
      </w:r>
      <w:r>
        <w:rPr>
          <w:spacing w:val="-3"/>
        </w:rPr>
        <w:t>of </w:t>
      </w:r>
      <w:r>
        <w:rPr/>
        <w:t>infancy and childhood. Laboratory sessions include a brief introduction to the following topics, as they relate to Anatomic </w:t>
      </w:r>
      <w:r>
        <w:rPr>
          <w:spacing w:val="-3"/>
        </w:rPr>
        <w:t>Pathology: </w:t>
      </w:r>
      <w:r>
        <w:rPr/>
        <w:t>accessioning, patient identification, protected health information, proper laboratory attire and personal protective equipment, common fixatives, and histologic tissue processing and staining. Instruction is by lecture, laboratory, and computer. The course is offered during Fall semesters </w:t>
      </w:r>
      <w:r>
        <w:rPr>
          <w:spacing w:val="-4"/>
        </w:rPr>
        <w:t>only.</w:t>
      </w:r>
    </w:p>
    <w:p>
      <w:pPr>
        <w:pStyle w:val="Heading6"/>
        <w:spacing w:before="129"/>
      </w:pPr>
      <w:r>
        <w:rPr/>
        <w:t>PATH 608 - AUTOPSY PATHOLOGY (3)</w:t>
      </w:r>
    </w:p>
    <w:p>
      <w:pPr>
        <w:pStyle w:val="BodyText"/>
        <w:spacing w:line="249" w:lineRule="auto" w:before="187"/>
        <w:ind w:left="199" w:right="38"/>
      </w:pPr>
      <w:r>
        <w:rPr/>
        <w:t>This course provides didactic and clinical practical autopsy procedure/performance experience during the second year of study of the Pathologists? Assistant Program. The student shall </w:t>
      </w:r>
      <w:r>
        <w:rPr>
          <w:spacing w:val="-3"/>
        </w:rPr>
        <w:t>become </w:t>
      </w:r>
      <w:r>
        <w:rPr/>
        <w:t>proficient in all phases </w:t>
      </w:r>
      <w:r>
        <w:rPr>
          <w:spacing w:val="-3"/>
        </w:rPr>
        <w:t>of </w:t>
      </w:r>
      <w:r>
        <w:rPr/>
        <w:t>the human post-mortem examination, adult and fetal/pediatric, including review of consent forms and death certifications, review </w:t>
      </w:r>
      <w:r>
        <w:rPr>
          <w:spacing w:val="-3"/>
        </w:rPr>
        <w:t>of </w:t>
      </w:r>
      <w:r>
        <w:rPr/>
        <w:t>medical records, decedent identification, evisceration, organ </w:t>
      </w:r>
      <w:r>
        <w:rPr>
          <w:spacing w:val="-3"/>
        </w:rPr>
        <w:t>block </w:t>
      </w:r>
      <w:r>
        <w:rPr/>
        <w:t>dissection, description </w:t>
      </w:r>
      <w:r>
        <w:rPr>
          <w:spacing w:val="-3"/>
        </w:rPr>
        <w:t>of </w:t>
      </w:r>
      <w:r>
        <w:rPr/>
        <w:t>findings, and preparation </w:t>
      </w:r>
      <w:r>
        <w:rPr>
          <w:spacing w:val="-3"/>
        </w:rPr>
        <w:t>of </w:t>
      </w:r>
      <w:r>
        <w:rPr/>
        <w:t>post-mortem reports. Students receive basic instruction in the function </w:t>
      </w:r>
      <w:r>
        <w:rPr>
          <w:spacing w:val="-3"/>
        </w:rPr>
        <w:t>of </w:t>
      </w:r>
      <w:r>
        <w:rPr/>
        <w:t>the autopsy service and the hospital morgue. Practical aspects </w:t>
      </w:r>
      <w:r>
        <w:rPr>
          <w:spacing w:val="-3"/>
        </w:rPr>
        <w:t>of </w:t>
      </w:r>
      <w:r>
        <w:rPr/>
        <w:t>specimen photography are also presented during the course. Students are exposed to basic concepts </w:t>
      </w:r>
      <w:r>
        <w:rPr>
          <w:spacing w:val="-3"/>
        </w:rPr>
        <w:t>of </w:t>
      </w:r>
      <w:r>
        <w:rPr/>
        <w:t>the medico-legal investigation </w:t>
      </w:r>
      <w:r>
        <w:rPr>
          <w:spacing w:val="-3"/>
        </w:rPr>
        <w:t>of </w:t>
      </w:r>
      <w:r>
        <w:rPr/>
        <w:t>death in a one-month rotation at Maryland?s Office of the Chief Medical Examiner, where the students receive hands-on instruction in forensic autopsies.</w:t>
      </w:r>
    </w:p>
    <w:p>
      <w:pPr>
        <w:pStyle w:val="Heading6"/>
        <w:spacing w:before="96"/>
      </w:pPr>
      <w:r>
        <w:rPr>
          <w:b w:val="0"/>
        </w:rPr>
        <w:br w:type="column"/>
      </w:r>
      <w:r>
        <w:rPr/>
        <w:t>PATH 609 - SURGICAL PATHOLOGY (3)</w:t>
      </w:r>
    </w:p>
    <w:p>
      <w:pPr>
        <w:pStyle w:val="BodyText"/>
        <w:spacing w:line="249" w:lineRule="auto" w:before="187"/>
        <w:ind w:right="663"/>
      </w:pPr>
      <w:r>
        <w:rPr/>
        <w:t>This course provides didactic and clinical practical experience during the second year </w:t>
      </w:r>
      <w:r>
        <w:rPr>
          <w:spacing w:val="-3"/>
        </w:rPr>
        <w:t>of </w:t>
      </w:r>
      <w:r>
        <w:rPr/>
        <w:t>study of </w:t>
      </w:r>
      <w:r>
        <w:rPr>
          <w:spacing w:val="3"/>
        </w:rPr>
        <w:t>the </w:t>
      </w:r>
      <w:r>
        <w:rPr/>
        <w:t>Pathologists? Assistant Program. The student shall become proficient in all phases </w:t>
      </w:r>
      <w:r>
        <w:rPr>
          <w:spacing w:val="-3"/>
        </w:rPr>
        <w:t>of </w:t>
      </w:r>
      <w:r>
        <w:rPr/>
        <w:t>anatomic pathology dissection </w:t>
      </w:r>
      <w:r>
        <w:rPr>
          <w:spacing w:val="-3"/>
        </w:rPr>
        <w:t>with </w:t>
      </w:r>
      <w:r>
        <w:rPr/>
        <w:t>respect to surgically excised specimens, including specimen identification, tissue triaging </w:t>
      </w:r>
      <w:r>
        <w:rPr>
          <w:spacing w:val="-5"/>
        </w:rPr>
        <w:t>for </w:t>
      </w:r>
      <w:r>
        <w:rPr/>
        <w:t>ancillary studies, review and interpretation </w:t>
      </w:r>
      <w:r>
        <w:rPr>
          <w:spacing w:val="-3"/>
        </w:rPr>
        <w:t>of </w:t>
      </w:r>
      <w:r>
        <w:rPr/>
        <w:t>clinical data, gross specimen description, sectioning, and sampling, intraoperative consults and frozen sections, specimen photography, and </w:t>
      </w:r>
      <w:r>
        <w:rPr>
          <w:spacing w:val="-2"/>
        </w:rPr>
        <w:t>cancer </w:t>
      </w:r>
      <w:r>
        <w:rPr/>
        <w:t>staging </w:t>
      </w:r>
      <w:r>
        <w:rPr>
          <w:spacing w:val="-3"/>
        </w:rPr>
        <w:t>by </w:t>
      </w:r>
      <w:r>
        <w:rPr/>
        <w:t>gross</w:t>
      </w:r>
      <w:r>
        <w:rPr>
          <w:spacing w:val="2"/>
        </w:rPr>
        <w:t> </w:t>
      </w:r>
      <w:r>
        <w:rPr/>
        <w:t>pathology.</w:t>
      </w:r>
    </w:p>
    <w:p>
      <w:pPr>
        <w:pStyle w:val="Heading6"/>
        <w:spacing w:line="249" w:lineRule="auto" w:before="128"/>
        <w:ind w:right="1447"/>
      </w:pPr>
      <w:r>
        <w:rPr/>
        <w:t>PATH 751 - CLINICAL PATHOLOGY AND MICROBIOLOGY (3)</w:t>
      </w:r>
    </w:p>
    <w:p>
      <w:pPr>
        <w:pStyle w:val="BodyText"/>
        <w:spacing w:line="249" w:lineRule="auto" w:before="184"/>
        <w:ind w:right="753"/>
      </w:pPr>
      <w:r>
        <w:rPr/>
        <w:t>This course provides the Pathologists? Assistant Program student with a working knowledge of clinical pathology, including hemodynamic disorders, thromboembolic disease, and shock, genetic disorders, diseases of the immune system, diseases of white blood cells, lymph nodes, spleen, and thymus, red blood cell and bleeding disorders, and infectious diseases/medical microbiology. Instruction is by lecture, laboratory and computer. The course is offered during Spring semesters only.</w:t>
      </w:r>
    </w:p>
    <w:p>
      <w:pPr>
        <w:pStyle w:val="Heading6"/>
        <w:spacing w:line="249" w:lineRule="auto" w:before="126"/>
        <w:ind w:right="647"/>
      </w:pPr>
      <w:r>
        <w:rPr/>
        <w:t>PATH 789 - SPECIAL TOPICS: PATHOLOGY (1 TO 3)</w:t>
      </w:r>
    </w:p>
    <w:p>
      <w:pPr>
        <w:pStyle w:val="BodyText"/>
        <w:spacing w:line="249" w:lineRule="auto" w:before="179"/>
        <w:ind w:right="671"/>
      </w:pPr>
      <w:r>
        <w:rPr/>
        <w:t>This special-topics course for Pathologists? Assistant Program students comprises two separate summer term courses; one at the beginning of the first year and one between the first and second years. In the first year special topics course, the students are given a primer in human anatomy, histology, and embryology, and follow a self- study based introduction to medical terminology.</w:t>
      </w:r>
    </w:p>
    <w:p>
      <w:pPr>
        <w:pStyle w:val="BodyText"/>
        <w:spacing w:line="249" w:lineRule="auto" w:before="5"/>
        <w:ind w:right="682"/>
      </w:pPr>
      <w:r>
        <w:rPr/>
        <w:t>Instruction is by lecture and computer. The special topics course between the first and second year provides an introduction to surgical pathology dissection, intraoperative consult and staining, autopsy procedure, medical photography, medical ethics, more in-depth medical terminology, molecular diagnostics, immunohistochemistry, histology, and additional general Anatomic Pathology topics, including laboratory safety and governing/regulating bodies. Instruction is by lecture, computer, and observation and limited practical applications in surgical pathology, histology, and hospital and forensic autopsy pathology. The courses are offered during Summer semesters only.</w:t>
      </w:r>
    </w:p>
    <w:p>
      <w:pPr>
        <w:spacing w:after="0" w:line="249" w:lineRule="auto"/>
        <w:sectPr>
          <w:pgSz w:w="12240" w:h="15840"/>
          <w:pgMar w:header="746" w:footer="0" w:top="1320" w:bottom="280" w:left="880" w:right="300"/>
          <w:cols w:num="2" w:equalWidth="0">
            <w:col w:w="4998" w:space="489"/>
            <w:col w:w="5573"/>
          </w:cols>
        </w:sectPr>
      </w:pPr>
    </w:p>
    <w:p>
      <w:pPr>
        <w:pStyle w:val="Heading2"/>
        <w:spacing w:before="84"/>
      </w:pPr>
      <w:bookmarkStart w:name="PHAR" w:id="137"/>
      <w:bookmarkEnd w:id="137"/>
      <w:r>
        <w:rPr/>
      </w:r>
      <w:bookmarkStart w:name="_bookmark68" w:id="138"/>
      <w:bookmarkEnd w:id="138"/>
      <w:r>
        <w:rPr/>
      </w:r>
      <w:r>
        <w:rPr/>
        <w:t>PHAR</w:t>
      </w:r>
    </w:p>
    <w:p>
      <w:pPr>
        <w:pStyle w:val="Heading6"/>
        <w:spacing w:line="249" w:lineRule="auto" w:before="128"/>
        <w:ind w:right="271"/>
      </w:pPr>
      <w:r>
        <w:rPr/>
        <w:t>PHAR 600 - PRINCIPLES OF DRUG DISCOVERY (3)</w:t>
      </w:r>
    </w:p>
    <w:p>
      <w:pPr>
        <w:pStyle w:val="BodyText"/>
        <w:spacing w:line="249" w:lineRule="auto" w:before="179"/>
        <w:ind w:left="199" w:right="186"/>
      </w:pPr>
      <w:r>
        <w:rPr/>
        <w:t>This interdisciplinary modular based course describes the inter-relationship among the disciplines of the pharmaceutical sciences, and establishes the basic theoretical background essential to the drug design and development process. A progression of pharmaceutical sciences content is presented and considers the drug discovery process, beginning with traditional drug design and optimization of drug structure, continuing with principles of pharmacology, including macromolecular structure, genomics, and proteomics, followed by modern drug discovery methods based on knowledge of the structure and pharmacology of target molecules.</w:t>
      </w:r>
    </w:p>
    <w:p>
      <w:pPr>
        <w:pStyle w:val="Heading6"/>
        <w:spacing w:line="249" w:lineRule="auto" w:before="129"/>
        <w:ind w:right="1521"/>
      </w:pPr>
      <w:r>
        <w:rPr/>
        <w:t>PHAR 601 - PRINCIPLES OF DRUG DEVELOPMENT (1 TO 3)</w:t>
      </w:r>
    </w:p>
    <w:p>
      <w:pPr>
        <w:pStyle w:val="BodyText"/>
        <w:spacing w:line="249" w:lineRule="auto" w:before="184"/>
        <w:ind w:right="58"/>
      </w:pPr>
      <w:r>
        <w:rPr/>
        <w:t>This interdisciplinary, modular based course describes the inter-relationships among the disciplines of pharmaceutical sciences, and establishes basic theoretical background essential for the drug design and development process.</w:t>
      </w:r>
    </w:p>
    <w:p>
      <w:pPr>
        <w:pStyle w:val="BodyText"/>
        <w:spacing w:line="249" w:lineRule="auto" w:before="2"/>
        <w:ind w:right="190"/>
      </w:pPr>
      <w:r>
        <w:rPr/>
        <w:t>Built upon subject matter presented in PHAR 600 Principles of Drug Discovery, the course covers the areas of pharmaceutics, biopharmaceutics, pharmacokinetics, and drug metabolism. Integrative competency is developed and demonstrated in the final module.</w:t>
      </w:r>
    </w:p>
    <w:p>
      <w:pPr>
        <w:pStyle w:val="Heading6"/>
        <w:spacing w:before="124"/>
      </w:pPr>
      <w:r>
        <w:rPr/>
        <w:t>PHAR 602 - APPLIED PHARMACOKINETICS (3)</w:t>
      </w:r>
    </w:p>
    <w:p>
      <w:pPr>
        <w:pStyle w:val="BodyText"/>
        <w:spacing w:line="249" w:lineRule="auto" w:before="188"/>
        <w:ind w:right="24"/>
      </w:pPr>
      <w:r>
        <w:rPr/>
        <w:t>This course focuses on drug absorption, distribution, metabolism, and excretion coupled with dosage and the parameters of clearance, volume of distribution, and bioavailability. These processes determine the concentration of drug at the site of action in the body. The course covers the quantitative relationship between dose and effect as a framework to interpret measurement of drug concentrations in biological fluids, and pharmacokinetic principles using mathematical processes and descriptive parameters that describe the time course of drugs in the systemic circulation and the relationship of drug concentrations to observed effect.</w:t>
      </w:r>
    </w:p>
    <w:p>
      <w:pPr>
        <w:pStyle w:val="Heading6"/>
        <w:spacing w:line="249" w:lineRule="auto" w:before="129"/>
        <w:ind w:right="277"/>
      </w:pPr>
      <w:r>
        <w:rPr/>
        <w:t>PHAR 608 - INTRODUCTION TO LABORATORY RESEARCH (1 TO 2)</w:t>
      </w:r>
    </w:p>
    <w:p>
      <w:pPr>
        <w:pStyle w:val="BodyText"/>
        <w:spacing w:line="249" w:lineRule="auto" w:before="184"/>
        <w:ind w:right="305"/>
      </w:pPr>
      <w:r>
        <w:rPr/>
        <w:t>This course provides the student with the opportunity to perform mini-research projects in faculty research laboratories.</w:t>
      </w:r>
    </w:p>
    <w:p>
      <w:pPr>
        <w:pStyle w:val="Heading6"/>
        <w:spacing w:line="249" w:lineRule="auto" w:before="96"/>
        <w:ind w:right="719"/>
      </w:pPr>
      <w:r>
        <w:rPr>
          <w:b w:val="0"/>
        </w:rPr>
        <w:br w:type="column"/>
      </w:r>
      <w:r>
        <w:rPr/>
        <w:t>PHAR 610 - PHARMACEUTICAL FORMULATION AND UNIT PROCESSES (2 OR 4)</w:t>
      </w:r>
    </w:p>
    <w:p>
      <w:pPr>
        <w:pStyle w:val="BodyText"/>
        <w:spacing w:line="249" w:lineRule="auto" w:before="179"/>
        <w:ind w:right="628"/>
      </w:pPr>
      <w:r>
        <w:rPr/>
        <w:t>This course addresses the rational design and formulation of dosage forms, and the processes and equipment in their large scale manufacture. Consideration is on how the interplay of formulation and process variables affects both the manufacturability of the dosage form and its performance as a drug delivery system.</w:t>
      </w:r>
    </w:p>
    <w:p>
      <w:pPr>
        <w:pStyle w:val="Heading6"/>
        <w:spacing w:line="249" w:lineRule="auto" w:before="125"/>
        <w:ind w:right="790"/>
      </w:pPr>
      <w:r>
        <w:rPr/>
        <w:t>PHAR 615 - PSC ETHICS AND BIOSTATISTICS (1 TO 2)</w:t>
      </w:r>
    </w:p>
    <w:p>
      <w:pPr>
        <w:pStyle w:val="BodyText"/>
        <w:spacing w:line="249" w:lineRule="auto" w:before="184"/>
        <w:ind w:right="643"/>
      </w:pPr>
      <w:r>
        <w:rPr/>
        <w:t>Recent decades have seen examples of challenges to ethics in scientific research. With the goal of providing complete and contemporary training in research, this course exposes students to acceptable and unacceptable ethical behaviors. To help students understand the issues and to aid in discussions, this course is heavily case-based. Students gain training in appropriate experimental design, and in ways of conducting experiments and analyzing data.</w:t>
      </w:r>
    </w:p>
    <w:p>
      <w:pPr>
        <w:pStyle w:val="BodyText"/>
        <w:spacing w:line="249" w:lineRule="auto" w:before="6"/>
        <w:ind w:right="628"/>
      </w:pPr>
      <w:r>
        <w:rPr/>
        <w:t>Students also learn to identify ethical issues in a practical sense by critical review of manuscripts. This course is offered to graduate students (MS and PhD) and to Pharmacy (PharmD) students. Knowledge gained in the course is considered an integral component of students' research training in pharmaceutical sciences.</w:t>
      </w:r>
    </w:p>
    <w:p>
      <w:pPr>
        <w:pStyle w:val="Heading6"/>
        <w:spacing w:line="249" w:lineRule="auto" w:before="124"/>
        <w:ind w:right="1319"/>
      </w:pPr>
      <w:r>
        <w:rPr/>
        <w:t>PHAR 620 - MODERN METHODS OF DRUG DELIVERY (2)</w:t>
      </w:r>
    </w:p>
    <w:p>
      <w:pPr>
        <w:pStyle w:val="BodyText"/>
        <w:spacing w:line="249" w:lineRule="auto" w:before="179"/>
        <w:ind w:right="626"/>
      </w:pPr>
      <w:r>
        <w:rPr/>
        <w:t>This course focuses on the rationale for existing and future drug delivery systems. Students explore underlying physical, chemical, and biological bases for each system and identify benefits and drawbacks. Examples of delivery systems include inhalation aerosols, transdermal patches, microspheres, implants, and tablets. Emphasis is on the biopharmaceutics, and transport properties and barriers associated with each method of delivery. The course also stresses written and oral presentation skills through student presentations and paper critique sessions.</w:t>
      </w:r>
    </w:p>
    <w:p>
      <w:pPr>
        <w:pStyle w:val="Heading6"/>
        <w:spacing w:before="128"/>
      </w:pPr>
      <w:r>
        <w:rPr/>
        <w:t>PHAR 621 - MOLECULAR BIOPHYSICS (1 TO 3)</w:t>
      </w:r>
    </w:p>
    <w:p>
      <w:pPr>
        <w:pStyle w:val="BodyText"/>
        <w:spacing w:line="249" w:lineRule="auto" w:before="192"/>
        <w:ind w:right="662"/>
      </w:pPr>
      <w:r>
        <w:rPr/>
        <w:t>This course focuses </w:t>
      </w:r>
      <w:r>
        <w:rPr>
          <w:spacing w:val="-3"/>
        </w:rPr>
        <w:t>on </w:t>
      </w:r>
      <w:r>
        <w:rPr/>
        <w:t>physical aspects </w:t>
      </w:r>
      <w:r>
        <w:rPr>
          <w:spacing w:val="-3"/>
        </w:rPr>
        <w:t>of </w:t>
      </w:r>
      <w:r>
        <w:rPr/>
        <w:t>the structure and </w:t>
      </w:r>
      <w:r>
        <w:rPr>
          <w:spacing w:val="-3"/>
        </w:rPr>
        <w:t>function </w:t>
      </w:r>
      <w:r>
        <w:rPr/>
        <w:t>paradigm </w:t>
      </w:r>
      <w:r>
        <w:rPr>
          <w:spacing w:val="-3"/>
        </w:rPr>
        <w:t>of </w:t>
      </w:r>
      <w:r>
        <w:rPr/>
        <w:t>biological and pharmaceutical molecules. Designed </w:t>
      </w:r>
      <w:r>
        <w:rPr>
          <w:spacing w:val="-4"/>
        </w:rPr>
        <w:t>for </w:t>
      </w:r>
      <w:r>
        <w:rPr>
          <w:spacing w:val="-3"/>
        </w:rPr>
        <w:t>both </w:t>
      </w:r>
      <w:r>
        <w:rPr/>
        <w:t>experimentally and theoretically/computationally oriented graduate students</w:t>
      </w:r>
      <w:r>
        <w:rPr>
          <w:spacing w:val="-28"/>
        </w:rPr>
        <w:t> </w:t>
      </w:r>
      <w:r>
        <w:rPr/>
        <w:t>in pharmaceutical, chemical, biochemical, and medical sciences, this course offers students exposure to basic theories and computational methods </w:t>
      </w:r>
      <w:r>
        <w:rPr>
          <w:spacing w:val="-4"/>
        </w:rPr>
        <w:t>for </w:t>
      </w:r>
      <w:r>
        <w:rPr/>
        <w:t>studying the mechanisms </w:t>
      </w:r>
      <w:r>
        <w:rPr>
          <w:spacing w:val="-3"/>
        </w:rPr>
        <w:t>of </w:t>
      </w:r>
      <w:r>
        <w:rPr/>
        <w:t>biological systems at an atomic </w:t>
      </w:r>
      <w:r>
        <w:rPr>
          <w:spacing w:val="-3"/>
        </w:rPr>
        <w:t>level </w:t>
      </w:r>
      <w:r>
        <w:rPr/>
        <w:t>of detail.</w:t>
      </w:r>
    </w:p>
    <w:p>
      <w:pPr>
        <w:spacing w:after="0" w:line="249" w:lineRule="auto"/>
        <w:sectPr>
          <w:pgSz w:w="12240" w:h="15840"/>
          <w:pgMar w:header="746" w:footer="0" w:top="1320" w:bottom="280" w:left="880" w:right="300"/>
          <w:cols w:num="2" w:equalWidth="0">
            <w:col w:w="5003" w:space="484"/>
            <w:col w:w="5573"/>
          </w:cols>
        </w:sectPr>
      </w:pPr>
    </w:p>
    <w:p>
      <w:pPr>
        <w:pStyle w:val="Heading6"/>
        <w:spacing w:line="249" w:lineRule="auto" w:before="100"/>
        <w:ind w:right="181"/>
      </w:pPr>
      <w:r>
        <w:rPr/>
        <w:t>PHAR 622 - ADVANCED PHARMACOGENOMICS (1)</w:t>
      </w:r>
    </w:p>
    <w:p>
      <w:pPr>
        <w:pStyle w:val="BodyText"/>
        <w:spacing w:line="249" w:lineRule="auto" w:before="179"/>
        <w:ind w:right="55"/>
      </w:pPr>
      <w:r>
        <w:rPr/>
        <w:t>Interindividual variability in drug effects and the lack of reliable prediction of this variability have been recognized as major barriers to safe and efficient therapeutics. Genetic makeup is one of the intricate factors that has substantial influence on drug efficacy or toxicity. Pharmacogenomics deals with heredity and effects on drug response. It combines traditional pharmaceutical sciences with contemporary knowledge of genes, proteins, and SNPs.</w:t>
      </w:r>
    </w:p>
    <w:p>
      <w:pPr>
        <w:pStyle w:val="BodyText"/>
        <w:spacing w:line="249" w:lineRule="auto" w:before="6"/>
        <w:ind w:right="310"/>
      </w:pPr>
      <w:r>
        <w:rPr/>
        <w:t>The objective of this course is to enable the student to understand basic pharmacogenomic principles and their potential use for developing better and safer drugs.</w:t>
      </w:r>
    </w:p>
    <w:p>
      <w:pPr>
        <w:pStyle w:val="Heading6"/>
        <w:spacing w:line="249" w:lineRule="auto" w:before="122"/>
        <w:ind w:right="781"/>
      </w:pPr>
      <w:r>
        <w:rPr/>
        <w:t>PHAR 628 - BIOANALYTICAL AND PHARMACOLOGICAL METHODS (1 TO 3)</w:t>
      </w:r>
    </w:p>
    <w:p>
      <w:pPr>
        <w:pStyle w:val="BodyText"/>
        <w:spacing w:line="249" w:lineRule="auto" w:before="184"/>
      </w:pPr>
      <w:r>
        <w:rPr/>
        <w:t>This course describes current techniques and strategies for isolating, detecting, and analyzing experimental data.</w:t>
      </w:r>
    </w:p>
    <w:p>
      <w:pPr>
        <w:pStyle w:val="BodyText"/>
        <w:spacing w:line="249" w:lineRule="auto" w:before="1"/>
        <w:ind w:right="271"/>
      </w:pPr>
      <w:r>
        <w:rPr/>
        <w:t>Topics range from methods relevant to small molecules, tissues, and cells to methods relevant to whole animals.</w:t>
      </w:r>
    </w:p>
    <w:p>
      <w:pPr>
        <w:pStyle w:val="Heading6"/>
        <w:spacing w:line="249" w:lineRule="auto" w:before="122"/>
        <w:ind w:right="558"/>
      </w:pPr>
      <w:r>
        <w:rPr/>
        <w:t>PHAR 638 - PHARMACOMETRIC DECISION- MAKING (3)</w:t>
      </w:r>
    </w:p>
    <w:p>
      <w:pPr>
        <w:pStyle w:val="BodyText"/>
        <w:spacing w:line="249" w:lineRule="auto" w:before="179"/>
        <w:ind w:right="66"/>
      </w:pPr>
      <w:r>
        <w:rPr/>
        <w:t>This course covers the theoretical and practical application of statistics and experimental design to help students use tools in research problems. The class discusses and uses computer programs to analyze data representing actual experimental situations. Prerequisites: PHAR 602 or PHAR 663.</w:t>
      </w:r>
    </w:p>
    <w:p>
      <w:pPr>
        <w:pStyle w:val="Heading6"/>
        <w:spacing w:before="124"/>
        <w:ind w:left="199"/>
      </w:pPr>
      <w:r>
        <w:rPr/>
        <w:t>PHAR 639 - SPECTROMETRIC METHODS (1 TO 3)</w:t>
      </w:r>
    </w:p>
    <w:p>
      <w:pPr>
        <w:pStyle w:val="BodyText"/>
        <w:spacing w:line="249" w:lineRule="auto" w:before="193"/>
        <w:ind w:left="199" w:right="38"/>
      </w:pPr>
      <w:r>
        <w:rPr/>
        <w:t>This course introduces students to spectrometric techniques </w:t>
      </w:r>
      <w:r>
        <w:rPr>
          <w:spacing w:val="-4"/>
        </w:rPr>
        <w:t>for </w:t>
      </w:r>
      <w:r>
        <w:rPr/>
        <w:t>the elucidation </w:t>
      </w:r>
      <w:r>
        <w:rPr>
          <w:spacing w:val="-3"/>
        </w:rPr>
        <w:t>of </w:t>
      </w:r>
      <w:r>
        <w:rPr/>
        <w:t>molecular structure and to the analysis of pharmaceutically important materials. The methodologies covered include ultraviolet-visible,</w:t>
      </w:r>
      <w:r>
        <w:rPr>
          <w:spacing w:val="-28"/>
        </w:rPr>
        <w:t> </w:t>
      </w:r>
      <w:r>
        <w:rPr/>
        <w:t>infrared, nuclear magnetic resonance, and mass and fluorescence spectrometry. The class includes discussions </w:t>
      </w:r>
      <w:r>
        <w:rPr>
          <w:spacing w:val="-3"/>
        </w:rPr>
        <w:t>of </w:t>
      </w:r>
      <w:r>
        <w:rPr/>
        <w:t>physical principles, instrumentation involved, exercises in the interpretation </w:t>
      </w:r>
      <w:r>
        <w:rPr>
          <w:spacing w:val="-3"/>
        </w:rPr>
        <w:t>of </w:t>
      </w:r>
      <w:r>
        <w:rPr/>
        <w:t>spectrometric data, and examples </w:t>
      </w:r>
      <w:r>
        <w:rPr>
          <w:spacing w:val="-3"/>
        </w:rPr>
        <w:t>of </w:t>
      </w:r>
      <w:r>
        <w:rPr/>
        <w:t>application.</w:t>
      </w:r>
    </w:p>
    <w:p>
      <w:pPr>
        <w:pStyle w:val="Heading6"/>
        <w:spacing w:line="249" w:lineRule="auto" w:before="126"/>
        <w:ind w:left="199" w:right="1420"/>
      </w:pPr>
      <w:r>
        <w:rPr/>
        <w:t>PHAR 651 - RECENT ADVANCES IN PHARMACOLOGY (1)</w:t>
      </w:r>
    </w:p>
    <w:p>
      <w:pPr>
        <w:pStyle w:val="BodyText"/>
        <w:spacing w:line="249" w:lineRule="auto" w:before="180"/>
        <w:ind w:left="199" w:right="60"/>
      </w:pPr>
      <w:r>
        <w:rPr/>
        <w:t>This course provides students with an understanding of the recent progress in basic and clinical pharmacology research, from new concepts in pharmacology to the new techniques and trends in pharmacology.</w:t>
      </w:r>
    </w:p>
    <w:p>
      <w:pPr>
        <w:pStyle w:val="Heading6"/>
        <w:spacing w:before="123"/>
      </w:pPr>
      <w:r>
        <w:rPr/>
        <w:t>PHAR 653 - ADVANCED PHARMACOLOGY I (4)</w:t>
      </w:r>
    </w:p>
    <w:p>
      <w:pPr>
        <w:pStyle w:val="BodyText"/>
        <w:spacing w:line="249" w:lineRule="auto" w:before="192"/>
        <w:ind w:right="332"/>
      </w:pPr>
      <w:r>
        <w:rPr/>
        <w:t>Advanced Pharmacology I and II cover mechanisms by which pharmacological agents interact with the living</w:t>
      </w:r>
    </w:p>
    <w:p>
      <w:pPr>
        <w:pStyle w:val="BodyText"/>
        <w:spacing w:line="249" w:lineRule="auto" w:before="96"/>
        <w:ind w:right="659"/>
      </w:pPr>
      <w:r>
        <w:rPr/>
        <w:br w:type="column"/>
      </w:r>
      <w:r>
        <w:rPr/>
        <w:t>organism to provide the student with a rational basis for investigations in biomedical research. Topics include the pharmacodynamics and the biochemical and physiological effect of drugs on biological systems, including the central and peripheral nervous system, and the endocrine, renal, respiratory, and cardiovascular systems. Lectures supplement weekly conferences and discussion groups.</w:t>
      </w:r>
    </w:p>
    <w:p>
      <w:pPr>
        <w:pStyle w:val="Heading6"/>
        <w:spacing w:before="126"/>
      </w:pPr>
      <w:r>
        <w:rPr/>
        <w:t>PHAR 654 - ADVANCED PHARMACOLOGY II (4)</w:t>
      </w:r>
    </w:p>
    <w:p>
      <w:pPr>
        <w:pStyle w:val="BodyText"/>
        <w:spacing w:line="249" w:lineRule="auto" w:before="187"/>
        <w:ind w:right="659"/>
      </w:pPr>
      <w:r>
        <w:rPr/>
        <w:t>Advanced Pharmacology I and II cover mechanisms by which pharmacological agents interact with the living organism to provide the student with a rational basis for investigations in biomedical research. Topics include the pharmacodynamics and the biochemical and physiological effect of drugs on biological systems, including the central and peripheral nervous system, and the endocrine, renal, respiratory, and cardiovascular systems. Lectures supplement weekly conferences and discussion groups.</w:t>
      </w:r>
    </w:p>
    <w:p>
      <w:pPr>
        <w:pStyle w:val="Heading6"/>
        <w:spacing w:before="127"/>
      </w:pPr>
      <w:r>
        <w:rPr/>
        <w:t>PHAR 662 - CLINICAL PHARMACOKINETICS (2)</w:t>
      </w:r>
    </w:p>
    <w:p>
      <w:pPr>
        <w:pStyle w:val="BodyText"/>
        <w:spacing w:line="249" w:lineRule="auto" w:before="192"/>
        <w:ind w:right="604"/>
      </w:pPr>
      <w:r>
        <w:rPr/>
        <w:t>After successful completion of this course, students should be able to describe the principles of and most current approaches to therapeutic drug monitoring, describe the mechanism of and predict the effects metabolic drug interactions (induction vs. inhibition), give the rationale for dose adjustments in special populations including elderly, obese, liver and kidney disease patients, apply pharmacokinetic principles, in a scientific manner, to solve a clinical problem/question, and provide a succinct, well- written pharmacokinetics consult note.</w:t>
      </w:r>
    </w:p>
    <w:p>
      <w:pPr>
        <w:pStyle w:val="Heading6"/>
        <w:spacing w:line="249" w:lineRule="auto" w:before="128"/>
        <w:ind w:right="2619"/>
      </w:pPr>
      <w:r>
        <w:rPr/>
        <w:t>PHAR 663 - STATISTICS FOR PHARMACOMETRICS I (3)</w:t>
      </w:r>
    </w:p>
    <w:p>
      <w:pPr>
        <w:pStyle w:val="BodyText"/>
        <w:spacing w:line="249" w:lineRule="auto" w:before="179"/>
        <w:ind w:right="654"/>
      </w:pPr>
      <w:r>
        <w:rPr/>
        <w:t>The field of pharmacometrics requires good understanding of statistical concepts. This course provides the basic statistical principles required for a pharmacometrician.</w:t>
      </w:r>
    </w:p>
    <w:p>
      <w:pPr>
        <w:pStyle w:val="BodyText"/>
        <w:spacing w:line="249" w:lineRule="auto" w:before="2"/>
        <w:ind w:right="620"/>
      </w:pPr>
      <w:r>
        <w:rPr/>
        <w:t>This introductory level course also strengthens the student's understanding </w:t>
      </w:r>
      <w:r>
        <w:rPr>
          <w:spacing w:val="-3"/>
        </w:rPr>
        <w:t>of </w:t>
      </w:r>
      <w:r>
        <w:rPr/>
        <w:t>pharmacokinetic?pharmacodynamic modeling aspects. The course material is tailored </w:t>
      </w:r>
      <w:r>
        <w:rPr>
          <w:spacing w:val="-4"/>
        </w:rPr>
        <w:t>for </w:t>
      </w:r>
      <w:r>
        <w:rPr/>
        <w:t>pharmacometricians. Pre- Requisites: </w:t>
      </w:r>
      <w:r>
        <w:rPr>
          <w:spacing w:val="-3"/>
        </w:rPr>
        <w:t>PHMX</w:t>
      </w:r>
      <w:r>
        <w:rPr>
          <w:spacing w:val="5"/>
        </w:rPr>
        <w:t> </w:t>
      </w:r>
      <w:r>
        <w:rPr/>
        <w:t>601</w:t>
      </w:r>
    </w:p>
    <w:p>
      <w:pPr>
        <w:pStyle w:val="Heading6"/>
        <w:spacing w:before="124"/>
      </w:pPr>
      <w:r>
        <w:rPr/>
        <w:t>PHAR 665 - DOSE-RESPONSE TRIALS (3)</w:t>
      </w:r>
    </w:p>
    <w:p>
      <w:pPr>
        <w:pStyle w:val="BodyText"/>
        <w:spacing w:line="249" w:lineRule="auto" w:before="192"/>
        <w:ind w:right="623"/>
      </w:pPr>
      <w:r>
        <w:rPr/>
        <w:t>Knowledge of designing and analyzing dose-response is an important component </w:t>
      </w:r>
      <w:r>
        <w:rPr>
          <w:spacing w:val="-3"/>
        </w:rPr>
        <w:t>of </w:t>
      </w:r>
      <w:r>
        <w:rPr/>
        <w:t>a drug development </w:t>
      </w:r>
      <w:r>
        <w:rPr>
          <w:spacing w:val="-3"/>
        </w:rPr>
        <w:t>or </w:t>
      </w:r>
      <w:r>
        <w:rPr/>
        <w:t>regulatory review. Basics of the variety of dose-response designs </w:t>
      </w:r>
      <w:r>
        <w:rPr>
          <w:spacing w:val="-3"/>
        </w:rPr>
        <w:t>such </w:t>
      </w:r>
      <w:r>
        <w:rPr/>
        <w:t>as parallel, cross-over, flexible-dose, titration, withdrawal, adaptive and enrichment trials are explained. Students perform clinical trial simulations </w:t>
      </w:r>
      <w:r>
        <w:rPr>
          <w:spacing w:val="-4"/>
        </w:rPr>
        <w:t>for </w:t>
      </w:r>
      <w:r>
        <w:rPr/>
        <w:t>supporting the </w:t>
      </w:r>
      <w:r>
        <w:rPr>
          <w:spacing w:val="-2"/>
        </w:rPr>
        <w:t>choice </w:t>
      </w:r>
      <w:r>
        <w:rPr/>
        <w:t>of appropriate designs and </w:t>
      </w:r>
      <w:r>
        <w:rPr>
          <w:spacing w:val="-3"/>
        </w:rPr>
        <w:t>analyses. </w:t>
      </w:r>
      <w:r>
        <w:rPr/>
        <w:t>Innovative designs and data analysis make characterizing dose-response feasible within the realms </w:t>
      </w:r>
      <w:r>
        <w:rPr>
          <w:spacing w:val="-3"/>
        </w:rPr>
        <w:t>of </w:t>
      </w:r>
      <w:r>
        <w:rPr/>
        <w:t>drug development.</w:t>
      </w:r>
      <w:r>
        <w:rPr>
          <w:spacing w:val="-10"/>
        </w:rPr>
        <w:t> </w:t>
      </w:r>
      <w:r>
        <w:rPr/>
        <w:t>The</w:t>
      </w:r>
    </w:p>
    <w:p>
      <w:pPr>
        <w:spacing w:after="0" w:line="249" w:lineRule="auto"/>
        <w:sectPr>
          <w:pgSz w:w="12240" w:h="15840"/>
          <w:pgMar w:header="746" w:footer="0" w:top="1320" w:bottom="280" w:left="880" w:right="300"/>
          <w:cols w:num="2" w:equalWidth="0">
            <w:col w:w="4990" w:space="497"/>
            <w:col w:w="5573"/>
          </w:cols>
        </w:sectPr>
      </w:pPr>
    </w:p>
    <w:p>
      <w:pPr>
        <w:pStyle w:val="BodyText"/>
        <w:spacing w:line="249" w:lineRule="auto" w:before="100"/>
        <w:ind w:right="69"/>
      </w:pPr>
      <w:r>
        <w:rPr/>
        <w:t>information generated from such trials is key for both approval of new drugs as well as for drug product labeling. Pre-Requisites: PHMX 601</w:t>
      </w:r>
    </w:p>
    <w:p>
      <w:pPr>
        <w:pStyle w:val="Heading6"/>
        <w:spacing w:line="249" w:lineRule="auto" w:before="122"/>
        <w:ind w:left="199" w:right="1260"/>
      </w:pPr>
      <w:r>
        <w:rPr/>
        <w:t>PHAR 666 - COMMUNICATIONS AND NEGOTIATIONS (2)</w:t>
      </w:r>
    </w:p>
    <w:p>
      <w:pPr>
        <w:pStyle w:val="BodyText"/>
        <w:spacing w:line="249" w:lineRule="auto" w:before="179"/>
        <w:ind w:left="199" w:right="34"/>
      </w:pPr>
      <w:r>
        <w:rPr/>
        <w:t>This course improves students' abilities to communicate and negotiate strategically. Students identify their communication styles and learn how to compensate for any weaknesses. Scientists in life sciences work with interdisciplinary scientists with diverse backgrounds.</w:t>
      </w:r>
    </w:p>
    <w:p>
      <w:pPr>
        <w:pStyle w:val="BodyText"/>
        <w:spacing w:line="249" w:lineRule="auto" w:before="4"/>
        <w:ind w:left="199" w:right="46"/>
      </w:pPr>
      <w:r>
        <w:rPr/>
        <w:t>Pharmacometrics has not reached its full potential </w:t>
      </w:r>
      <w:r>
        <w:rPr>
          <w:spacing w:val="-3"/>
        </w:rPr>
        <w:t>yet </w:t>
      </w:r>
      <w:r>
        <w:rPr/>
        <w:t>and is breaking new ground. </w:t>
      </w:r>
      <w:r>
        <w:rPr>
          <w:spacing w:val="-3"/>
        </w:rPr>
        <w:t>In </w:t>
      </w:r>
      <w:r>
        <w:rPr/>
        <w:t>order to influence key decisions during drug development, during regulatory review </w:t>
      </w:r>
      <w:r>
        <w:rPr>
          <w:spacing w:val="-3"/>
        </w:rPr>
        <w:t>or </w:t>
      </w:r>
      <w:r>
        <w:rPr/>
        <w:t>in clinics, pharmacometricians need to communicate in a manner that is simple, persuasive, and </w:t>
      </w:r>
      <w:r>
        <w:rPr>
          <w:spacing w:val="-3"/>
        </w:rPr>
        <w:t>effective.</w:t>
      </w:r>
    </w:p>
    <w:p>
      <w:pPr>
        <w:pStyle w:val="BodyText"/>
        <w:spacing w:line="249" w:lineRule="auto" w:before="3"/>
        <w:ind w:left="199"/>
      </w:pPr>
      <w:r>
        <w:rPr/>
        <w:t>Implementation of model-based drug development calls for change from current practice, and such changes are often resisted. Scientists who lack authority to implement solutions need to master effective negotiation amid diverse opinions, thereby leading the team towards consensus.</w:t>
      </w:r>
    </w:p>
    <w:p>
      <w:pPr>
        <w:pStyle w:val="Heading6"/>
        <w:spacing w:line="249" w:lineRule="auto" w:before="124"/>
        <w:ind w:left="199" w:right="649"/>
      </w:pPr>
      <w:r>
        <w:rPr/>
        <w:t>PHAR 667 - ORGANIC SYNTHESIS IN DRUG DESIGN (1 TO 2)</w:t>
      </w:r>
    </w:p>
    <w:p>
      <w:pPr>
        <w:pStyle w:val="BodyText"/>
        <w:spacing w:line="249" w:lineRule="auto" w:before="184"/>
        <w:ind w:left="199" w:right="43"/>
      </w:pPr>
      <w:r>
        <w:rPr/>
        <w:t>Students are taught the application </w:t>
      </w:r>
      <w:r>
        <w:rPr>
          <w:spacing w:val="-3"/>
        </w:rPr>
        <w:t>of </w:t>
      </w:r>
      <w:r>
        <w:rPr/>
        <w:t>synthetic organic chemistry to drug design. The course includes instruction in a range </w:t>
      </w:r>
      <w:r>
        <w:rPr>
          <w:spacing w:val="-3"/>
        </w:rPr>
        <w:t>of </w:t>
      </w:r>
      <w:r>
        <w:rPr/>
        <w:t>standard functional group transformations and chemical mechanisms. Discussion then shifts to apply this synthetic chemistry knowledge to the synthesis </w:t>
      </w:r>
      <w:r>
        <w:rPr>
          <w:spacing w:val="-3"/>
        </w:rPr>
        <w:t>of </w:t>
      </w:r>
      <w:r>
        <w:rPr/>
        <w:t>peptides, peptoids, small-molecules and natural products. Protecting group chemistry as </w:t>
      </w:r>
      <w:r>
        <w:rPr>
          <w:spacing w:val="-3"/>
        </w:rPr>
        <w:t>well </w:t>
      </w:r>
      <w:r>
        <w:rPr/>
        <w:t>as solid phase synthesis are also discussed.</w:t>
      </w:r>
    </w:p>
    <w:p>
      <w:pPr>
        <w:pStyle w:val="Heading6"/>
        <w:spacing w:before="126"/>
        <w:ind w:left="199"/>
      </w:pPr>
      <w:r>
        <w:rPr/>
        <w:t>PHAR 690 - </w:t>
      </w:r>
      <w:r>
        <w:rPr>
          <w:spacing w:val="4"/>
        </w:rPr>
        <w:t> </w:t>
      </w:r>
      <w:r>
        <w:rPr/>
        <w:t>(2)</w:t>
      </w:r>
    </w:p>
    <w:p>
      <w:pPr>
        <w:pStyle w:val="BodyText"/>
        <w:spacing w:before="188"/>
        <w:ind w:left="199"/>
      </w:pPr>
      <w:r>
        <w:rPr/>
        <w:t>Offered:</w:t>
      </w:r>
      <w:r>
        <w:rPr>
          <w:spacing w:val="-2"/>
        </w:rPr>
        <w:t> </w:t>
      </w:r>
      <w:r>
        <w:rPr/>
        <w:t>202009.</w:t>
      </w:r>
    </w:p>
    <w:p>
      <w:pPr>
        <w:pStyle w:val="Heading6"/>
        <w:spacing w:line="249" w:lineRule="auto"/>
        <w:ind w:left="199" w:right="132"/>
      </w:pPr>
      <w:r>
        <w:rPr/>
        <w:t>PHAR 702 - ASPECTS OF SOLID DOSAGE FORMS (3)</w:t>
      </w:r>
    </w:p>
    <w:p>
      <w:pPr>
        <w:pStyle w:val="BodyText"/>
        <w:spacing w:line="249" w:lineRule="auto" w:before="183"/>
        <w:ind w:left="199" w:right="106"/>
      </w:pPr>
      <w:r>
        <w:rPr/>
        <w:t>A survey of the performance and processing of solid dosage forms. As most pharmaceuticals are prepared from powders, emphasis is on identifying, measuring, and controlling those properties that decide the processing characteristics of powdered materials. Prerequisite: PHAR 535, physical chemistry (calculus based), or consent of instructor</w:t>
      </w:r>
    </w:p>
    <w:p>
      <w:pPr>
        <w:pStyle w:val="BodyText"/>
        <w:spacing w:before="183"/>
        <w:ind w:left="199"/>
      </w:pPr>
      <w:r>
        <w:rPr/>
        <w:t>Offered: 200106.</w:t>
      </w:r>
    </w:p>
    <w:p>
      <w:pPr>
        <w:pStyle w:val="Heading6"/>
        <w:ind w:left="199"/>
      </w:pPr>
      <w:r>
        <w:rPr/>
        <w:t>PHAR 705 - PSC JOURNAL CLUB (1)</w:t>
      </w:r>
    </w:p>
    <w:p>
      <w:pPr>
        <w:pStyle w:val="BodyText"/>
        <w:spacing w:line="249" w:lineRule="auto" w:before="193"/>
        <w:ind w:left="199" w:right="195"/>
      </w:pPr>
      <w:r>
        <w:rPr/>
        <w:t>This course is designed as a forum for students to present research projects to a peer audience and to help students thoroughly disseminate, analyze, and critique current</w:t>
      </w:r>
    </w:p>
    <w:p>
      <w:pPr>
        <w:pStyle w:val="BodyText"/>
        <w:spacing w:line="249" w:lineRule="auto" w:before="96"/>
        <w:ind w:left="199" w:right="818"/>
      </w:pPr>
      <w:r>
        <w:rPr/>
        <w:br w:type="column"/>
      </w:r>
      <w:r>
        <w:rPr/>
        <w:t>research related to the pharmaceutical sciences. Students will be introduced to interdisciplinary research topics.</w:t>
      </w:r>
    </w:p>
    <w:p>
      <w:pPr>
        <w:pStyle w:val="BodyText"/>
        <w:spacing w:line="249" w:lineRule="auto" w:before="2"/>
        <w:ind w:left="199" w:right="855"/>
      </w:pPr>
      <w:r>
        <w:rPr/>
        <w:t>Journal discussions will be coordinated with department seminar speakers? research interests.</w:t>
      </w:r>
    </w:p>
    <w:p>
      <w:pPr>
        <w:pStyle w:val="BodyText"/>
        <w:spacing w:before="179"/>
        <w:ind w:left="199"/>
      </w:pPr>
      <w:r>
        <w:rPr/>
        <w:t>Offered: 200902.</w:t>
      </w:r>
    </w:p>
    <w:p>
      <w:pPr>
        <w:pStyle w:val="Heading6"/>
        <w:spacing w:line="249" w:lineRule="auto"/>
        <w:ind w:left="199" w:right="1916"/>
      </w:pPr>
      <w:r>
        <w:rPr/>
        <w:t>PHAR 707 - DRUG TRANSPORT AND METABOLISM (3)</w:t>
      </w:r>
    </w:p>
    <w:p>
      <w:pPr>
        <w:pStyle w:val="BodyText"/>
        <w:spacing w:line="249" w:lineRule="auto" w:before="184"/>
        <w:ind w:left="199" w:right="722"/>
      </w:pPr>
      <w:r>
        <w:rPr/>
        <w:t>This course provides basic knowledge about drug absorption at different sites in the human body (e.g. intestine, blood-brain barrier, kidney, liver) and the physicochemical and pharmaceutical factors, as well as pathophysiologic conditions that influence drug penetration. This course allows students to understand the choice of a particular absorption route and dosage form. Additionally, the interplay of drug metabolism and drug transport are discussed.</w:t>
      </w:r>
    </w:p>
    <w:p>
      <w:pPr>
        <w:pStyle w:val="BodyText"/>
        <w:spacing w:before="184"/>
        <w:ind w:left="199"/>
      </w:pPr>
      <w:r>
        <w:rPr/>
        <w:t>Offered: 200409.</w:t>
      </w:r>
    </w:p>
    <w:p>
      <w:pPr>
        <w:pStyle w:val="Heading6"/>
        <w:spacing w:line="249" w:lineRule="auto"/>
        <w:ind w:left="199" w:right="827"/>
      </w:pPr>
      <w:r>
        <w:rPr/>
        <w:t>PHAR 708 - COMPREHENSIVE EXAM SEMINAR (THIRD YEAR, FALL SEMESTER) (1)</w:t>
      </w:r>
    </w:p>
    <w:p>
      <w:pPr>
        <w:pStyle w:val="BodyText"/>
        <w:spacing w:line="249" w:lineRule="auto" w:before="184"/>
        <w:ind w:left="199" w:right="793"/>
        <w:jc w:val="both"/>
      </w:pPr>
      <w:r>
        <w:rPr/>
        <w:t>An oral presentation given in the fall of Year 3 as part of the graduate student?s ?advancement to PhD candidacy,? this seminar focuses on the student?s thesis project.</w:t>
      </w:r>
    </w:p>
    <w:p>
      <w:pPr>
        <w:pStyle w:val="BodyText"/>
        <w:spacing w:before="180"/>
        <w:ind w:left="199"/>
      </w:pPr>
      <w:r>
        <w:rPr/>
        <w:t>Offered: 200509.</w:t>
      </w:r>
    </w:p>
    <w:p>
      <w:pPr>
        <w:pStyle w:val="Heading6"/>
        <w:ind w:left="199"/>
      </w:pPr>
      <w:r>
        <w:rPr/>
        <w:t>PHAR 709 - DEPARTMENTAL SEMINAR (1)</w:t>
      </w:r>
    </w:p>
    <w:p>
      <w:pPr>
        <w:pStyle w:val="BodyText"/>
        <w:spacing w:line="249" w:lineRule="auto" w:before="192"/>
        <w:ind w:left="199" w:right="789"/>
      </w:pPr>
      <w:r>
        <w:rPr/>
        <w:t>This oral presentation, given close to the commencement of a student?s PhD research, focuses on the student?s thesis research.</w:t>
      </w:r>
    </w:p>
    <w:p>
      <w:pPr>
        <w:pStyle w:val="BodyText"/>
        <w:spacing w:before="180"/>
        <w:ind w:left="199"/>
      </w:pPr>
      <w:r>
        <w:rPr/>
        <w:t>Offered: 201402.</w:t>
      </w:r>
    </w:p>
    <w:p>
      <w:pPr>
        <w:pStyle w:val="Heading6"/>
        <w:ind w:left="199"/>
      </w:pPr>
      <w:r>
        <w:rPr/>
        <w:t>PHAR 747 - INTERMEDIATE PKPD MODELING (3)</w:t>
      </w:r>
    </w:p>
    <w:p>
      <w:pPr>
        <w:pStyle w:val="BodyText"/>
        <w:spacing w:line="249" w:lineRule="auto" w:before="192"/>
        <w:ind w:left="199" w:right="600"/>
      </w:pPr>
      <w:r>
        <w:rPr/>
        <w:t>A detailed study of the principles of drug transport, distribution, biotransformation, binding and excretion, with emphasis on quantitative aspects and measurement of these processes.</w:t>
      </w:r>
    </w:p>
    <w:p>
      <w:pPr>
        <w:pStyle w:val="BodyText"/>
        <w:spacing w:before="181"/>
        <w:ind w:left="199"/>
      </w:pPr>
      <w:r>
        <w:rPr/>
        <w:t>Offered: 201209.</w:t>
      </w:r>
    </w:p>
    <w:p>
      <w:pPr>
        <w:pStyle w:val="Heading6"/>
        <w:ind w:left="199"/>
      </w:pPr>
      <w:r>
        <w:rPr/>
        <w:t>PHAR 751 - DRUG DESIGN (3)</w:t>
      </w:r>
    </w:p>
    <w:p>
      <w:pPr>
        <w:pStyle w:val="BodyText"/>
        <w:spacing w:line="249" w:lineRule="auto" w:before="192"/>
        <w:ind w:left="199" w:right="662"/>
      </w:pPr>
      <w:r>
        <w:rPr/>
        <w:t>This course covers applications of chemical and biological principles to the rational design of drugs. Topics include targets of biologically active molecules, approaches to studying ligand and target interactions, overview of drug discovery, agents acting on specific targets, combinatorial chemistry, computation chemistry, and structure activity relationships.</w:t>
      </w:r>
    </w:p>
    <w:p>
      <w:pPr>
        <w:spacing w:after="0" w:line="249" w:lineRule="auto"/>
        <w:sectPr>
          <w:pgSz w:w="12240" w:h="15840"/>
          <w:pgMar w:header="746" w:footer="0" w:top="1320" w:bottom="280" w:left="880" w:right="300"/>
          <w:cols w:num="2" w:equalWidth="0">
            <w:col w:w="5002" w:space="484"/>
            <w:col w:w="5574"/>
          </w:cols>
        </w:sectPr>
      </w:pPr>
    </w:p>
    <w:p>
      <w:pPr>
        <w:pStyle w:val="BodyText"/>
        <w:spacing w:before="100"/>
      </w:pPr>
      <w:r>
        <w:rPr/>
        <w:t>Offered: 200106.</w:t>
      </w:r>
    </w:p>
    <w:p>
      <w:pPr>
        <w:pStyle w:val="Heading6"/>
        <w:spacing w:line="249" w:lineRule="auto"/>
        <w:ind w:right="1861"/>
      </w:pPr>
      <w:r>
        <w:rPr/>
        <w:t>PHAR 755 - TOPICS IN METALLOBIOCHEMISTRY (2)</w:t>
      </w:r>
    </w:p>
    <w:p>
      <w:pPr>
        <w:pStyle w:val="BodyText"/>
        <w:spacing w:line="249" w:lineRule="auto" w:before="179"/>
        <w:ind w:left="199" w:right="38"/>
      </w:pPr>
      <w:r>
        <w:rPr/>
        <w:t>This course introduces basic concepts pertaining to metal ions in biological </w:t>
      </w:r>
      <w:r>
        <w:rPr>
          <w:spacing w:val="-3"/>
        </w:rPr>
        <w:t>systems. </w:t>
      </w:r>
      <w:r>
        <w:rPr/>
        <w:t>Topics include metal ions in proteins, cofactors and metal clusters, metal ion transport and storage and regulation, and metalloenzymes. There is a series </w:t>
      </w:r>
      <w:r>
        <w:rPr>
          <w:spacing w:val="-3"/>
        </w:rPr>
        <w:t>of </w:t>
      </w:r>
      <w:r>
        <w:rPr/>
        <w:t>two-hour lectures </w:t>
      </w:r>
      <w:r>
        <w:rPr>
          <w:spacing w:val="-3"/>
        </w:rPr>
        <w:t>on </w:t>
      </w:r>
      <w:r>
        <w:rPr/>
        <w:t>specific topics, </w:t>
      </w:r>
      <w:r>
        <w:rPr>
          <w:spacing w:val="-3"/>
        </w:rPr>
        <w:t>followed </w:t>
      </w:r>
      <w:r>
        <w:rPr/>
        <w:t>by student presentations </w:t>
      </w:r>
      <w:r>
        <w:rPr>
          <w:spacing w:val="-3"/>
        </w:rPr>
        <w:t>of </w:t>
      </w:r>
      <w:r>
        <w:rPr/>
        <w:t>recent research articles from the literature </w:t>
      </w:r>
      <w:r>
        <w:rPr>
          <w:spacing w:val="-5"/>
        </w:rPr>
        <w:t>on </w:t>
      </w:r>
      <w:r>
        <w:rPr/>
        <w:t>said specific topics. Students are graded </w:t>
      </w:r>
      <w:r>
        <w:rPr>
          <w:spacing w:val="-5"/>
        </w:rPr>
        <w:t>on </w:t>
      </w:r>
      <w:r>
        <w:rPr/>
        <w:t>their </w:t>
      </w:r>
      <w:r>
        <w:rPr>
          <w:spacing w:val="-3"/>
        </w:rPr>
        <w:t>paper </w:t>
      </w:r>
      <w:r>
        <w:rPr/>
        <w:t>selection, presentation, </w:t>
      </w:r>
      <w:r>
        <w:rPr>
          <w:spacing w:val="-3"/>
        </w:rPr>
        <w:t>analysis </w:t>
      </w:r>
      <w:r>
        <w:rPr/>
        <w:t>of the paper, and intellectual contribution. Prerequisites: </w:t>
      </w:r>
      <w:r>
        <w:rPr>
          <w:spacing w:val="-3"/>
        </w:rPr>
        <w:t>PHAR</w:t>
      </w:r>
      <w:r>
        <w:rPr>
          <w:spacing w:val="-7"/>
        </w:rPr>
        <w:t> </w:t>
      </w:r>
      <w:r>
        <w:rPr/>
        <w:t>600/601</w:t>
      </w:r>
    </w:p>
    <w:p>
      <w:pPr>
        <w:pStyle w:val="BodyText"/>
        <w:spacing w:before="189"/>
      </w:pPr>
      <w:r>
        <w:rPr/>
        <w:t>Offered: 201002.</w:t>
      </w:r>
    </w:p>
    <w:p>
      <w:pPr>
        <w:pStyle w:val="Heading6"/>
      </w:pPr>
      <w:r>
        <w:rPr/>
        <w:t>PHAR 758 - SPECIAL TOPICS (PROJECT) (1 TO 7)</w:t>
      </w:r>
    </w:p>
    <w:p>
      <w:pPr>
        <w:pStyle w:val="BodyText"/>
        <w:spacing w:line="249" w:lineRule="auto" w:before="187"/>
        <w:ind w:right="51"/>
      </w:pPr>
      <w:r>
        <w:rPr/>
        <w:t>Research projects are selected from a set of pre-defined projects provided by the Center for Translational Medicine (CTM). Students also use projects from their organizations towards the research. Projects need to be identified by the end of the first year. CTM staff guide the students on these projects. Pre-Requisites: PHMX 747, 759</w:t>
      </w:r>
    </w:p>
    <w:p>
      <w:pPr>
        <w:pStyle w:val="BodyText"/>
        <w:spacing w:before="187"/>
      </w:pPr>
      <w:r>
        <w:rPr/>
        <w:t>Offered: 201402.</w:t>
      </w:r>
    </w:p>
    <w:p>
      <w:pPr>
        <w:pStyle w:val="Heading6"/>
        <w:spacing w:line="249" w:lineRule="auto"/>
        <w:ind w:right="2033"/>
      </w:pPr>
      <w:r>
        <w:rPr/>
        <w:t>PHAR 759 - STATISTICS FOR PHARMACOMETRICS II (3)</w:t>
      </w:r>
    </w:p>
    <w:p>
      <w:pPr>
        <w:pStyle w:val="BodyText"/>
        <w:spacing w:line="249" w:lineRule="auto" w:before="179"/>
        <w:ind w:right="73"/>
      </w:pPr>
      <w:r>
        <w:rPr/>
        <w:t>Understanding clinical trial data </w:t>
      </w:r>
      <w:r>
        <w:rPr>
          <w:spacing w:val="-3"/>
        </w:rPr>
        <w:t>with </w:t>
      </w:r>
      <w:r>
        <w:rPr/>
        <w:t>binary, ordinal, count, and time-to-event outcomes requires specific understanding </w:t>
      </w:r>
      <w:r>
        <w:rPr>
          <w:spacing w:val="-3"/>
        </w:rPr>
        <w:t>of </w:t>
      </w:r>
      <w:r>
        <w:rPr/>
        <w:t>statistical concepts. This intermediate </w:t>
      </w:r>
      <w:r>
        <w:rPr>
          <w:spacing w:val="-3"/>
        </w:rPr>
        <w:t>level </w:t>
      </w:r>
      <w:r>
        <w:rPr/>
        <w:t>course introduces application </w:t>
      </w:r>
      <w:r>
        <w:rPr>
          <w:spacing w:val="-3"/>
        </w:rPr>
        <w:t>of </w:t>
      </w:r>
      <w:r>
        <w:rPr/>
        <w:t>statistical techniques such as logistic regression, </w:t>
      </w:r>
      <w:r>
        <w:rPr>
          <w:spacing w:val="-3"/>
        </w:rPr>
        <w:t>Poisson </w:t>
      </w:r>
      <w:r>
        <w:rPr/>
        <w:t>regression, and survival analysis. The course also demonstrates simulation techniques associated </w:t>
      </w:r>
      <w:r>
        <w:rPr>
          <w:spacing w:val="-3"/>
        </w:rPr>
        <w:t>with </w:t>
      </w:r>
      <w:r>
        <w:rPr/>
        <w:t>discontinuous outcomes. R software is used to demonstrate the application </w:t>
      </w:r>
      <w:r>
        <w:rPr>
          <w:spacing w:val="-3"/>
        </w:rPr>
        <w:t>of </w:t>
      </w:r>
      <w:r>
        <w:rPr/>
        <w:t>statistical aspects. Simulated and real data from experiments and clinical trials are </w:t>
      </w:r>
      <w:r>
        <w:rPr>
          <w:spacing w:val="-3"/>
        </w:rPr>
        <w:t>employed </w:t>
      </w:r>
      <w:r>
        <w:rPr/>
        <w:t>for practice and homework. Pre-Requisites: </w:t>
      </w:r>
      <w:r>
        <w:rPr>
          <w:spacing w:val="-3"/>
        </w:rPr>
        <w:t>PHMX </w:t>
      </w:r>
      <w:r>
        <w:rPr/>
        <w:t>638,</w:t>
      </w:r>
      <w:r>
        <w:rPr>
          <w:spacing w:val="7"/>
        </w:rPr>
        <w:t> </w:t>
      </w:r>
      <w:r>
        <w:rPr/>
        <w:t>663</w:t>
      </w:r>
    </w:p>
    <w:p>
      <w:pPr>
        <w:pStyle w:val="BodyText"/>
        <w:spacing w:before="191"/>
      </w:pPr>
      <w:r>
        <w:rPr/>
        <w:t>Offered: 201306.</w:t>
      </w:r>
    </w:p>
    <w:p>
      <w:pPr>
        <w:pStyle w:val="Heading6"/>
        <w:spacing w:line="249" w:lineRule="auto"/>
        <w:ind w:right="171"/>
      </w:pPr>
      <w:r>
        <w:rPr/>
        <w:t>PHAR 799 - MASTER'S THESIS RESEARCH (1 TO 6)</w:t>
      </w:r>
    </w:p>
    <w:p>
      <w:pPr>
        <w:pStyle w:val="BodyText"/>
        <w:spacing w:line="249" w:lineRule="auto" w:before="179"/>
        <w:ind w:right="457"/>
      </w:pPr>
      <w:r>
        <w:rPr/>
        <w:t>Required enrollment for students engaged in master?s thesis studies.</w:t>
      </w:r>
    </w:p>
    <w:p>
      <w:pPr>
        <w:pStyle w:val="BodyText"/>
        <w:spacing w:before="184"/>
      </w:pPr>
      <w:r>
        <w:rPr/>
        <w:t>Offered: 200109.</w:t>
      </w:r>
    </w:p>
    <w:p>
      <w:pPr>
        <w:pStyle w:val="Heading6"/>
      </w:pPr>
      <w:r>
        <w:rPr/>
        <w:t>PHAR 858 - SPECIAL TOPICS (1 TO 6)</w:t>
      </w:r>
    </w:p>
    <w:p>
      <w:pPr>
        <w:pStyle w:val="BodyText"/>
        <w:spacing w:line="441" w:lineRule="auto" w:before="187"/>
        <w:ind w:right="2289"/>
      </w:pPr>
      <w:r>
        <w:rPr/>
        <w:t>Topics vary from term to term. Offered: 200106.</w:t>
      </w:r>
    </w:p>
    <w:p>
      <w:pPr>
        <w:pStyle w:val="Heading6"/>
        <w:spacing w:before="97"/>
      </w:pPr>
      <w:r>
        <w:rPr>
          <w:b w:val="0"/>
        </w:rPr>
        <w:br w:type="column"/>
      </w:r>
      <w:r>
        <w:rPr/>
        <w:t>PHAR 898 - PRE-CANDIDACY RESEARCH (1 TO 6)</w:t>
      </w:r>
    </w:p>
    <w:p>
      <w:pPr>
        <w:pStyle w:val="BodyText"/>
        <w:spacing w:line="249" w:lineRule="auto" w:before="187"/>
        <w:ind w:right="628"/>
      </w:pPr>
      <w:r>
        <w:rPr/>
        <w:t>Required enrollment for students engaged in doctoral dissertation studies prior to their admission to candidacy.</w:t>
      </w:r>
    </w:p>
    <w:p>
      <w:pPr>
        <w:pStyle w:val="BodyText"/>
        <w:spacing w:before="184"/>
      </w:pPr>
      <w:r>
        <w:rPr/>
        <w:t>Offered: 201409.</w:t>
      </w:r>
    </w:p>
    <w:p>
      <w:pPr>
        <w:pStyle w:val="Heading6"/>
        <w:spacing w:line="249" w:lineRule="auto"/>
        <w:ind w:right="1552"/>
      </w:pPr>
      <w:r>
        <w:rPr/>
        <w:t>PHAR 899 - DOCTORAL DISSERTATION RESEARCH (1 TO 12)</w:t>
      </w:r>
    </w:p>
    <w:p>
      <w:pPr>
        <w:pStyle w:val="BodyText"/>
        <w:spacing w:line="249" w:lineRule="auto" w:before="179"/>
        <w:ind w:right="1087"/>
      </w:pPr>
      <w:r>
        <w:rPr/>
        <w:t>Required enrollment for students engaged in doctoral dissertation studies.</w:t>
      </w:r>
    </w:p>
    <w:p>
      <w:pPr>
        <w:pStyle w:val="BodyText"/>
        <w:spacing w:before="184"/>
      </w:pPr>
      <w:r>
        <w:rPr/>
        <w:t>Offered: 200109.</w:t>
      </w:r>
    </w:p>
    <w:p>
      <w:pPr>
        <w:pStyle w:val="BodyText"/>
        <w:spacing w:before="4"/>
        <w:ind w:left="0"/>
        <w:rPr>
          <w:sz w:val="17"/>
        </w:rPr>
      </w:pPr>
    </w:p>
    <w:p>
      <w:pPr>
        <w:pStyle w:val="Heading2"/>
      </w:pPr>
      <w:bookmarkStart w:name="PHMX" w:id="139"/>
      <w:bookmarkEnd w:id="139"/>
      <w:r>
        <w:rPr/>
      </w:r>
      <w:bookmarkStart w:name="_bookmark69" w:id="140"/>
      <w:bookmarkEnd w:id="140"/>
      <w:r>
        <w:rPr/>
      </w:r>
      <w:r>
        <w:rPr/>
        <w:t>PHMX</w:t>
      </w:r>
    </w:p>
    <w:p>
      <w:pPr>
        <w:pStyle w:val="Heading6"/>
        <w:spacing w:line="249" w:lineRule="auto" w:before="128"/>
        <w:ind w:right="802"/>
      </w:pPr>
      <w:r>
        <w:rPr/>
        <w:t>PHMX 601 - BASIC PHARMACOMETRIC TOOLS (3)</w:t>
      </w:r>
    </w:p>
    <w:p>
      <w:pPr>
        <w:pStyle w:val="BodyText"/>
        <w:spacing w:line="249" w:lineRule="auto" w:before="179"/>
        <w:ind w:right="892"/>
      </w:pPr>
      <w:r>
        <w:rPr/>
        <w:t>Pharmacometric projects require mastery of new and advanced tools to conduct modeling and simulation. Students are introduced to `Phoenix,? `NONMEM? and</w:t>
      </w:r>
    </w:p>
    <w:p>
      <w:pPr>
        <w:pStyle w:val="BodyText"/>
        <w:spacing w:line="249" w:lineRule="auto" w:before="2"/>
        <w:ind w:right="643"/>
      </w:pPr>
      <w:r>
        <w:rPr/>
        <w:t>`R.? Basic operations such as importing and restructuring data, performing summary statistical analysis, and plotting are taught. The goal, however, is not to provide the theory to interpret the data or the analysis output; other courses in Pharmacometrics program are designed to complement the tools training received in this course. This is a mandatory course to be taken in the first semester of the MS program.</w:t>
      </w:r>
    </w:p>
    <w:p>
      <w:pPr>
        <w:pStyle w:val="Heading6"/>
        <w:spacing w:before="125"/>
      </w:pPr>
      <w:r>
        <w:rPr/>
        <w:t>PHMX 602 - BASIC PKPD MODELING (3)</w:t>
      </w:r>
    </w:p>
    <w:p>
      <w:pPr>
        <w:pStyle w:val="BodyText"/>
        <w:spacing w:line="249" w:lineRule="auto" w:before="193"/>
        <w:ind w:right="699"/>
      </w:pPr>
      <w:r>
        <w:rPr/>
        <w:t>Understanding pharmacokinetics (PK) and pharmacodynamics (PD) provide the pivotal basis for dosing and related decision-making during drug development and its use in clinic. This course provides training in the fundamentals of PK and PD modeling and their application to decision-making. Theoretical concepts pertaining to analyzing PKPD data, in an average subject, both from mechanistic and statistical points of view, are taught. The course also includes hands-on training using standard modeling and simulation software. This is a mandatory course to be taken in the first semester of the MS program.</w:t>
      </w:r>
    </w:p>
    <w:p>
      <w:pPr>
        <w:pStyle w:val="Heading6"/>
        <w:spacing w:line="249" w:lineRule="auto" w:before="129"/>
        <w:ind w:right="780"/>
      </w:pPr>
      <w:r>
        <w:rPr/>
        <w:t>PHMX 638 - INTERMEDIATE PKPDMODELING I (3)</w:t>
      </w:r>
    </w:p>
    <w:p>
      <w:pPr>
        <w:pStyle w:val="BodyText"/>
        <w:spacing w:line="249" w:lineRule="auto" w:before="179"/>
        <w:ind w:right="615"/>
      </w:pPr>
      <w:r>
        <w:rPr/>
        <w:t>Knowledge of conducting pharmacometrics analysis is an important component of the drug development and regulatory project. However, integrating all the different pieces together is equally important. This course guides students on the process of framing the appropriate questions, engineering the analysis, interpreting the results, and influencing the decision-making process in drug</w:t>
      </w:r>
    </w:p>
    <w:p>
      <w:pPr>
        <w:spacing w:after="0" w:line="249" w:lineRule="auto"/>
        <w:sectPr>
          <w:pgSz w:w="12240" w:h="15840"/>
          <w:pgMar w:header="746" w:footer="0" w:top="1320" w:bottom="280" w:left="880" w:right="300"/>
          <w:cols w:num="2" w:equalWidth="0">
            <w:col w:w="4987" w:space="500"/>
            <w:col w:w="5573"/>
          </w:cols>
        </w:sectPr>
      </w:pPr>
    </w:p>
    <w:p>
      <w:pPr>
        <w:pStyle w:val="BodyText"/>
        <w:spacing w:line="249" w:lineRule="auto" w:before="100"/>
        <w:ind w:right="61"/>
      </w:pPr>
      <w:r>
        <w:rPr/>
        <w:t>development. This course integrates the essence of all of the coursework in the program, and allows students to appreciate the totality of a typical pharmacometrics project that is essential for decisions regarding new drug development. Pre-Requisites: PHMX 602, 663</w:t>
      </w:r>
    </w:p>
    <w:p>
      <w:pPr>
        <w:pStyle w:val="Heading6"/>
        <w:spacing w:line="249" w:lineRule="auto" w:before="124"/>
        <w:ind w:right="1870"/>
      </w:pPr>
      <w:r>
        <w:rPr/>
        <w:t>PHMX 663 - STATISTICS FOR PHARMACOMETRICIANS I (3)</w:t>
      </w:r>
    </w:p>
    <w:p>
      <w:pPr>
        <w:pStyle w:val="BodyText"/>
        <w:spacing w:line="249" w:lineRule="auto" w:before="179"/>
        <w:ind w:right="39"/>
      </w:pPr>
      <w:r>
        <w:rPr/>
        <w:t>The field of pharmacometrics requires a sound understanding of statistical concepts. This course provides the basic statistical principles required for a pharmacometrician. This introductory level course strengthens the student's understanding of pharmacokinetic?pharmacodynamic modeling aspects. The course material is tailored for pharmacometricians. Pre- Requisites: PHMX 601</w:t>
      </w:r>
    </w:p>
    <w:p>
      <w:pPr>
        <w:pStyle w:val="Heading6"/>
        <w:spacing w:before="126"/>
      </w:pPr>
      <w:r>
        <w:rPr/>
        <w:t>PHMX 665 - DOSE-RESPONSE TRIALS (3)</w:t>
      </w:r>
    </w:p>
    <w:p>
      <w:pPr>
        <w:pStyle w:val="BodyText"/>
        <w:spacing w:line="249" w:lineRule="auto" w:before="192"/>
        <w:ind w:right="54"/>
      </w:pPr>
      <w:r>
        <w:rPr/>
        <w:t>Knowledge of designing and analyzing dose-response is an important component of a drug development and of regulatory review. Basics of the variety of dose-response designs such as parallel, cross-over, flexible-dose, titration, withdrawal, adaptive and enrichment trials are explained. Students perform clinical trial simulations for supporting the choice of appropriate designs and analyses. Innovative designs and data analysis make characterizing dose- response feasible within the realms of drug development. The information generated from such trials is key for both approval of new drugs as well as for drug product labeling. Pre-Requisites: PHMX 601</w:t>
      </w:r>
    </w:p>
    <w:p>
      <w:pPr>
        <w:pStyle w:val="Heading6"/>
        <w:spacing w:line="249" w:lineRule="auto" w:before="129"/>
        <w:ind w:left="199" w:right="99"/>
      </w:pPr>
      <w:r>
        <w:rPr/>
        <w:t>PHMX 666 - STRATEGIC COMMUNICATION AND NEGOTIATIONS (2)</w:t>
      </w:r>
    </w:p>
    <w:p>
      <w:pPr>
        <w:pStyle w:val="BodyText"/>
        <w:spacing w:line="249" w:lineRule="auto" w:before="179"/>
        <w:ind w:left="199" w:right="28"/>
      </w:pPr>
      <w:r>
        <w:rPr/>
        <w:t>This course improves students? abilities to communicate and negotiate strategically. Students identify their communication styles and learn how to compensate for any weaknesses. Scientists in life sciences work with interdisciplinary scientists with diverse backgrounds.</w:t>
      </w:r>
    </w:p>
    <w:p>
      <w:pPr>
        <w:pStyle w:val="BodyText"/>
        <w:spacing w:line="249" w:lineRule="auto" w:before="3"/>
        <w:ind w:left="199" w:right="41"/>
      </w:pPr>
      <w:r>
        <w:rPr/>
        <w:t>Pharmacometrics has not reached its full potential </w:t>
      </w:r>
      <w:r>
        <w:rPr>
          <w:spacing w:val="-3"/>
        </w:rPr>
        <w:t>yet </w:t>
      </w:r>
      <w:r>
        <w:rPr/>
        <w:t>and is breaking new ground. </w:t>
      </w:r>
      <w:r>
        <w:rPr>
          <w:spacing w:val="-3"/>
        </w:rPr>
        <w:t>In </w:t>
      </w:r>
      <w:r>
        <w:rPr/>
        <w:t>order to influence key decisions during drug development, during regulatory </w:t>
      </w:r>
      <w:r>
        <w:rPr>
          <w:spacing w:val="-3"/>
        </w:rPr>
        <w:t>review, or </w:t>
      </w:r>
      <w:r>
        <w:rPr/>
        <w:t>in clinics, pharmacometricians need to communicate in a manner that is simple, persuasive, and </w:t>
      </w:r>
      <w:r>
        <w:rPr>
          <w:spacing w:val="-3"/>
        </w:rPr>
        <w:t>effective.</w:t>
      </w:r>
    </w:p>
    <w:p>
      <w:pPr>
        <w:pStyle w:val="BodyText"/>
        <w:spacing w:line="249" w:lineRule="auto" w:before="4"/>
        <w:ind w:left="199"/>
      </w:pPr>
      <w:r>
        <w:rPr/>
        <w:t>Implementation of model-based drug development calls for change from current practice, and such change is often resisted. Scientists who lack authority to implement solutions need to master effective negotiation amid diverse opinions, thereby leading the team toward consensus.</w:t>
      </w:r>
    </w:p>
    <w:p>
      <w:pPr>
        <w:pStyle w:val="Heading6"/>
        <w:spacing w:line="249" w:lineRule="auto" w:before="124"/>
        <w:ind w:left="199" w:right="82"/>
      </w:pPr>
      <w:r>
        <w:rPr/>
        <w:t>PHMX 747 - INTERMEDIATE PKPD MODELING II (3)</w:t>
      </w:r>
    </w:p>
    <w:p>
      <w:pPr>
        <w:pStyle w:val="BodyText"/>
        <w:spacing w:before="184"/>
        <w:ind w:left="199"/>
      </w:pPr>
      <w:r>
        <w:rPr/>
        <w:t>Conducting population analyses and interpreting complex</w:t>
      </w:r>
    </w:p>
    <w:p>
      <w:pPr>
        <w:pStyle w:val="BodyText"/>
        <w:spacing w:line="249" w:lineRule="auto" w:before="96"/>
        <w:ind w:left="199" w:right="607"/>
      </w:pPr>
      <w:r>
        <w:rPr/>
        <w:br w:type="column"/>
      </w:r>
      <w:r>
        <w:rPr/>
        <w:t>datasets is pivotal for several decisions, such as "go-no-go" dose selection for various patients. This course presents theoretical concepts pertaining to analyzing PKPD data (collected from several subjects) from the mechanistic and statistical points of view. Because data from several subjects are analyzed simultaneously, the course includes advanced modeling techniques such as nonlinear mixed effects modeling. Further, advanced modeling such as physiologically-based PK modeling and absorption- metabolism simulations are introduced. This course also includes hands-on training in standard modeling and simulation software. Pre-Requisites: PHMX 638, 663</w:t>
      </w:r>
    </w:p>
    <w:p>
      <w:pPr>
        <w:pStyle w:val="BodyText"/>
        <w:spacing w:before="186"/>
        <w:ind w:left="199"/>
      </w:pPr>
      <w:r>
        <w:rPr/>
        <w:t>Offered: 201409.</w:t>
      </w:r>
    </w:p>
    <w:p>
      <w:pPr>
        <w:pStyle w:val="Heading6"/>
        <w:spacing w:line="249" w:lineRule="auto"/>
        <w:ind w:left="199" w:right="2366"/>
      </w:pPr>
      <w:r>
        <w:rPr/>
        <w:t>PHMX 759 - STATISTICS FOR PHARMACOMETRICIANS II (3)</w:t>
      </w:r>
    </w:p>
    <w:p>
      <w:pPr>
        <w:pStyle w:val="BodyText"/>
        <w:spacing w:line="249" w:lineRule="auto" w:before="184"/>
        <w:ind w:left="199" w:right="633"/>
      </w:pPr>
      <w:r>
        <w:rPr/>
        <w:t>Understanding clinical trial data </w:t>
      </w:r>
      <w:r>
        <w:rPr>
          <w:spacing w:val="-3"/>
        </w:rPr>
        <w:t>with </w:t>
      </w:r>
      <w:r>
        <w:rPr/>
        <w:t>binary, ordinal, count, and time-to-event outcomes requires specific understanding </w:t>
      </w:r>
      <w:r>
        <w:rPr>
          <w:spacing w:val="-3"/>
        </w:rPr>
        <w:t>of </w:t>
      </w:r>
      <w:r>
        <w:rPr/>
        <w:t>statistical concepts. This intermediate </w:t>
      </w:r>
      <w:r>
        <w:rPr>
          <w:spacing w:val="-3"/>
        </w:rPr>
        <w:t>level </w:t>
      </w:r>
      <w:r>
        <w:rPr/>
        <w:t>course introduces application </w:t>
      </w:r>
      <w:r>
        <w:rPr>
          <w:spacing w:val="-3"/>
        </w:rPr>
        <w:t>of </w:t>
      </w:r>
      <w:r>
        <w:rPr/>
        <w:t>statistical techniques such as logistic regression, </w:t>
      </w:r>
      <w:r>
        <w:rPr>
          <w:spacing w:val="-3"/>
        </w:rPr>
        <w:t>Poisson </w:t>
      </w:r>
      <w:r>
        <w:rPr/>
        <w:t>regression, and survival analysis. This course also demonstrates simulation techniques associated </w:t>
      </w:r>
      <w:r>
        <w:rPr>
          <w:spacing w:val="-3"/>
        </w:rPr>
        <w:t>with </w:t>
      </w:r>
      <w:r>
        <w:rPr/>
        <w:t>discontinuous outcomes. </w:t>
      </w:r>
      <w:r>
        <w:rPr>
          <w:spacing w:val="-4"/>
        </w:rPr>
        <w:t>`R? </w:t>
      </w:r>
      <w:r>
        <w:rPr/>
        <w:t>software is used to demonstrate the application </w:t>
      </w:r>
      <w:r>
        <w:rPr>
          <w:spacing w:val="-3"/>
        </w:rPr>
        <w:t>of </w:t>
      </w:r>
      <w:r>
        <w:rPr/>
        <w:t>statistical aspects. Simulated and real data from experiments and clinical trials will </w:t>
      </w:r>
      <w:r>
        <w:rPr>
          <w:spacing w:val="-3"/>
        </w:rPr>
        <w:t>be </w:t>
      </w:r>
      <w:r>
        <w:rPr/>
        <w:t>employed for practice and homework. Pre-Requisites: </w:t>
      </w:r>
      <w:r>
        <w:rPr>
          <w:spacing w:val="-3"/>
        </w:rPr>
        <w:t>PHMX </w:t>
      </w:r>
      <w:r>
        <w:rPr/>
        <w:t>638,</w:t>
      </w:r>
      <w:r>
        <w:rPr>
          <w:spacing w:val="4"/>
        </w:rPr>
        <w:t> </w:t>
      </w:r>
      <w:r>
        <w:rPr/>
        <w:t>663</w:t>
      </w:r>
    </w:p>
    <w:p>
      <w:pPr>
        <w:pStyle w:val="BodyText"/>
        <w:spacing w:before="186"/>
      </w:pPr>
      <w:r>
        <w:rPr/>
        <w:t>Offered: 201409.</w:t>
      </w:r>
    </w:p>
    <w:p>
      <w:pPr>
        <w:pStyle w:val="BodyText"/>
        <w:spacing w:before="6"/>
        <w:ind w:left="0"/>
        <w:rPr>
          <w:sz w:val="17"/>
        </w:rPr>
      </w:pPr>
    </w:p>
    <w:p>
      <w:pPr>
        <w:pStyle w:val="Heading2"/>
      </w:pPr>
      <w:bookmarkStart w:name="PHSR" w:id="141"/>
      <w:bookmarkEnd w:id="141"/>
      <w:r>
        <w:rPr/>
      </w:r>
      <w:bookmarkStart w:name="_bookmark70" w:id="142"/>
      <w:bookmarkEnd w:id="142"/>
      <w:r>
        <w:rPr/>
      </w:r>
      <w:r>
        <w:rPr/>
        <w:t>PHSR</w:t>
      </w:r>
    </w:p>
    <w:p>
      <w:pPr>
        <w:pStyle w:val="Heading6"/>
        <w:spacing w:line="249" w:lineRule="auto" w:before="128"/>
        <w:ind w:right="787"/>
      </w:pPr>
      <w:r>
        <w:rPr/>
        <w:t>PHSR 605 - INTRODUCTION TO CER-PCOR FOR THE HEALTH CARE PROVIDER (3)</w:t>
      </w:r>
    </w:p>
    <w:p>
      <w:pPr>
        <w:pStyle w:val="BodyText"/>
        <w:spacing w:line="249" w:lineRule="auto" w:before="184"/>
        <w:ind w:right="702"/>
      </w:pPr>
      <w:r>
        <w:rPr/>
        <w:t>This course provides an overview of comparative effectiveness and patient-centered outcomes research (CER-PCOR) geared toward clinicians and covers a wide range </w:t>
      </w:r>
      <w:r>
        <w:rPr>
          <w:spacing w:val="-3"/>
        </w:rPr>
        <w:t>of </w:t>
      </w:r>
      <w:r>
        <w:rPr/>
        <w:t>topics including CER-PCOR history, definitions, and evolution </w:t>
      </w:r>
      <w:r>
        <w:rPr>
          <w:spacing w:val="-3"/>
        </w:rPr>
        <w:t>of </w:t>
      </w:r>
      <w:r>
        <w:rPr/>
        <w:t>key terms. The course also covers identifying and engaging stakeholders; evidence-based medicine; current policy issues; government and private sector roles and programs; PCORI, </w:t>
      </w:r>
      <w:r>
        <w:rPr>
          <w:spacing w:val="-4"/>
        </w:rPr>
        <w:t>AHRQ, </w:t>
      </w:r>
      <w:r>
        <w:rPr>
          <w:spacing w:val="-3"/>
        </w:rPr>
        <w:t>NIH, </w:t>
      </w:r>
      <w:r>
        <w:rPr>
          <w:spacing w:val="-4"/>
        </w:rPr>
        <w:t>HHS, </w:t>
      </w:r>
      <w:r>
        <w:rPr/>
        <w:t>and FDA programs; CMS and private insurer uses; patient engagement and </w:t>
      </w:r>
      <w:r>
        <w:rPr>
          <w:spacing w:val="-3"/>
        </w:rPr>
        <w:t>advocacy; </w:t>
      </w:r>
      <w:r>
        <w:rPr/>
        <w:t>and application to clinical decision-making.</w:t>
      </w:r>
    </w:p>
    <w:p>
      <w:pPr>
        <w:pStyle w:val="Heading6"/>
        <w:spacing w:line="249" w:lineRule="auto" w:before="128"/>
        <w:ind w:right="1309"/>
      </w:pPr>
      <w:r>
        <w:rPr/>
        <w:t>PHSR 610 - PHARMACY, DRUGS, AND THE HEALTH CARE SYSTEM (3)</w:t>
      </w:r>
    </w:p>
    <w:p>
      <w:pPr>
        <w:pStyle w:val="BodyText"/>
        <w:spacing w:line="249" w:lineRule="auto" w:before="179"/>
        <w:ind w:right="593"/>
      </w:pPr>
      <w:r>
        <w:rPr/>
        <w:t>This course encompasses an examination of the principal components of the U.S. health care system with special emphasis on their relationship to the provision of drugs and</w:t>
      </w:r>
    </w:p>
    <w:p>
      <w:pPr>
        <w:spacing w:after="0" w:line="249" w:lineRule="auto"/>
        <w:sectPr>
          <w:pgSz w:w="12240" w:h="15840"/>
          <w:pgMar w:header="746" w:footer="0" w:top="1320" w:bottom="280" w:left="880" w:right="300"/>
          <w:cols w:num="2" w:equalWidth="0">
            <w:col w:w="5002" w:space="484"/>
            <w:col w:w="5574"/>
          </w:cols>
        </w:sectPr>
      </w:pPr>
    </w:p>
    <w:p>
      <w:pPr>
        <w:pStyle w:val="BodyText"/>
        <w:spacing w:before="100"/>
      </w:pPr>
      <w:r>
        <w:rPr/>
        <w:t>pharmacy services.</w:t>
      </w:r>
    </w:p>
    <w:p>
      <w:pPr>
        <w:pStyle w:val="Heading6"/>
        <w:spacing w:line="249" w:lineRule="auto"/>
        <w:ind w:left="199" w:right="877"/>
      </w:pPr>
      <w:r>
        <w:rPr/>
        <w:t>PHSR 620 - INTRODUCTION TO HEALTH BEHAVIOR THEORY (3)</w:t>
      </w:r>
    </w:p>
    <w:p>
      <w:pPr>
        <w:pStyle w:val="BodyText"/>
        <w:spacing w:line="249" w:lineRule="auto" w:before="179"/>
        <w:ind w:right="30"/>
      </w:pPr>
      <w:r>
        <w:rPr/>
        <w:t>This course covers medical sociology, psychology, social psychology, and interpersonal communication theories and research as they relate to the pharmacy practice system that involves patients, pharmacists, physicians, nurses, and other health care professionals.</w:t>
      </w:r>
    </w:p>
    <w:p>
      <w:pPr>
        <w:pStyle w:val="Heading6"/>
        <w:spacing w:line="249" w:lineRule="auto" w:before="124"/>
        <w:ind w:left="199" w:right="282"/>
      </w:pPr>
      <w:r>
        <w:rPr/>
        <w:t>PHSR 631 - COMPUTING AND ANALYTC METHODS FOR OBSERVATIONAL STUDIES (3)</w:t>
      </w:r>
    </w:p>
    <w:p>
      <w:pPr>
        <w:pStyle w:val="BodyText"/>
        <w:spacing w:line="249" w:lineRule="auto" w:before="184"/>
        <w:ind w:right="55"/>
      </w:pPr>
      <w:r>
        <w:rPr/>
        <w:t>This course focuses on: 1) programming tools and techniques for analyzing observational data using SAS and R; 2) best practices for storing, manipulating, and analyzing large datasets used in health outcomes studies;</w:t>
      </w:r>
    </w:p>
    <w:p>
      <w:pPr>
        <w:pStyle w:val="BodyText"/>
        <w:spacing w:line="249" w:lineRule="auto" w:before="2"/>
      </w:pPr>
      <w:r>
        <w:rPr/>
        <w:t>3) programming statistical regression models for observational, non-randomized studies.</w:t>
      </w:r>
    </w:p>
    <w:p>
      <w:pPr>
        <w:pStyle w:val="Heading6"/>
        <w:spacing w:line="249" w:lineRule="auto" w:before="122"/>
        <w:ind w:right="182"/>
      </w:pPr>
      <w:r>
        <w:rPr/>
        <w:t>PHSR 650 - CER AND PHARMACOECONOMICS I (3)</w:t>
      </w:r>
    </w:p>
    <w:p>
      <w:pPr>
        <w:pStyle w:val="BodyText"/>
        <w:spacing w:line="249" w:lineRule="auto" w:before="179"/>
        <w:ind w:right="104"/>
      </w:pPr>
      <w:r>
        <w:rPr/>
        <w:t>This course is designed to familiarize students with economic structure, conduct, and performance of the pharmaceutical industry. The course includes such topics as prices and profits in the industry, productivity, cost, economies of scale, innovation, economic effects of regulation, cost benefit and cost effectiveness of pharmaceuticals, and efficiency of drug delivery systems. Prerequisite: One undergraduate economics course or permission of the instructor.</w:t>
      </w:r>
    </w:p>
    <w:p>
      <w:pPr>
        <w:pStyle w:val="Heading6"/>
        <w:spacing w:line="249" w:lineRule="auto" w:before="127"/>
        <w:ind w:right="104"/>
      </w:pPr>
      <w:r>
        <w:rPr/>
        <w:t>PHSR 655 - CER AND PHARMACOECONOMICS II (3)</w:t>
      </w:r>
    </w:p>
    <w:p>
      <w:pPr>
        <w:pStyle w:val="BodyText"/>
        <w:spacing w:line="249" w:lineRule="auto" w:before="184"/>
        <w:ind w:right="116"/>
      </w:pPr>
      <w:r>
        <w:rPr/>
        <w:t>This course focuses on: (1) advanced analytical methods used in comparative effectiveness research (CER) and pharmacoeconomics studies, (2) the identification and assessment of uncertainty in CER and pharmacoeconomic studies, and (3) the development of a statistical analysis plan for CER and pharmacoeconomics studies.</w:t>
      </w:r>
    </w:p>
    <w:p>
      <w:pPr>
        <w:pStyle w:val="Heading6"/>
        <w:spacing w:line="249" w:lineRule="auto" w:before="124"/>
        <w:ind w:right="476"/>
      </w:pPr>
      <w:r>
        <w:rPr/>
        <w:t>PHSR 665 - INTRODUCTION TO MIXED METHODS APPLICATIONS IN COMMUNITY- BASED ACTION RESEARCH (3)</w:t>
      </w:r>
    </w:p>
    <w:p>
      <w:pPr>
        <w:pStyle w:val="BodyText"/>
        <w:spacing w:line="249" w:lineRule="auto" w:before="180"/>
        <w:ind w:right="156"/>
      </w:pPr>
      <w:r>
        <w:rPr/>
        <w:t>This course provides students with an introduction to the concepts, frameworks, definitions and descriptions of mixed methods action research (MMAR) and how these methods can be applied in designing and conducting community-based action research studies. Topics include: definitions and descriptions of community-based action research and of mixed methods research; mixed methods frameworks for action research; steps in designing and</w:t>
      </w:r>
    </w:p>
    <w:p>
      <w:pPr>
        <w:pStyle w:val="BodyText"/>
        <w:spacing w:line="249" w:lineRule="auto" w:before="96"/>
        <w:ind w:right="669"/>
      </w:pPr>
      <w:r>
        <w:rPr/>
        <w:br w:type="column"/>
      </w:r>
      <w:r>
        <w:rPr/>
        <w:t>conducting MMAR studies in community settings; types of MMAR designs, and; sampling, data collection, analysis, validation and evaluation </w:t>
      </w:r>
      <w:r>
        <w:rPr>
          <w:spacing w:val="-3"/>
        </w:rPr>
        <w:t>of </w:t>
      </w:r>
      <w:r>
        <w:rPr/>
        <w:t>MMAR projects. Students receive instruction </w:t>
      </w:r>
      <w:r>
        <w:rPr>
          <w:spacing w:val="-3"/>
        </w:rPr>
        <w:t>on </w:t>
      </w:r>
      <w:r>
        <w:rPr/>
        <w:t>choosing an appropriate MMAR design, </w:t>
      </w:r>
      <w:r>
        <w:rPr>
          <w:spacing w:val="-3"/>
        </w:rPr>
        <w:t>on </w:t>
      </w:r>
      <w:r>
        <w:rPr/>
        <w:t>applying the steps to design an MMAR study, and </w:t>
      </w:r>
      <w:r>
        <w:rPr>
          <w:spacing w:val="-5"/>
        </w:rPr>
        <w:t>on </w:t>
      </w:r>
      <w:r>
        <w:rPr/>
        <w:t>visually presenting the procedures employed in the study. And, students learn how to develop an MMAR study proposal </w:t>
      </w:r>
      <w:r>
        <w:rPr>
          <w:spacing w:val="-3"/>
        </w:rPr>
        <w:t>with </w:t>
      </w:r>
      <w:r>
        <w:rPr/>
        <w:t>an emphasis </w:t>
      </w:r>
      <w:r>
        <w:rPr>
          <w:spacing w:val="-5"/>
        </w:rPr>
        <w:t>on </w:t>
      </w:r>
      <w:r>
        <w:rPr/>
        <w:t>the study methodology.</w:t>
      </w:r>
    </w:p>
    <w:p>
      <w:pPr>
        <w:pStyle w:val="Heading6"/>
        <w:spacing w:line="249" w:lineRule="auto" w:before="127"/>
        <w:ind w:right="848"/>
      </w:pPr>
      <w:r>
        <w:rPr/>
        <w:t>PHSR 670 - HEALTH EDUCATION PROMOTION PROGRAM PLANNING (3)</w:t>
      </w:r>
    </w:p>
    <w:p>
      <w:pPr>
        <w:pStyle w:val="BodyText"/>
        <w:spacing w:line="249" w:lineRule="auto" w:before="179"/>
        <w:ind w:right="611"/>
      </w:pPr>
      <w:r>
        <w:rPr/>
        <w:t>Health education is a scientific process designed to achieve voluntary behavioral changes to improve health status.</w:t>
      </w:r>
    </w:p>
    <w:p>
      <w:pPr>
        <w:pStyle w:val="BodyText"/>
        <w:spacing w:line="249" w:lineRule="auto" w:before="1"/>
        <w:ind w:right="615"/>
      </w:pPr>
      <w:r>
        <w:rPr/>
        <w:t>Health promotion utilizes health education to promote health and prevent disease. The PRECEDE Model is used to demonstrate the analytical process to explore health problems, identify and assess the behavioral and non- behavioral factors associated with them in order to develop and evaluate interventions. This course addresses health education at the level of the individual, the family and the community at large. Because the relationship between practitioner and patient is often a major determinant of outcome, health promotion in the clinical setting is given emphasis. Cross-listed with PREV 650.</w:t>
      </w:r>
    </w:p>
    <w:p>
      <w:pPr>
        <w:pStyle w:val="Heading6"/>
        <w:spacing w:before="129"/>
      </w:pPr>
      <w:r>
        <w:rPr/>
        <w:t>PHSR 701 - RESEARCH METHODS I (3)</w:t>
      </w:r>
    </w:p>
    <w:p>
      <w:pPr>
        <w:pStyle w:val="BodyText"/>
        <w:spacing w:line="249" w:lineRule="auto" w:before="192"/>
        <w:ind w:right="733"/>
      </w:pPr>
      <w:r>
        <w:rPr/>
        <w:t>This course is designed to introduce the student to the concepts of scientific research in pharmacy practice and administrative science. Topics to be discussed include the scientific method and problem-solving processes, social science measurement, and several specific methods of research. Co-requisite: Introduction to Biostatistics</w:t>
      </w:r>
    </w:p>
    <w:p>
      <w:pPr>
        <w:pStyle w:val="Heading6"/>
        <w:spacing w:before="124"/>
      </w:pPr>
      <w:r>
        <w:rPr/>
        <w:t>PHSR 702 - RESEARCH METHODS II (3)</w:t>
      </w:r>
    </w:p>
    <w:p>
      <w:pPr>
        <w:pStyle w:val="BodyText"/>
        <w:spacing w:line="249" w:lineRule="auto" w:before="188"/>
        <w:ind w:right="659"/>
      </w:pPr>
      <w:r>
        <w:rPr/>
        <w:t>This course is designed to give research tools to </w:t>
      </w:r>
      <w:r>
        <w:rPr>
          <w:spacing w:val="-3"/>
        </w:rPr>
        <w:t>design </w:t>
      </w:r>
      <w:r>
        <w:rPr/>
        <w:t>studies in the impact </w:t>
      </w:r>
      <w:r>
        <w:rPr>
          <w:spacing w:val="-3"/>
        </w:rPr>
        <w:t>of </w:t>
      </w:r>
      <w:r>
        <w:rPr/>
        <w:t>pharmaceutical (or other) interventions </w:t>
      </w:r>
      <w:r>
        <w:rPr>
          <w:spacing w:val="-3"/>
        </w:rPr>
        <w:t>or </w:t>
      </w:r>
      <w:r>
        <w:rPr/>
        <w:t>policies in actual practice settings. Unlike clinical trials where </w:t>
      </w:r>
      <w:r>
        <w:rPr>
          <w:spacing w:val="-3"/>
        </w:rPr>
        <w:t>subjects </w:t>
      </w:r>
      <w:r>
        <w:rPr/>
        <w:t>are randomized to treatment </w:t>
      </w:r>
      <w:r>
        <w:rPr>
          <w:spacing w:val="-3"/>
        </w:rPr>
        <w:t>or </w:t>
      </w:r>
      <w:r>
        <w:rPr/>
        <w:t>placebo arms, health services researchers typically are forced to use non-experimental designs </w:t>
      </w:r>
      <w:r>
        <w:rPr>
          <w:spacing w:val="-3"/>
        </w:rPr>
        <w:t>with </w:t>
      </w:r>
      <w:r>
        <w:rPr/>
        <w:t>secondary data. This course will take </w:t>
      </w:r>
      <w:r>
        <w:rPr>
          <w:spacing w:val="-4"/>
        </w:rPr>
        <w:t>you </w:t>
      </w:r>
      <w:r>
        <w:rPr/>
        <w:t>through the pitfalls in </w:t>
      </w:r>
      <w:r>
        <w:rPr>
          <w:spacing w:val="-3"/>
        </w:rPr>
        <w:t>such </w:t>
      </w:r>
      <w:r>
        <w:rPr/>
        <w:t>designs and show </w:t>
      </w:r>
      <w:r>
        <w:rPr>
          <w:spacing w:val="-4"/>
        </w:rPr>
        <w:t>you </w:t>
      </w:r>
      <w:r>
        <w:rPr/>
        <w:t>how to deal </w:t>
      </w:r>
      <w:r>
        <w:rPr>
          <w:spacing w:val="-3"/>
        </w:rPr>
        <w:t>with </w:t>
      </w:r>
      <w:r>
        <w:rPr/>
        <w:t>them. Prerequisite: Research Methods I and an upper </w:t>
      </w:r>
      <w:r>
        <w:rPr>
          <w:spacing w:val="-3"/>
        </w:rPr>
        <w:t>level </w:t>
      </w:r>
      <w:r>
        <w:rPr/>
        <w:t>graduate course in multiple</w:t>
      </w:r>
      <w:r>
        <w:rPr>
          <w:spacing w:val="-6"/>
        </w:rPr>
        <w:t> </w:t>
      </w:r>
      <w:r>
        <w:rPr/>
        <w:t>regression.</w:t>
      </w:r>
    </w:p>
    <w:p>
      <w:pPr>
        <w:pStyle w:val="Heading6"/>
        <w:spacing w:before="127"/>
      </w:pPr>
      <w:r>
        <w:rPr/>
        <w:t>PHSR 704 - PHARMACOEPIDEMIOLOGY (3)</w:t>
      </w:r>
    </w:p>
    <w:p>
      <w:pPr>
        <w:pStyle w:val="BodyText"/>
        <w:spacing w:line="249" w:lineRule="auto" w:before="193"/>
        <w:ind w:right="612"/>
      </w:pPr>
      <w:r>
        <w:rPr/>
        <w:t>This course is an introduction to the field </w:t>
      </w:r>
      <w:r>
        <w:rPr>
          <w:spacing w:val="-3"/>
        </w:rPr>
        <w:t>of </w:t>
      </w:r>
      <w:r>
        <w:rPr/>
        <w:t>pharmacoepidemiology that uses quantitative research methods to examine questions </w:t>
      </w:r>
      <w:r>
        <w:rPr>
          <w:spacing w:val="-3"/>
        </w:rPr>
        <w:t>of </w:t>
      </w:r>
      <w:r>
        <w:rPr/>
        <w:t>benefit </w:t>
      </w:r>
      <w:r>
        <w:rPr>
          <w:spacing w:val="-3"/>
        </w:rPr>
        <w:t>or </w:t>
      </w:r>
      <w:r>
        <w:rPr/>
        <w:t>risk in regard  to the use </w:t>
      </w:r>
      <w:r>
        <w:rPr>
          <w:spacing w:val="-3"/>
        </w:rPr>
        <w:t>of </w:t>
      </w:r>
      <w:r>
        <w:rPr/>
        <w:t>marketed medications. The course is intended to offer useful techniques to medical and health</w:t>
      </w:r>
      <w:r>
        <w:rPr>
          <w:spacing w:val="-12"/>
        </w:rPr>
        <w:t> </w:t>
      </w:r>
      <w:r>
        <w:rPr/>
        <w:t>researchers</w:t>
      </w:r>
    </w:p>
    <w:p>
      <w:pPr>
        <w:spacing w:after="0" w:line="249" w:lineRule="auto"/>
        <w:sectPr>
          <w:headerReference w:type="default" r:id="rId102"/>
          <w:headerReference w:type="even" r:id="rId103"/>
          <w:pgSz w:w="12240" w:h="15840"/>
          <w:pgMar w:header="746" w:footer="0" w:top="1320" w:bottom="280" w:left="880" w:right="300"/>
          <w:cols w:num="2" w:equalWidth="0">
            <w:col w:w="4991" w:space="495"/>
            <w:col w:w="5574"/>
          </w:cols>
        </w:sectPr>
      </w:pPr>
    </w:p>
    <w:p>
      <w:pPr>
        <w:pStyle w:val="BodyText"/>
        <w:spacing w:line="249" w:lineRule="auto" w:before="100"/>
        <w:ind w:left="199" w:right="53"/>
      </w:pPr>
      <w:r>
        <w:rPr/>
        <w:t>who wish to assess the utilization, effectiveness, and safety of marketed drug therapies. Prerequisite: Introduction to Biostatistics and Principles of Epidemiology. Cross-listed with PREV 705</w:t>
      </w:r>
    </w:p>
    <w:p>
      <w:pPr>
        <w:pStyle w:val="Heading6"/>
        <w:spacing w:line="249" w:lineRule="auto" w:before="123"/>
        <w:ind w:left="199" w:right="224"/>
      </w:pPr>
      <w:r>
        <w:rPr/>
        <w:t>PHSR 705 - INTRODUCTION TO CER AND PCOR (3)</w:t>
      </w:r>
    </w:p>
    <w:p>
      <w:pPr>
        <w:pStyle w:val="BodyText"/>
        <w:spacing w:line="249" w:lineRule="auto" w:before="179"/>
        <w:ind w:left="199" w:right="38"/>
      </w:pPr>
      <w:r>
        <w:rPr/>
        <w:t>This course provides an overview of comparative effectiveness and patient-centered outcomes research (CER/PCOR) covering a wide range of topics including history, definitions, and evolution of key terms. Additional topics include: identifying and engaging stakeholders; evidence-based medicine and health technology assessment; current policy issues; government and private sector roles and programs; PCORI, AHRQ, NIH, HHS, FDA, programs; CMS and private insurer uses; the role of cost/QALY; patient engagement and advocacy; evolving methods and standards resources; and methods and policy controversies.</w:t>
      </w:r>
    </w:p>
    <w:p>
      <w:pPr>
        <w:pStyle w:val="Heading6"/>
        <w:spacing w:line="249" w:lineRule="auto" w:before="129"/>
        <w:ind w:left="199" w:right="846"/>
      </w:pPr>
      <w:r>
        <w:rPr/>
        <w:t>PHSR 706 - HEALTHCARE QUALITY AND PERFORMANCE MEASURES (3)</w:t>
      </w:r>
    </w:p>
    <w:p>
      <w:pPr>
        <w:pStyle w:val="BodyText"/>
        <w:spacing w:line="249" w:lineRule="auto" w:before="184"/>
        <w:ind w:right="231"/>
      </w:pPr>
      <w:r>
        <w:rPr/>
        <w:t>This course provides an informative overview of healthcare quality improvement through an evaluation of quality and quality measures in varying aspects of healthcare and healthcare services.</w:t>
      </w:r>
    </w:p>
    <w:p>
      <w:pPr>
        <w:pStyle w:val="Heading6"/>
        <w:spacing w:line="249" w:lineRule="auto" w:before="123"/>
        <w:ind w:left="199" w:right="290"/>
      </w:pPr>
      <w:r>
        <w:rPr/>
        <w:t>PHSR 707 - HEALTH OUTCOMES ASSESSMENT (3)</w:t>
      </w:r>
    </w:p>
    <w:p>
      <w:pPr>
        <w:pStyle w:val="BodyText"/>
        <w:spacing w:line="249" w:lineRule="auto" w:before="179"/>
        <w:ind w:left="199" w:right="65"/>
      </w:pPr>
      <w:r>
        <w:rPr/>
        <w:t>This course provides an understanding of the principles for measurement of health and health outcomes. Students will gain a familiarity of various measurement types (e.g., COA, PRO, ObsRO, ClinRO, PerfO), and measurement instruments used for health status, quality of life, patient satisfaction, function and disability, and will become familiar with compliance/adherence and their related properties. Also presented in this course are data sources used for measure development; methods for assessing strengths and weaknesses; validity and reliability, and a framework for judging the appropriateness of a particular measure.</w:t>
      </w:r>
    </w:p>
    <w:p>
      <w:pPr>
        <w:pStyle w:val="Heading6"/>
        <w:spacing w:before="129"/>
      </w:pPr>
      <w:r>
        <w:rPr/>
        <w:t>PHSR 708 - SPECIAL PROJECT (1 TO 6)</w:t>
      </w:r>
    </w:p>
    <w:p>
      <w:pPr>
        <w:pStyle w:val="BodyText"/>
        <w:spacing w:line="249" w:lineRule="auto" w:before="192"/>
        <w:ind w:right="64"/>
      </w:pPr>
      <w:r>
        <w:rPr/>
        <w:t>Students are given the opportunity to work with a faculty member on individual and specialized projects/research. The project/research provides students direct experience of collection, organization, and analysis of data.</w:t>
      </w:r>
    </w:p>
    <w:p>
      <w:pPr>
        <w:pStyle w:val="Heading6"/>
        <w:spacing w:before="123"/>
      </w:pPr>
      <w:r>
        <w:rPr/>
        <w:t>PHSR 709 - GRADUATE SEMINAR (1)</w:t>
      </w:r>
    </w:p>
    <w:p>
      <w:pPr>
        <w:pStyle w:val="BodyText"/>
        <w:spacing w:line="249" w:lineRule="auto" w:before="188"/>
        <w:ind w:right="58"/>
      </w:pPr>
      <w:r>
        <w:rPr/>
        <w:t>The graduate seminar is conducted weekly to inform students and faculty about new research and current issues.</w:t>
      </w:r>
    </w:p>
    <w:p>
      <w:pPr>
        <w:pStyle w:val="BodyText"/>
        <w:spacing w:line="249" w:lineRule="auto" w:before="96"/>
        <w:ind w:right="635"/>
      </w:pPr>
      <w:r>
        <w:rPr/>
        <w:br w:type="column"/>
      </w:r>
      <w:r>
        <w:rPr/>
        <w:t>Each </w:t>
      </w:r>
      <w:r>
        <w:rPr>
          <w:spacing w:val="-4"/>
        </w:rPr>
        <w:t>week </w:t>
      </w:r>
      <w:r>
        <w:rPr/>
        <w:t>there is a different presenter. The speaker may </w:t>
      </w:r>
      <w:r>
        <w:rPr>
          <w:spacing w:val="-3"/>
        </w:rPr>
        <w:t>be </w:t>
      </w:r>
      <w:r>
        <w:rPr/>
        <w:t>a graduate student, postdoctoral </w:t>
      </w:r>
      <w:r>
        <w:rPr>
          <w:spacing w:val="-3"/>
        </w:rPr>
        <w:t>fellow, </w:t>
      </w:r>
      <w:r>
        <w:rPr/>
        <w:t>resident, faculty member </w:t>
      </w:r>
      <w:r>
        <w:rPr>
          <w:spacing w:val="-3"/>
        </w:rPr>
        <w:t>or </w:t>
      </w:r>
      <w:r>
        <w:rPr/>
        <w:t>guest speaker who presents a current topic in the educational </w:t>
      </w:r>
      <w:r>
        <w:rPr>
          <w:spacing w:val="-5"/>
        </w:rPr>
        <w:t>or </w:t>
      </w:r>
      <w:r>
        <w:rPr/>
        <w:t>pharmaceutical field. Seminar attendance is mandatory for all graduate students while in residency.</w:t>
      </w:r>
    </w:p>
    <w:p>
      <w:pPr>
        <w:pStyle w:val="Heading6"/>
        <w:spacing w:line="249" w:lineRule="auto" w:before="125"/>
        <w:ind w:right="2092"/>
      </w:pPr>
      <w:r>
        <w:rPr/>
        <w:t>PHSR 722 - ADVANCED TOPICS IN PHARMACOEPIDEMIOLOGY (3)</w:t>
      </w:r>
    </w:p>
    <w:p>
      <w:pPr>
        <w:pStyle w:val="BodyText"/>
        <w:spacing w:line="249" w:lineRule="auto" w:before="179"/>
        <w:ind w:right="671"/>
      </w:pPr>
      <w:r>
        <w:rPr/>
        <w:t>The purpose of this course is to engage students in the techniques of pharmacoepidemiology through case studies and by working through an actual drug safety investigation. Drug safety is addressed in the context of science and the law through readings, debates, and discussions with invited guests. Using the FDA?s Adverse Event Reporting System database and the medical literature, students devise the epidemiological characteristics of a drug safety signal. Based on the characteristics of the signal, the team designs a pharmacoepidemiological study to further evaluate the safety signal. This course is cross-listed as PREV 722.</w:t>
      </w:r>
    </w:p>
    <w:p>
      <w:pPr>
        <w:pStyle w:val="BodyText"/>
        <w:spacing w:line="249" w:lineRule="auto" w:before="9"/>
        <w:ind w:right="887"/>
      </w:pPr>
      <w:r>
        <w:rPr/>
        <w:t>Prerequisites: PREV 600, PREV 620, and PHSR 704 or permission of the instructor.</w:t>
      </w:r>
    </w:p>
    <w:p>
      <w:pPr>
        <w:pStyle w:val="Heading6"/>
        <w:spacing w:line="249" w:lineRule="auto" w:before="121"/>
        <w:ind w:right="791"/>
      </w:pPr>
      <w:r>
        <w:rPr/>
        <w:t>PHSR 799 - MASTER'S THESIS RESEARCH (1 TO 6)</w:t>
      </w:r>
    </w:p>
    <w:p>
      <w:pPr>
        <w:pStyle w:val="BodyText"/>
        <w:spacing w:line="249" w:lineRule="auto" w:before="184"/>
        <w:ind w:right="1044"/>
      </w:pPr>
      <w:r>
        <w:rPr/>
        <w:t>Required enrollment for students engaged in master?s thesis studies.</w:t>
      </w:r>
    </w:p>
    <w:p>
      <w:pPr>
        <w:pStyle w:val="Heading6"/>
        <w:spacing w:before="122"/>
      </w:pPr>
      <w:r>
        <w:rPr/>
        <w:t>PHSR 898 - PRE-CANDIDACY RESEARCH (1 TO 8)</w:t>
      </w:r>
    </w:p>
    <w:p>
      <w:pPr>
        <w:pStyle w:val="BodyText"/>
        <w:spacing w:line="249" w:lineRule="auto" w:before="187"/>
        <w:ind w:right="788"/>
      </w:pPr>
      <w:r>
        <w:rPr/>
        <w:t>Required enrollment for students engaged in doctoral dissertation studies prior to their admission to candidacy.</w:t>
      </w:r>
    </w:p>
    <w:p>
      <w:pPr>
        <w:pStyle w:val="Heading6"/>
        <w:spacing w:line="249" w:lineRule="auto" w:before="122"/>
        <w:ind w:right="1508"/>
      </w:pPr>
      <w:r>
        <w:rPr/>
        <w:t>PHSR 899 - DOCTORIAL DISSERTATION RESEARCH (1 TO 12)</w:t>
      </w:r>
    </w:p>
    <w:p>
      <w:pPr>
        <w:pStyle w:val="BodyText"/>
        <w:spacing w:line="249" w:lineRule="auto" w:before="184"/>
        <w:ind w:right="1088"/>
      </w:pPr>
      <w:r>
        <w:rPr/>
        <w:t>Required enrollment for students engaged in doctoral dissertation studies.</w:t>
      </w:r>
    </w:p>
    <w:p>
      <w:pPr>
        <w:pStyle w:val="Heading2"/>
        <w:spacing w:before="193"/>
      </w:pPr>
      <w:bookmarkStart w:name="PREV" w:id="143"/>
      <w:bookmarkEnd w:id="143"/>
      <w:r>
        <w:rPr/>
      </w:r>
      <w:bookmarkStart w:name="_bookmark71" w:id="144"/>
      <w:bookmarkEnd w:id="144"/>
      <w:r>
        <w:rPr/>
      </w:r>
      <w:r>
        <w:rPr/>
        <w:t>PREV</w:t>
      </w:r>
    </w:p>
    <w:p>
      <w:pPr>
        <w:pStyle w:val="Heading6"/>
        <w:spacing w:before="128"/>
      </w:pPr>
      <w:r>
        <w:rPr/>
        <w:t>PREV 600 - PRINCIPLES OF EPIDEMIOLOGY (3)</w:t>
      </w:r>
    </w:p>
    <w:p>
      <w:pPr>
        <w:pStyle w:val="BodyText"/>
        <w:spacing w:line="249" w:lineRule="auto" w:before="187"/>
        <w:ind w:right="722"/>
      </w:pPr>
      <w:r>
        <w:rPr/>
        <w:t>This introductory course presents a comprehensive overview of the concepts and methods of modern epidemiology. A major emphasis is placed on understanding the strengths and limitations of the various epidemiologic study designs. Bias, confounding, effect modification, and causal inference are covered in detail, and the students are given the opportunity to apply these concepts in critiques of the published epidemiologic literature. Learning approaches include lectures, readings, discussions, in-class exercises, and workshops.</w:t>
      </w:r>
    </w:p>
    <w:p>
      <w:pPr>
        <w:spacing w:after="0" w:line="249" w:lineRule="auto"/>
        <w:sectPr>
          <w:pgSz w:w="12240" w:h="15840"/>
          <w:pgMar w:header="746" w:footer="0" w:top="1320" w:bottom="280" w:left="880" w:right="300"/>
          <w:cols w:num="2" w:equalWidth="0">
            <w:col w:w="5005" w:space="481"/>
            <w:col w:w="5574"/>
          </w:cols>
        </w:sectPr>
      </w:pPr>
    </w:p>
    <w:p>
      <w:pPr>
        <w:pStyle w:val="Heading6"/>
        <w:spacing w:before="100"/>
      </w:pPr>
      <w:r>
        <w:rPr/>
        <w:t>PREV 601 - APPLIED EPIDEMIOLOGY (1 TO 2)</w:t>
      </w:r>
    </w:p>
    <w:p>
      <w:pPr>
        <w:pStyle w:val="BodyText"/>
        <w:spacing w:line="249" w:lineRule="auto" w:before="187"/>
        <w:ind w:right="106"/>
      </w:pPr>
      <w:r>
        <w:rPr/>
        <w:t>This introductory course is designed to challenge students to apply epidemiologic concepts and methods to analysis of data on current issues. Students choose a relevant question, develop testable hypotheses, conduct descriptive analyses, report and discuss results, and consider study limitations. Each step in the process is supported by lectures and student presentations of their findings to the class. The primary source of data for student projects is adverse event reports to FDA. Student evaluation is based on class presentations and participation. Student registering for 2 credits are expected to complete a final written paper in manuscript form.</w:t>
      </w:r>
    </w:p>
    <w:p>
      <w:pPr>
        <w:pStyle w:val="Heading6"/>
        <w:spacing w:line="249" w:lineRule="auto" w:before="129"/>
        <w:ind w:right="33"/>
      </w:pPr>
      <w:r>
        <w:rPr/>
        <w:t>PREV 602 - MANAGEMENT OF CLINICAL TRIALS (3)</w:t>
      </w:r>
    </w:p>
    <w:p>
      <w:pPr>
        <w:pStyle w:val="BodyText"/>
        <w:spacing w:line="249" w:lineRule="auto" w:before="184"/>
        <w:ind w:right="38"/>
      </w:pPr>
      <w:r>
        <w:rPr/>
        <w:t>This course emphasizes the practical application of organizing, managing, and conducting clinical trials. An overview of clinical trials theory and design characteristics provides the background necessary to conduct single center and multicenter studies. Topics encompass essential management functions and responsibilities by primarily focusing on the role of the research coordinator in enrollment, randomization, follow-up visits, timely reporting of adverse drug reactions and events, and study close-out. The role and function of specialized committee structures in multicenter trials are demonstrated. There are presentations and discussions on applied methodology using examples from several recent and ongoing clinical studies.</w:t>
      </w:r>
    </w:p>
    <w:p>
      <w:pPr>
        <w:pStyle w:val="Heading6"/>
        <w:spacing w:line="249" w:lineRule="auto"/>
        <w:ind w:right="1671"/>
      </w:pPr>
      <w:r>
        <w:rPr/>
        <w:t>PREV 611 - DISEASE MODELS IN EPIDEMIOLOGY (3)</w:t>
      </w:r>
    </w:p>
    <w:p>
      <w:pPr>
        <w:pStyle w:val="BodyText"/>
        <w:spacing w:line="249" w:lineRule="auto" w:before="179"/>
        <w:ind w:right="61"/>
      </w:pPr>
      <w:r>
        <w:rPr/>
        <w:t>Models are an important </w:t>
      </w:r>
      <w:r>
        <w:rPr>
          <w:spacing w:val="-3"/>
        </w:rPr>
        <w:t>tool </w:t>
      </w:r>
      <w:r>
        <w:rPr/>
        <w:t>for understanding infectious disease epidemics. Each student develops and analyzes a basic mathematical model </w:t>
      </w:r>
      <w:r>
        <w:rPr>
          <w:spacing w:val="-3"/>
        </w:rPr>
        <w:t>on </w:t>
      </w:r>
      <w:r>
        <w:rPr/>
        <w:t>a system </w:t>
      </w:r>
      <w:r>
        <w:rPr>
          <w:spacing w:val="-3"/>
        </w:rPr>
        <w:t>of </w:t>
      </w:r>
      <w:r>
        <w:rPr/>
        <w:t>his/her choice. </w:t>
      </w:r>
      <w:r>
        <w:rPr>
          <w:spacing w:val="-3"/>
        </w:rPr>
        <w:t>In </w:t>
      </w:r>
      <w:r>
        <w:rPr/>
        <w:t>addition, students are introduced to the core theory for infectious diseases, teach some basic skills needed to read a theory paper, and </w:t>
      </w:r>
      <w:r>
        <w:rPr>
          <w:spacing w:val="-4"/>
        </w:rPr>
        <w:t>cover </w:t>
      </w:r>
      <w:r>
        <w:rPr/>
        <w:t>special topics selected by the students. Prerequisites: PREV 600 and PREV</w:t>
      </w:r>
      <w:r>
        <w:rPr>
          <w:spacing w:val="-7"/>
        </w:rPr>
        <w:t> </w:t>
      </w:r>
      <w:r>
        <w:rPr/>
        <w:t>620.</w:t>
      </w:r>
    </w:p>
    <w:p>
      <w:pPr>
        <w:pStyle w:val="Heading6"/>
        <w:spacing w:before="126"/>
      </w:pPr>
      <w:r>
        <w:rPr/>
        <w:t>PREV 613 - NUTRITIONAL EPIDEMIOLOGY (3)</w:t>
      </w:r>
    </w:p>
    <w:p>
      <w:pPr>
        <w:pStyle w:val="BodyText"/>
        <w:spacing w:line="249" w:lineRule="auto" w:before="192"/>
        <w:ind w:right="73"/>
      </w:pPr>
      <w:r>
        <w:rPr/>
        <w:t>This course is taught through lectures, hands-on class demonstrations and activities, and discussions of assigned readings during 15 three-hour sessions. Following an introduction to basic principles of nutritional epidemiology, the topics to be covered will include dietary assessment and analyses; collecting and analyzing anthropometry and body composition data; physical activity measurement and analyses; principles and applications of biomarkers; relationship between diet and</w:t>
      </w:r>
    </w:p>
    <w:p>
      <w:pPr>
        <w:pStyle w:val="BodyText"/>
        <w:spacing w:line="249" w:lineRule="auto" w:before="96"/>
        <w:ind w:right="665"/>
      </w:pPr>
      <w:r>
        <w:rPr/>
        <w:br w:type="column"/>
      </w:r>
      <w:r>
        <w:rPr/>
        <w:t>risk of developing diseases (e.g., diabetes, cardiovascular, cancer, infection); international nutritional epidemiologic research; and the global application of methods relevant to nutrition and disease risk across the life span. In addition, the students will critique and discuss papers selected from the literature.</w:t>
      </w:r>
    </w:p>
    <w:p>
      <w:pPr>
        <w:pStyle w:val="Heading6"/>
        <w:spacing w:line="249" w:lineRule="auto" w:before="124"/>
        <w:ind w:right="819"/>
      </w:pPr>
      <w:r>
        <w:rPr/>
        <w:t>PREV 616 - INTRODUCTION TO CLINICAL AND TRANSLATIONAL RESEARCH AT UMB (2)</w:t>
      </w:r>
    </w:p>
    <w:p>
      <w:pPr>
        <w:pStyle w:val="BodyText"/>
        <w:spacing w:line="249" w:lineRule="auto" w:before="179"/>
        <w:ind w:right="682" w:hanging="1"/>
      </w:pPr>
      <w:r>
        <w:rPr/>
        <w:t>This course provides an overview of the basic skills, attitudes and resources needed for developing and implementing a clinical or translational research project. The emphasis is on how to obtain these skills and resources on the UMB campus.</w:t>
      </w:r>
    </w:p>
    <w:p>
      <w:pPr>
        <w:pStyle w:val="Heading6"/>
        <w:spacing w:before="124"/>
      </w:pPr>
      <w:r>
        <w:rPr/>
        <w:t>PREV 619 - INTRODUCTION TO SAS (1)</w:t>
      </w:r>
    </w:p>
    <w:p>
      <w:pPr>
        <w:pStyle w:val="BodyText"/>
        <w:spacing w:line="249" w:lineRule="auto" w:before="192"/>
        <w:ind w:right="670"/>
      </w:pPr>
      <w:r>
        <w:rPr/>
        <w:t>This course provides the student with comprehensive experience in the application of epidemiological and biostatistical methods available in the Statistical Analysis System (SAS). Hands-on experience in weekly workshops is gained by conducting analyses of existing data designed to answer a research question. Prerequisites: PREV 620 (Principles of Biostatistics), or Instructor's permission and knowledge of basic principles of epidemiology.</w:t>
      </w:r>
    </w:p>
    <w:p>
      <w:pPr>
        <w:pStyle w:val="Heading6"/>
        <w:spacing w:before="126"/>
      </w:pPr>
      <w:r>
        <w:rPr/>
        <w:t>PREV 620 - PRINCIPLES OF BIOSTATISTICS (3)</w:t>
      </w:r>
    </w:p>
    <w:p>
      <w:pPr>
        <w:pStyle w:val="BodyText"/>
        <w:spacing w:line="249" w:lineRule="auto" w:before="188"/>
        <w:ind w:right="682"/>
      </w:pPr>
      <w:r>
        <w:rPr/>
        <w:t>This course is designed to develop an understanding of statistical principles and methods as applied to human health and disease. Topics include: research design; descriptive statistics; probability; distribution models; binomial, Poisson, and normal distribution; sampling theory and statistical inference. Prerequisites: Knowledge of college algebra required. Calculus recommended.</w:t>
      </w:r>
    </w:p>
    <w:p>
      <w:pPr>
        <w:pStyle w:val="Heading6"/>
        <w:spacing w:before="125"/>
      </w:pPr>
      <w:r>
        <w:rPr/>
        <w:t>PREV 621 - BIOSTATISTICAL METHODS (3)</w:t>
      </w:r>
    </w:p>
    <w:p>
      <w:pPr>
        <w:pStyle w:val="BodyText"/>
        <w:spacing w:line="249" w:lineRule="auto" w:before="192"/>
        <w:ind w:right="618"/>
      </w:pPr>
      <w:r>
        <w:rPr/>
        <w:t>This course is designed to introduce the students to a broad range </w:t>
      </w:r>
      <w:r>
        <w:rPr>
          <w:spacing w:val="-3"/>
        </w:rPr>
        <w:t>of </w:t>
      </w:r>
      <w:r>
        <w:rPr/>
        <w:t>methods commonly used in biomedical and public health research, and to provide some hands-on data analysis experience. Topics to </w:t>
      </w:r>
      <w:r>
        <w:rPr>
          <w:spacing w:val="-3"/>
        </w:rPr>
        <w:t>be </w:t>
      </w:r>
      <w:r>
        <w:rPr/>
        <w:t>covered include the role of statistics in </w:t>
      </w:r>
      <w:r>
        <w:rPr>
          <w:spacing w:val="-3"/>
        </w:rPr>
        <w:t>science, </w:t>
      </w:r>
      <w:r>
        <w:rPr/>
        <w:t>properties </w:t>
      </w:r>
      <w:r>
        <w:rPr>
          <w:spacing w:val="-3"/>
        </w:rPr>
        <w:t>of </w:t>
      </w:r>
      <w:r>
        <w:rPr/>
        <w:t>distributions, exploratory data analysis, inference about means, proportions and survival distributions, and introduction to multivariable methods. Note: PH 621/ PREV 621 </w:t>
      </w:r>
      <w:r>
        <w:rPr>
          <w:spacing w:val="-3"/>
        </w:rPr>
        <w:t>does </w:t>
      </w:r>
      <w:r>
        <w:rPr/>
        <w:t>not satisfy the biostatistical requirements </w:t>
      </w:r>
      <w:r>
        <w:rPr>
          <w:spacing w:val="-4"/>
        </w:rPr>
        <w:t>for </w:t>
      </w:r>
      <w:r>
        <w:rPr/>
        <w:t>MS </w:t>
      </w:r>
      <w:r>
        <w:rPr>
          <w:spacing w:val="-3"/>
        </w:rPr>
        <w:t>or </w:t>
      </w:r>
      <w:r>
        <w:rPr/>
        <w:t>PhD students in Epidemiology but is an appropriate course </w:t>
      </w:r>
      <w:r>
        <w:rPr>
          <w:spacing w:val="-4"/>
        </w:rPr>
        <w:t>for </w:t>
      </w:r>
      <w:r>
        <w:rPr/>
        <w:t>other graduate degree</w:t>
      </w:r>
      <w:r>
        <w:rPr>
          <w:spacing w:val="-1"/>
        </w:rPr>
        <w:t> </w:t>
      </w:r>
      <w:r>
        <w:rPr/>
        <w:t>programs.</w:t>
      </w:r>
    </w:p>
    <w:p>
      <w:pPr>
        <w:pStyle w:val="Heading6"/>
        <w:spacing w:line="249" w:lineRule="auto" w:before="129"/>
        <w:ind w:right="1147" w:hanging="1"/>
      </w:pPr>
      <w:r>
        <w:rPr/>
        <w:t>PREV 625 - COMMUNITY-BASED PARTICIPATORY RESEARCH METHODS (3)</w:t>
      </w:r>
    </w:p>
    <w:p>
      <w:pPr>
        <w:pStyle w:val="BodyText"/>
        <w:spacing w:line="249" w:lineRule="auto" w:before="179"/>
        <w:ind w:right="593"/>
      </w:pPr>
      <w:r>
        <w:rPr/>
        <w:t>This course provides a comprehensive understanding of the ways in which social scientists, health professionals and</w:t>
      </w:r>
    </w:p>
    <w:p>
      <w:pPr>
        <w:spacing w:after="0" w:line="249" w:lineRule="auto"/>
        <w:sectPr>
          <w:headerReference w:type="even" r:id="rId104"/>
          <w:headerReference w:type="default" r:id="rId105"/>
          <w:pgSz w:w="12240" w:h="15840"/>
          <w:pgMar w:header="746" w:footer="0" w:top="1320" w:bottom="280" w:left="880" w:right="300"/>
          <w:pgNumType w:start="152"/>
          <w:cols w:num="2" w:equalWidth="0">
            <w:col w:w="4998" w:space="489"/>
            <w:col w:w="5573"/>
          </w:cols>
        </w:sectPr>
      </w:pPr>
    </w:p>
    <w:p>
      <w:pPr>
        <w:pStyle w:val="BodyText"/>
        <w:spacing w:line="249" w:lineRule="auto" w:before="100"/>
        <w:ind w:right="38"/>
      </w:pPr>
      <w:r>
        <w:rPr/>
        <w:t>community members </w:t>
      </w:r>
      <w:r>
        <w:rPr>
          <w:spacing w:val="-3"/>
        </w:rPr>
        <w:t>can </w:t>
      </w:r>
      <w:r>
        <w:rPr/>
        <w:t>collaborate to address public health problems through research that leads to improvements in health, quality of life and community change. Students and faculty from multiple scholarly disciplines examine the approaches to community-based participatory research that </w:t>
      </w:r>
      <w:r>
        <w:rPr>
          <w:spacing w:val="-3"/>
        </w:rPr>
        <w:t>goes </w:t>
      </w:r>
      <w:r>
        <w:rPr/>
        <w:t>beyond the domain </w:t>
      </w:r>
      <w:r>
        <w:rPr>
          <w:spacing w:val="-3"/>
        </w:rPr>
        <w:t>of </w:t>
      </w:r>
      <w:r>
        <w:rPr/>
        <w:t>a single discipline. Students receive training in the skills needed to apply mixed methods (qualitative and quantitative) of approaches to designing, implementing and evaluating public health programs and community-based participatory research. Attention is </w:t>
      </w:r>
      <w:r>
        <w:rPr>
          <w:spacing w:val="-3"/>
        </w:rPr>
        <w:t>given </w:t>
      </w:r>
      <w:r>
        <w:rPr/>
        <w:t>to the scholarly debates and practical/logistical issues in conducting community-based participatory research.  Ethical principles </w:t>
      </w:r>
      <w:r>
        <w:rPr>
          <w:spacing w:val="-3"/>
        </w:rPr>
        <w:t>of </w:t>
      </w:r>
      <w:r>
        <w:rPr/>
        <w:t>social justice are applied to public health program planning and evaluation which uses community- based participatory methodology. Required </w:t>
      </w:r>
      <w:r>
        <w:rPr>
          <w:spacing w:val="-4"/>
        </w:rPr>
        <w:t>for </w:t>
      </w:r>
      <w:r>
        <w:rPr/>
        <w:t>students in the Community and Population </w:t>
      </w:r>
      <w:r>
        <w:rPr>
          <w:spacing w:val="-2"/>
        </w:rPr>
        <w:t>Health </w:t>
      </w:r>
      <w:r>
        <w:rPr/>
        <w:t>concentration </w:t>
      </w:r>
      <w:r>
        <w:rPr>
          <w:spacing w:val="-3"/>
        </w:rPr>
        <w:t>of </w:t>
      </w:r>
      <w:r>
        <w:rPr/>
        <w:t>the MPH</w:t>
      </w:r>
      <w:r>
        <w:rPr>
          <w:spacing w:val="-4"/>
        </w:rPr>
        <w:t> </w:t>
      </w:r>
      <w:r>
        <w:rPr/>
        <w:t>program.</w:t>
      </w:r>
    </w:p>
    <w:p>
      <w:pPr>
        <w:pStyle w:val="Heading6"/>
        <w:spacing w:before="133"/>
      </w:pPr>
      <w:r>
        <w:rPr/>
        <w:t>PREV 627 - VACCINOLOGY (2)</w:t>
      </w:r>
    </w:p>
    <w:p>
      <w:pPr>
        <w:pStyle w:val="BodyText"/>
        <w:spacing w:line="249" w:lineRule="auto" w:before="187"/>
        <w:ind w:right="90"/>
      </w:pPr>
      <w:r>
        <w:rPr/>
        <w:t>Vaccinology is an emerging science that deals with all aspects of the development and use of vaccines and vaccination programs. The Center for Vaccine Development (CVD) at the University of Maryland is a world famous research center that creates vaccines in the laboratory, then tests these vaccines at all levels, including pre- and post-licensure field studies. This course is taught by the CVD faculty and experts from other areas including government and industry. The full range of issues in vaccinology is covered, including the current status of vaccines and vaccination programs and political, economic, and ethical considerations. There is particular emphasis on policy in vaccine implementation.</w:t>
      </w:r>
    </w:p>
    <w:p>
      <w:pPr>
        <w:pStyle w:val="Heading6"/>
        <w:spacing w:line="249" w:lineRule="auto"/>
        <w:ind w:right="125"/>
      </w:pPr>
      <w:r>
        <w:rPr/>
        <w:t>PREV 633 - APPLICATION OFLEGAL AND REGULATORY ISSUES IN CLINICAL RESEARCH (2)</w:t>
      </w:r>
    </w:p>
    <w:p>
      <w:pPr>
        <w:pStyle w:val="BodyText"/>
        <w:spacing w:line="249" w:lineRule="auto"/>
        <w:ind w:right="127"/>
      </w:pPr>
      <w:r>
        <w:rPr/>
        <w:t>This is a multidisciplinary course covering application of legal and regulatory topics critical to performing clinical research including the informed consent process, privacy and confidentiality issues; investigational new drug (IND) applications; financial disclosure and conflict of interest; the institutional review board (IRB) process; recruitment and retention strategies; data safety monitoring plans; and quality management and clinical research conduct issues.</w:t>
      </w:r>
    </w:p>
    <w:p>
      <w:pPr>
        <w:pStyle w:val="Heading6"/>
        <w:spacing w:before="126"/>
      </w:pPr>
      <w:r>
        <w:rPr/>
        <w:t>PREV 634 - HEALTH INFORMATICS (4)</w:t>
      </w:r>
    </w:p>
    <w:p>
      <w:pPr>
        <w:pStyle w:val="BodyText"/>
        <w:spacing w:line="249" w:lineRule="auto" w:before="187"/>
        <w:ind w:right="233"/>
      </w:pPr>
      <w:r>
        <w:rPr/>
        <w:t>The course provides a comprehensive introduction to the field of health informatics, combining perspectives to medicine, public health, social science and computer science. Particular attention is given to diverse use of computers and information technology in healthcare and</w:t>
      </w:r>
    </w:p>
    <w:p>
      <w:pPr>
        <w:pStyle w:val="BodyText"/>
        <w:spacing w:line="249" w:lineRule="auto" w:before="96"/>
        <w:ind w:right="682"/>
      </w:pPr>
      <w:r>
        <w:rPr/>
        <w:br w:type="column"/>
      </w:r>
      <w:r>
        <w:rPr/>
        <w:t>the biomedical sciences, including specific applications and general methods, current issues, capabilities and limitations of health informatics. Health Informatics studies the organization of medical information, the effective management of information using computer technology, and the impact of such technology on medical research, education, and patient care. The field explores techniques for assessing current information practices, determining the information needs of healthcare and biomedical research professionals and other workers and patients, developing systems using computer technology, and evaluating the impact of these systems. The course covers a wide range of health informatics applications relevant to healthcare delivery organizations, government agencies, biomedical researchers and commercial entities. The course provides an overview of major health informatics techniques aimed at optimizing the use of information to improve the quality of healthcare, reduce cost, provide better education for providers and patients, and to conduct medical research more effectively.</w:t>
      </w:r>
    </w:p>
    <w:p>
      <w:pPr>
        <w:pStyle w:val="BodyText"/>
        <w:spacing w:line="249" w:lineRule="auto" w:before="14"/>
        <w:ind w:right="676"/>
      </w:pPr>
      <w:r>
        <w:rPr/>
        <w:t>Prerequisites: Some experience with computers and a passing familiarity with biology and/or medicine is useful.</w:t>
      </w:r>
    </w:p>
    <w:p>
      <w:pPr>
        <w:pStyle w:val="Heading6"/>
        <w:spacing w:line="249" w:lineRule="auto" w:before="122"/>
        <w:ind w:right="657"/>
      </w:pPr>
      <w:r>
        <w:rPr/>
        <w:t>PREV 645 - SPECIAL TOPICS IN LAW AND MEDICINE: CRITICAL ISSUES IN HEALTH CARE (3)</w:t>
      </w:r>
    </w:p>
    <w:p>
      <w:pPr>
        <w:pStyle w:val="BodyText"/>
        <w:spacing w:line="249" w:lineRule="auto" w:before="180"/>
        <w:ind w:right="630"/>
      </w:pPr>
      <w:r>
        <w:rPr/>
        <w:t>This interdisciplinary course is </w:t>
      </w:r>
      <w:r>
        <w:rPr>
          <w:spacing w:val="-3"/>
        </w:rPr>
        <w:t>open </w:t>
      </w:r>
      <w:r>
        <w:rPr/>
        <w:t>to students from the Schools of </w:t>
      </w:r>
      <w:r>
        <w:rPr>
          <w:spacing w:val="-3"/>
        </w:rPr>
        <w:t>Law, </w:t>
      </w:r>
      <w:r>
        <w:rPr/>
        <w:t>Medicine, Social Work, </w:t>
      </w:r>
      <w:r>
        <w:rPr>
          <w:spacing w:val="-3"/>
        </w:rPr>
        <w:t>Nursing, </w:t>
      </w:r>
      <w:r>
        <w:rPr/>
        <w:t>Pharmacy, Dentistry and the graduate </w:t>
      </w:r>
      <w:r>
        <w:rPr>
          <w:spacing w:val="-3"/>
        </w:rPr>
        <w:t>schools </w:t>
      </w:r>
      <w:r>
        <w:rPr/>
        <w:t>at </w:t>
      </w:r>
      <w:r>
        <w:rPr>
          <w:spacing w:val="-3"/>
        </w:rPr>
        <w:t>UMB </w:t>
      </w:r>
      <w:r>
        <w:rPr/>
        <w:t>and UMBC. The course is designed to: (1) provide students with an opportunity to reflect </w:t>
      </w:r>
      <w:r>
        <w:rPr>
          <w:spacing w:val="-3"/>
        </w:rPr>
        <w:t>on </w:t>
      </w:r>
      <w:r>
        <w:rPr/>
        <w:t>the legal, ethical and policy issues surrounding a number </w:t>
      </w:r>
      <w:r>
        <w:rPr>
          <w:spacing w:val="-3"/>
        </w:rPr>
        <w:t>of </w:t>
      </w:r>
      <w:r>
        <w:rPr/>
        <w:t>health care delivery problems; (2) expose participants to the basic skills necessary to analyze problems from a legal, ethical and policy perspective; and (3) </w:t>
      </w:r>
      <w:r>
        <w:rPr>
          <w:spacing w:val="-3"/>
        </w:rPr>
        <w:t>offer </w:t>
      </w:r>
      <w:r>
        <w:rPr/>
        <w:t>participants from different disciplines an opportunity to interact and share information and perspectives about their professions with one another. A variety of teaching techniques, including case studies, simulations, and panel discussions will </w:t>
      </w:r>
      <w:r>
        <w:rPr>
          <w:spacing w:val="-3"/>
        </w:rPr>
        <w:t>be </w:t>
      </w:r>
      <w:r>
        <w:rPr/>
        <w:t>used to explore such topics as medical malpractice, rights </w:t>
      </w:r>
      <w:r>
        <w:rPr>
          <w:spacing w:val="-3"/>
        </w:rPr>
        <w:t>of </w:t>
      </w:r>
      <w:r>
        <w:rPr/>
        <w:t>patients to refuse treatment, informed consent and substituted consent in medical decision making, confidentiality </w:t>
      </w:r>
      <w:r>
        <w:rPr>
          <w:spacing w:val="-3"/>
        </w:rPr>
        <w:t>v. </w:t>
      </w:r>
      <w:r>
        <w:rPr/>
        <w:t>duty to disclose medical information, regulation </w:t>
      </w:r>
      <w:r>
        <w:rPr>
          <w:spacing w:val="-3"/>
        </w:rPr>
        <w:t>of </w:t>
      </w:r>
      <w:r>
        <w:rPr/>
        <w:t>experimental drugs, and health care reform. During the course, students will have an opportunity to work in multidisciplinary teams to analyze a particular health care problem and to develop a position </w:t>
      </w:r>
      <w:r>
        <w:rPr>
          <w:spacing w:val="-3"/>
        </w:rPr>
        <w:t>paper </w:t>
      </w:r>
      <w:r>
        <w:rPr>
          <w:spacing w:val="-5"/>
        </w:rPr>
        <w:t>on </w:t>
      </w:r>
      <w:r>
        <w:rPr/>
        <w:t>a health care policy issue. This course is Cross-listed </w:t>
      </w:r>
      <w:r>
        <w:rPr>
          <w:spacing w:val="-3"/>
        </w:rPr>
        <w:t>with </w:t>
      </w:r>
      <w:r>
        <w:rPr>
          <w:spacing w:val="-2"/>
        </w:rPr>
        <w:t>LAW</w:t>
      </w:r>
      <w:r>
        <w:rPr>
          <w:spacing w:val="6"/>
        </w:rPr>
        <w:t> </w:t>
      </w:r>
      <w:r>
        <w:rPr/>
        <w:t>648B.</w:t>
      </w:r>
    </w:p>
    <w:p>
      <w:pPr>
        <w:spacing w:after="0" w:line="249" w:lineRule="auto"/>
        <w:sectPr>
          <w:pgSz w:w="12240" w:h="15840"/>
          <w:pgMar w:header="746" w:footer="0" w:top="1320" w:bottom="280" w:left="880" w:right="300"/>
          <w:cols w:num="2" w:equalWidth="0">
            <w:col w:w="5002" w:space="485"/>
            <w:col w:w="5573"/>
          </w:cols>
        </w:sectPr>
      </w:pPr>
    </w:p>
    <w:p>
      <w:pPr>
        <w:pStyle w:val="Heading6"/>
        <w:spacing w:line="249" w:lineRule="auto" w:before="100"/>
        <w:ind w:right="126"/>
      </w:pPr>
      <w:r>
        <w:rPr/>
        <w:t>PREV 648 - INTRODUCTION TO HEALTH SYSTEM AND HEALTH POLICY MANAGEMENT (3)</w:t>
      </w:r>
    </w:p>
    <w:p>
      <w:pPr>
        <w:pStyle w:val="BodyText"/>
        <w:spacing w:line="249" w:lineRule="auto" w:before="180"/>
        <w:ind w:right="100"/>
      </w:pPr>
      <w:r>
        <w:rPr/>
        <w:t>Lectures, seminars, readings, and small group discussions in this course are designed to convey an understanding of health care systems and their structure, function, and effectiveness. Topics include: principles of management; municipal, state, national, and foreign organizational systems; HMOs; health care costs; cost containment and quality; regulations; planning and evaluation; health manpower; and applied problem solving.</w:t>
      </w:r>
    </w:p>
    <w:p>
      <w:pPr>
        <w:pStyle w:val="Heading6"/>
        <w:spacing w:line="249" w:lineRule="auto" w:before="125"/>
        <w:ind w:right="365"/>
      </w:pPr>
      <w:r>
        <w:rPr/>
        <w:t>PREV 649 - INTRODUCTION TO PREVENTIVE MEDICINE (1 TO 3)</w:t>
      </w:r>
    </w:p>
    <w:p>
      <w:pPr>
        <w:pStyle w:val="BodyText"/>
        <w:spacing w:line="249" w:lineRule="auto" w:before="184"/>
        <w:ind w:right="28"/>
      </w:pPr>
      <w:r>
        <w:rPr/>
        <w:t>This seminar course emphasizes the applications of epidemiology, statistical reasoning, and preventive medicine to clinical practice. The role of the physician and other health professionals in the primary and secondary prevention of disease is discussed. Topics include relationships among physicians, hospitals, nursing homes, regulatory agencies, third party payers, and the law.</w:t>
      </w:r>
    </w:p>
    <w:p>
      <w:pPr>
        <w:pStyle w:val="BodyText"/>
        <w:spacing w:line="249" w:lineRule="auto" w:before="5"/>
      </w:pPr>
      <w:r>
        <w:rPr/>
        <w:t>Prerequisites: PREV 600, PREV 620, and consent of instructor</w:t>
      </w:r>
    </w:p>
    <w:p>
      <w:pPr>
        <w:pStyle w:val="Heading6"/>
        <w:spacing w:line="249" w:lineRule="auto" w:before="122"/>
        <w:ind w:right="944"/>
      </w:pPr>
      <w:r>
        <w:rPr/>
        <w:t>PREV 650 - HEALTH EDUCATION AND PROMOTION PROGRAM PLANNING (3)</w:t>
      </w:r>
    </w:p>
    <w:p>
      <w:pPr>
        <w:pStyle w:val="BodyText"/>
        <w:spacing w:line="249" w:lineRule="auto" w:before="179"/>
        <w:ind w:right="18"/>
      </w:pPr>
      <w:r>
        <w:rPr/>
        <w:t>This course presents a scientific process designed to achieve voluntary behavioral change to improve health status. Health promotion utilizes health education to promote health and prevent disease. The analytical process used to explore health problems, the identification of factors associated with them, and the development and evaluation of interventions are covered. This course is cross-listed with PHSR 670.</w:t>
      </w:r>
    </w:p>
    <w:p>
      <w:pPr>
        <w:pStyle w:val="Heading6"/>
        <w:spacing w:line="249" w:lineRule="auto" w:before="126"/>
        <w:ind w:right="260"/>
      </w:pPr>
      <w:r>
        <w:rPr/>
        <w:t>PREV 651 - MOLECULAR BIOLOGY IN PUBLIC HEALTH RESEARCH (1)</w:t>
      </w:r>
    </w:p>
    <w:p>
      <w:pPr>
        <w:pStyle w:val="BodyText"/>
        <w:spacing w:line="249" w:lineRule="auto" w:before="184"/>
      </w:pPr>
      <w:r>
        <w:rPr/>
        <w:t>This course, which uses the basics of molecular biology as the basis for a discussion of molecular methods frequently used in population based health studies, is tailored to students planning to take advanced epidemiology courses such as Molecular Epidemiology, Cancer Epidemiology, and Epidemiology of Infectious Disease, but who may be unfamiliar with recent developments in molecular biology.</w:t>
      </w:r>
    </w:p>
    <w:p>
      <w:pPr>
        <w:pStyle w:val="Heading6"/>
        <w:spacing w:before="125"/>
      </w:pPr>
      <w:r>
        <w:rPr/>
        <w:t>PREV 652 - HEALTH ECONOMICS (3)</w:t>
      </w:r>
    </w:p>
    <w:p>
      <w:pPr>
        <w:pStyle w:val="BodyText"/>
        <w:spacing w:line="249" w:lineRule="auto" w:before="188"/>
        <w:ind w:right="50"/>
      </w:pPr>
      <w:r>
        <w:rPr/>
        <w:t>This course provides an analysis of health as an economic good. Using microeconomic theories the course examines the behavior of health care providers, consumers, markets, and firms. The underlying assumptions applicable to market economics are critically examined within the</w:t>
      </w:r>
    </w:p>
    <w:p>
      <w:pPr>
        <w:pStyle w:val="BodyText"/>
        <w:spacing w:line="249" w:lineRule="auto" w:before="96"/>
        <w:ind w:right="620"/>
      </w:pPr>
      <w:r>
        <w:rPr/>
        <w:br w:type="column"/>
      </w:r>
      <w:r>
        <w:rPr/>
        <w:t>context of the health economy. Special problems of health economics are considered including assumptions of market competition, the demand and supply of medical care and health insurance, the role of government, and equity.</w:t>
      </w:r>
    </w:p>
    <w:p>
      <w:pPr>
        <w:pStyle w:val="Heading6"/>
        <w:spacing w:line="249" w:lineRule="auto" w:before="123"/>
        <w:ind w:right="1357"/>
      </w:pPr>
      <w:r>
        <w:rPr/>
        <w:t>PREV 659 - OBSERVATIONAL STUDIES IN EPIDEMIOLOGY (3)</w:t>
      </w:r>
    </w:p>
    <w:p>
      <w:pPr>
        <w:pStyle w:val="BodyText"/>
        <w:spacing w:line="249" w:lineRule="auto" w:before="179"/>
        <w:ind w:right="692"/>
      </w:pPr>
      <w:r>
        <w:rPr/>
        <w:t>This course provides an in-depth examination of study designs, including case control and cohort studies. Special emphasis is placed on possible biases that can occur in epidemiologic research. Some special topics also will be addressed in detail, including screening, misclassification, and questionnaire construction. Prerequisite: PREV 600</w:t>
      </w:r>
    </w:p>
    <w:p>
      <w:pPr>
        <w:pStyle w:val="Heading6"/>
        <w:spacing w:line="249" w:lineRule="auto" w:before="125"/>
        <w:ind w:right="1374"/>
      </w:pPr>
      <w:r>
        <w:rPr/>
        <w:t>PREV 664 - CRITICAL ISSUES IN GLOBAL HEALTH (3)</w:t>
      </w:r>
    </w:p>
    <w:p>
      <w:pPr>
        <w:pStyle w:val="BodyText"/>
        <w:spacing w:line="249" w:lineRule="auto" w:before="184"/>
        <w:ind w:right="608"/>
      </w:pPr>
      <w:r>
        <w:rPr/>
        <w:t>This series </w:t>
      </w:r>
      <w:r>
        <w:rPr>
          <w:spacing w:val="-3"/>
        </w:rPr>
        <w:t>of </w:t>
      </w:r>
      <w:r>
        <w:rPr/>
        <w:t>seminars, lectures and reading assignments is designed to give students an overview of the </w:t>
      </w:r>
      <w:r>
        <w:rPr>
          <w:spacing w:val="-3"/>
        </w:rPr>
        <w:t>global </w:t>
      </w:r>
      <w:r>
        <w:rPr/>
        <w:t>health problems facing the world today and equip them </w:t>
      </w:r>
      <w:r>
        <w:rPr>
          <w:spacing w:val="-3"/>
        </w:rPr>
        <w:t>with </w:t>
      </w:r>
      <w:r>
        <w:rPr/>
        <w:t>tools to navigate the world </w:t>
      </w:r>
      <w:r>
        <w:rPr>
          <w:spacing w:val="-3"/>
        </w:rPr>
        <w:t>of </w:t>
      </w:r>
      <w:r>
        <w:rPr/>
        <w:t>international health. The course focuses </w:t>
      </w:r>
      <w:r>
        <w:rPr>
          <w:spacing w:val="-3"/>
        </w:rPr>
        <w:t>on </w:t>
      </w:r>
      <w:r>
        <w:rPr/>
        <w:t>teaching students about the global </w:t>
      </w:r>
      <w:r>
        <w:rPr>
          <w:spacing w:val="-3"/>
        </w:rPr>
        <w:t>burden </w:t>
      </w:r>
      <w:r>
        <w:rPr>
          <w:spacing w:val="-5"/>
        </w:rPr>
        <w:t>of </w:t>
      </w:r>
      <w:r>
        <w:rPr/>
        <w:t>disease and pattern </w:t>
      </w:r>
      <w:r>
        <w:rPr>
          <w:spacing w:val="-3"/>
        </w:rPr>
        <w:t>of </w:t>
      </w:r>
      <w:r>
        <w:rPr/>
        <w:t>disease variations </w:t>
      </w:r>
      <w:r>
        <w:rPr>
          <w:spacing w:val="-3"/>
        </w:rPr>
        <w:t>between </w:t>
      </w:r>
      <w:r>
        <w:rPr/>
        <w:t>and within countries. It addresses cross cutting issues such as poverty, environmental degradation and the impact </w:t>
      </w:r>
      <w:r>
        <w:rPr>
          <w:spacing w:val="-3"/>
        </w:rPr>
        <w:t>of </w:t>
      </w:r>
      <w:r>
        <w:rPr/>
        <w:t>globalization </w:t>
      </w:r>
      <w:r>
        <w:rPr>
          <w:spacing w:val="-3"/>
        </w:rPr>
        <w:t>on </w:t>
      </w:r>
      <w:r>
        <w:rPr/>
        <w:t>health. Topics include maternal and child health, gender and violence, nutrition, water and</w:t>
      </w:r>
      <w:r>
        <w:rPr>
          <w:spacing w:val="-21"/>
        </w:rPr>
        <w:t> </w:t>
      </w:r>
      <w:r>
        <w:rPr/>
        <w:t>sanitation.</w:t>
      </w:r>
    </w:p>
    <w:p>
      <w:pPr>
        <w:pStyle w:val="Heading6"/>
        <w:spacing w:line="249" w:lineRule="auto" w:before="127"/>
        <w:ind w:right="1986"/>
      </w:pPr>
      <w:r>
        <w:rPr/>
        <w:t>PREV 668 - ENVIRONMENTAL AND OCCUPATIONAL HEALTH (3)</w:t>
      </w:r>
    </w:p>
    <w:p>
      <w:pPr>
        <w:pStyle w:val="BodyText"/>
        <w:spacing w:line="249" w:lineRule="auto" w:before="179"/>
        <w:ind w:right="737"/>
      </w:pPr>
      <w:r>
        <w:rPr/>
        <w:t>The class addresses the different components of the environment, the potential hazardous exposures and their implications, and the best practices to prevent and control them. Environmental exposures play a significant role in disease causation, particularly as risk factors for cancer, asthma, and other chronic diseases; and exposures in occupational settings are an important part of environmental exposures. This course consists of didactic lectures, in-class discussions, student presentations, and visits to environmental and occupational sites.</w:t>
      </w:r>
    </w:p>
    <w:p>
      <w:pPr>
        <w:pStyle w:val="Heading6"/>
        <w:spacing w:before="127"/>
      </w:pPr>
      <w:r>
        <w:rPr/>
        <w:t>PREV 681 - EPIDEMIOLOGY OF AGING (3)</w:t>
      </w:r>
    </w:p>
    <w:p>
      <w:pPr>
        <w:pStyle w:val="BodyText"/>
        <w:spacing w:line="249" w:lineRule="auto" w:before="193"/>
        <w:ind w:right="676"/>
      </w:pPr>
      <w:r>
        <w:rPr/>
        <w:t>This course covers applications of the principle and methods of epidemiology and public health to the study of aging. There is a review of health assessment techniques that are potentially useful for conducting epidemiological studies of older people; the epidemiology of selected disease common to old age; primary, secondary, and tertiary prevention, as applied to older people, focusing on psychosocial and environmental aspects of health; differing ideas of long-term care, and their roles in the prevention, intervention, and treatment of illness in older people. Students learn how to critically evaluate and</w:t>
      </w:r>
    </w:p>
    <w:p>
      <w:pPr>
        <w:spacing w:after="0" w:line="249" w:lineRule="auto"/>
        <w:sectPr>
          <w:pgSz w:w="12240" w:h="15840"/>
          <w:pgMar w:header="746" w:footer="0" w:top="1320" w:bottom="280" w:left="880" w:right="300"/>
          <w:cols w:num="2" w:equalWidth="0">
            <w:col w:w="4947" w:space="540"/>
            <w:col w:w="5573"/>
          </w:cols>
        </w:sectPr>
      </w:pPr>
    </w:p>
    <w:p>
      <w:pPr>
        <w:pStyle w:val="BodyText"/>
        <w:spacing w:line="249" w:lineRule="auto" w:before="100"/>
        <w:ind w:right="250"/>
      </w:pPr>
      <w:r>
        <w:rPr/>
        <w:t>present research in a specific area of gerontological epidemiology with faculty supervision. Pre-requisite: PREV 600 or consent of the instructor. Cross-listed with GERO 681.</w:t>
      </w:r>
    </w:p>
    <w:p>
      <w:pPr>
        <w:pStyle w:val="Heading6"/>
        <w:spacing w:before="123"/>
      </w:pPr>
      <w:r>
        <w:rPr/>
        <w:t>PREV 701 - CANCER EPIDEMIOLOGY (3)</w:t>
      </w:r>
    </w:p>
    <w:p>
      <w:pPr>
        <w:pStyle w:val="BodyText"/>
        <w:spacing w:line="249" w:lineRule="auto" w:before="187"/>
        <w:ind w:right="29"/>
      </w:pPr>
      <w:r>
        <w:rPr/>
        <w:t>This course combines different strands of knowledge ? molecular biology, pathology, epidemiological methods - and clinical and social sciences into an exploration of modern cancer epidemiology, prevention, and control, both domestically and internationally. Emphasis is placed on cancers of high prevalence or unique biological characteristics that illustrate interesting epidemiological or etiological characteristics. Comparison of cancer rates and evidence for the causes of these differences are explored. The goal is to encourage students to think creatively about the cancer problem and to explore research opportunities that will contribute meaningfully to reduced cancer morbidity and mortality. A combination of lectures, seminars, and class activities is used.</w:t>
      </w:r>
    </w:p>
    <w:p>
      <w:pPr>
        <w:pStyle w:val="Heading6"/>
        <w:spacing w:line="249" w:lineRule="auto" w:before="131"/>
        <w:ind w:right="955"/>
      </w:pPr>
      <w:r>
        <w:rPr/>
        <w:t>PREV 702 - ADVANCED QUANTITATIVE METHODS (2)</w:t>
      </w:r>
    </w:p>
    <w:p>
      <w:pPr>
        <w:pStyle w:val="BodyText"/>
        <w:spacing w:line="249" w:lineRule="auto" w:before="184"/>
        <w:ind w:right="44"/>
      </w:pPr>
      <w:r>
        <w:rPr/>
        <w:t>This course covers issues relating to causal inferences ? that is, the study of methods and models used to understand what causes what in </w:t>
      </w:r>
      <w:r>
        <w:rPr>
          <w:spacing w:val="-4"/>
        </w:rPr>
        <w:t>our </w:t>
      </w:r>
      <w:r>
        <w:rPr/>
        <w:t>world. Different causal frameworks are explored and are used to address problems relating to study design, confounding, modeling, validity, and inference. Readings are assigned </w:t>
      </w:r>
      <w:r>
        <w:rPr>
          <w:spacing w:val="-3"/>
        </w:rPr>
        <w:t>each week, </w:t>
      </w:r>
      <w:r>
        <w:rPr/>
        <w:t>and students complete one midterm assignment and a final exam. The course is useful to anyone designing and conducting clinical research. A background in foundational epidemiological methods and biostatistics is recommended. Prerequisites: PREV 600 and PREV 720 </w:t>
      </w:r>
      <w:r>
        <w:rPr>
          <w:spacing w:val="-3"/>
        </w:rPr>
        <w:t>or </w:t>
      </w:r>
      <w:r>
        <w:rPr/>
        <w:t>consent.</w:t>
      </w:r>
    </w:p>
    <w:p>
      <w:pPr>
        <w:pStyle w:val="Heading6"/>
        <w:spacing w:before="128"/>
      </w:pPr>
      <w:r>
        <w:rPr/>
        <w:t>PREV 703 - COMPLEX DISORDERS SEMINAR (1)</w:t>
      </w:r>
    </w:p>
    <w:p>
      <w:pPr>
        <w:pStyle w:val="BodyText"/>
        <w:spacing w:line="249" w:lineRule="auto" w:before="188"/>
        <w:ind w:right="68"/>
      </w:pPr>
      <w:r>
        <w:rPr/>
        <w:t>This seminar series includes speakers from both inside and outside of the University. The speakers focus on topics including the difficulties of defining phenotypes, the problems involved in identifying genetic variation, and the statistical issues involved in correlating multiplicity of genotype data with that of phenotypic data. Speakers address these topics by discussing their research in areas including leukodystrophies, bipolar disorder, prostate cancer, and eye diseases. Outside speaker seminars are followed by discussions.</w:t>
      </w:r>
    </w:p>
    <w:p>
      <w:pPr>
        <w:pStyle w:val="Heading6"/>
        <w:spacing w:line="249" w:lineRule="auto" w:before="127"/>
        <w:ind w:right="722"/>
      </w:pPr>
      <w:r>
        <w:rPr/>
        <w:t>PREV 704 - MOLECULAR EPIDEMIOLOGY PRACTICUM (3)</w:t>
      </w:r>
    </w:p>
    <w:p>
      <w:pPr>
        <w:pStyle w:val="BodyText"/>
        <w:spacing w:line="249" w:lineRule="auto" w:before="184"/>
        <w:ind w:right="18"/>
      </w:pPr>
      <w:r>
        <w:rPr/>
        <w:t>This course involves three, three-month assignments across the nine-month school year and should be taken after</w:t>
      </w:r>
    </w:p>
    <w:p>
      <w:pPr>
        <w:pStyle w:val="BodyText"/>
        <w:spacing w:line="249" w:lineRule="auto" w:before="96"/>
        <w:ind w:right="787"/>
      </w:pPr>
      <w:r>
        <w:rPr/>
        <w:br w:type="column"/>
      </w:r>
      <w:r>
        <w:rPr/>
        <w:t>completion of the first year of coursework. Prerequisites: Completion of first-year courses.</w:t>
      </w:r>
    </w:p>
    <w:p>
      <w:pPr>
        <w:pStyle w:val="Heading6"/>
        <w:spacing w:before="122"/>
      </w:pPr>
      <w:r>
        <w:rPr/>
        <w:t>PREV 705 - PHARMACOEPIDEMIOLOGY</w:t>
      </w:r>
      <w:r>
        <w:rPr>
          <w:spacing w:val="-10"/>
        </w:rPr>
        <w:t> </w:t>
      </w:r>
      <w:r>
        <w:rPr/>
        <w:t>(3)</w:t>
      </w:r>
    </w:p>
    <w:p>
      <w:pPr>
        <w:pStyle w:val="BodyText"/>
        <w:spacing w:line="249" w:lineRule="auto" w:before="187"/>
        <w:ind w:right="665"/>
      </w:pPr>
      <w:r>
        <w:rPr/>
        <w:t>This course provides an introduction to the field </w:t>
      </w:r>
      <w:r>
        <w:rPr>
          <w:spacing w:val="-5"/>
        </w:rPr>
        <w:t>of </w:t>
      </w:r>
      <w:r>
        <w:rPr/>
        <w:t>pharmacoepidemiology using quantitative research methods to examine the benefits </w:t>
      </w:r>
      <w:r>
        <w:rPr>
          <w:spacing w:val="-3"/>
        </w:rPr>
        <w:t>or </w:t>
      </w:r>
      <w:r>
        <w:rPr/>
        <w:t>risks </w:t>
      </w:r>
      <w:r>
        <w:rPr>
          <w:spacing w:val="-3"/>
        </w:rPr>
        <w:t>of </w:t>
      </w:r>
      <w:r>
        <w:rPr/>
        <w:t>marketed medications. The course is intended to </w:t>
      </w:r>
      <w:r>
        <w:rPr>
          <w:spacing w:val="-3"/>
        </w:rPr>
        <w:t>offer </w:t>
      </w:r>
      <w:r>
        <w:rPr/>
        <w:t>techniques to medical and health researchers who wish to assess the use, effectiveness, and safety </w:t>
      </w:r>
      <w:r>
        <w:rPr>
          <w:spacing w:val="-3"/>
        </w:rPr>
        <w:t>of </w:t>
      </w:r>
      <w:r>
        <w:rPr/>
        <w:t>marketed drug</w:t>
      </w:r>
      <w:r>
        <w:rPr>
          <w:spacing w:val="-1"/>
        </w:rPr>
        <w:t> </w:t>
      </w:r>
      <w:r>
        <w:rPr/>
        <w:t>therapies.</w:t>
      </w:r>
    </w:p>
    <w:p>
      <w:pPr>
        <w:pStyle w:val="Heading6"/>
        <w:spacing w:line="249" w:lineRule="auto" w:before="125"/>
        <w:ind w:right="1780"/>
      </w:pPr>
      <w:r>
        <w:rPr/>
        <w:t>PREV 707 - COST EFFECTIVENESS IN PREVENTION AND TEATMENT</w:t>
      </w:r>
      <w:r>
        <w:rPr>
          <w:spacing w:val="-1"/>
        </w:rPr>
        <w:t> </w:t>
      </w:r>
      <w:r>
        <w:rPr/>
        <w:t>(3)</w:t>
      </w:r>
    </w:p>
    <w:p>
      <w:pPr>
        <w:pStyle w:val="BodyText"/>
        <w:spacing w:line="249" w:lineRule="auto" w:before="183"/>
        <w:ind w:right="609"/>
      </w:pPr>
      <w:r>
        <w:rPr/>
        <w:t>A 3-semester hour graduate course </w:t>
      </w:r>
      <w:r>
        <w:rPr>
          <w:spacing w:val="-4"/>
        </w:rPr>
        <w:t>for  </w:t>
      </w:r>
      <w:r>
        <w:rPr/>
        <w:t>masters and doctoral students in the health sciences. This course is a component in the core methods </w:t>
      </w:r>
      <w:r>
        <w:rPr>
          <w:spacing w:val="-4"/>
        </w:rPr>
        <w:t>for </w:t>
      </w:r>
      <w:r>
        <w:rPr/>
        <w:t>public health sciences, especially focusing </w:t>
      </w:r>
      <w:r>
        <w:rPr>
          <w:spacing w:val="-3"/>
        </w:rPr>
        <w:t>on </w:t>
      </w:r>
      <w:r>
        <w:rPr/>
        <w:t>the preventive measures in healthcare. Cost-effectiveness analysis is an integral part </w:t>
      </w:r>
      <w:r>
        <w:rPr>
          <w:spacing w:val="-3"/>
        </w:rPr>
        <w:t>of </w:t>
      </w:r>
      <w:r>
        <w:rPr/>
        <w:t>the design and development </w:t>
      </w:r>
      <w:r>
        <w:rPr>
          <w:spacing w:val="-3"/>
        </w:rPr>
        <w:t>of </w:t>
      </w:r>
      <w:r>
        <w:rPr/>
        <w:t>interventions, so that optimal decisions </w:t>
      </w:r>
      <w:r>
        <w:rPr>
          <w:spacing w:val="-3"/>
        </w:rPr>
        <w:t>can be </w:t>
      </w:r>
      <w:r>
        <w:rPr/>
        <w:t>made in selecting the alternative to </w:t>
      </w:r>
      <w:r>
        <w:rPr>
          <w:spacing w:val="-3"/>
        </w:rPr>
        <w:t>be </w:t>
      </w:r>
      <w:r>
        <w:rPr/>
        <w:t>implemented. Additionally, the evaluation </w:t>
      </w:r>
      <w:r>
        <w:rPr>
          <w:spacing w:val="-3"/>
        </w:rPr>
        <w:t>of </w:t>
      </w:r>
      <w:r>
        <w:rPr/>
        <w:t>outcomes should include an empirical cost-effectiveness analysis to improve the body </w:t>
      </w:r>
      <w:r>
        <w:rPr>
          <w:spacing w:val="-3"/>
        </w:rPr>
        <w:t>of </w:t>
      </w:r>
      <w:r>
        <w:rPr/>
        <w:t>knowledge available to future work. These techniques are also applied in randomized clinical trials. This course examines principles and techniques </w:t>
      </w:r>
      <w:r>
        <w:rPr>
          <w:spacing w:val="-3"/>
        </w:rPr>
        <w:t>of </w:t>
      </w:r>
      <w:r>
        <w:rPr/>
        <w:t>Cost-Effectiveness Analysis (CEA) in healthcare </w:t>
      </w:r>
      <w:r>
        <w:rPr>
          <w:spacing w:val="-3"/>
        </w:rPr>
        <w:t>from </w:t>
      </w:r>
      <w:r>
        <w:rPr/>
        <w:t>a prevention perspective. Participants learn key elements </w:t>
      </w:r>
      <w:r>
        <w:rPr>
          <w:spacing w:val="-3"/>
        </w:rPr>
        <w:t>of </w:t>
      </w:r>
      <w:r>
        <w:rPr/>
        <w:t>the economist's analysis of costs and effect, in order to achieve a comparative and incremental cost-effectiveness analysis. Student projects design and conduct a hypothetical and empirical CEA. Prerequisites: PREV 600, PREV 720 </w:t>
      </w:r>
      <w:r>
        <w:rPr>
          <w:spacing w:val="-3"/>
        </w:rPr>
        <w:t>or </w:t>
      </w:r>
      <w:r>
        <w:rPr/>
        <w:t>the</w:t>
      </w:r>
      <w:r>
        <w:rPr>
          <w:spacing w:val="-2"/>
        </w:rPr>
        <w:t> </w:t>
      </w:r>
      <w:r>
        <w:rPr/>
        <w:t>equivalent.</w:t>
      </w:r>
    </w:p>
    <w:p>
      <w:pPr>
        <w:pStyle w:val="Heading6"/>
        <w:spacing w:line="249" w:lineRule="auto" w:before="134"/>
        <w:ind w:right="1447"/>
      </w:pPr>
      <w:r>
        <w:rPr/>
        <w:t>PREV 709 - INTRODUCTION TO HEALTH SERVICES RESEARCH (2)</w:t>
      </w:r>
    </w:p>
    <w:p>
      <w:pPr>
        <w:pStyle w:val="BodyText"/>
        <w:spacing w:line="249" w:lineRule="auto" w:before="179"/>
        <w:ind w:right="632"/>
      </w:pPr>
      <w:r>
        <w:rPr/>
        <w:t>The purpose </w:t>
      </w:r>
      <w:r>
        <w:rPr>
          <w:spacing w:val="-3"/>
        </w:rPr>
        <w:t>of </w:t>
      </w:r>
      <w:r>
        <w:rPr/>
        <w:t>this course is to explore health research topics and methods common to health services research (HSR) as it is applied to problems relevant to public policy. The </w:t>
      </w:r>
      <w:r>
        <w:rPr>
          <w:spacing w:val="-3"/>
        </w:rPr>
        <w:t>focus </w:t>
      </w:r>
      <w:r>
        <w:rPr/>
        <w:t>is </w:t>
      </w:r>
      <w:r>
        <w:rPr>
          <w:spacing w:val="-3"/>
        </w:rPr>
        <w:t>on </w:t>
      </w:r>
      <w:r>
        <w:rPr/>
        <w:t>a core </w:t>
      </w:r>
      <w:r>
        <w:rPr>
          <w:spacing w:val="-2"/>
        </w:rPr>
        <w:t>set </w:t>
      </w:r>
      <w:r>
        <w:rPr>
          <w:spacing w:val="-3"/>
        </w:rPr>
        <w:t>of </w:t>
      </w:r>
      <w:r>
        <w:rPr/>
        <w:t>methods, used in policy-related research. Course topics, discussion, and materials will </w:t>
      </w:r>
      <w:r>
        <w:rPr>
          <w:spacing w:val="-3"/>
        </w:rPr>
        <w:t>be </w:t>
      </w:r>
      <w:r>
        <w:rPr/>
        <w:t>useful to health care students interested in understanding how health </w:t>
      </w:r>
      <w:r>
        <w:rPr>
          <w:spacing w:val="-3"/>
        </w:rPr>
        <w:t>services </w:t>
      </w:r>
      <w:r>
        <w:rPr/>
        <w:t>research addresses important population health and social issues. The goal </w:t>
      </w:r>
      <w:r>
        <w:rPr>
          <w:spacing w:val="-3"/>
        </w:rPr>
        <w:t>of </w:t>
      </w:r>
      <w:r>
        <w:rPr/>
        <w:t>the course is to develop a basic foundation </w:t>
      </w:r>
      <w:r>
        <w:rPr>
          <w:spacing w:val="-5"/>
        </w:rPr>
        <w:t>for </w:t>
      </w:r>
      <w:r>
        <w:rPr/>
        <w:t>understanding </w:t>
      </w:r>
      <w:r>
        <w:rPr>
          <w:spacing w:val="-3"/>
        </w:rPr>
        <w:t>of </w:t>
      </w:r>
      <w:r>
        <w:rPr/>
        <w:t>the practice and outcomes </w:t>
      </w:r>
      <w:r>
        <w:rPr>
          <w:spacing w:val="-3"/>
        </w:rPr>
        <w:t>of </w:t>
      </w:r>
      <w:r>
        <w:rPr/>
        <w:t>policy- related health services research. The course faculty is interdisciplinary and is experienced in conducting health services research applied to various clinical</w:t>
      </w:r>
      <w:r>
        <w:rPr>
          <w:spacing w:val="-7"/>
        </w:rPr>
        <w:t> </w:t>
      </w:r>
      <w:r>
        <w:rPr/>
        <w:t>populations.</w:t>
      </w:r>
    </w:p>
    <w:p>
      <w:pPr>
        <w:spacing w:after="0" w:line="249" w:lineRule="auto"/>
        <w:sectPr>
          <w:pgSz w:w="12240" w:h="15840"/>
          <w:pgMar w:header="746" w:footer="0" w:top="1320" w:bottom="280" w:left="880" w:right="300"/>
          <w:cols w:num="2" w:equalWidth="0">
            <w:col w:w="4998" w:space="489"/>
            <w:col w:w="5573"/>
          </w:cols>
        </w:sectPr>
      </w:pPr>
    </w:p>
    <w:p>
      <w:pPr>
        <w:pStyle w:val="Heading6"/>
        <w:spacing w:line="249" w:lineRule="auto" w:before="100"/>
        <w:ind w:right="440"/>
      </w:pPr>
      <w:r>
        <w:rPr/>
        <w:t>PREV 710 - CLINICAL AND TRANSLATIONAL RESEARCH PROJECT DESIGN AND IMPLEMENTATION (1 TO 2)</w:t>
      </w:r>
    </w:p>
    <w:p>
      <w:pPr>
        <w:pStyle w:val="BodyText"/>
        <w:spacing w:line="249" w:lineRule="auto" w:before="180"/>
        <w:ind w:left="199" w:right="44"/>
      </w:pPr>
      <w:r>
        <w:rPr/>
        <w:t>This course provides hands-on experience in clinical and/or translational research </w:t>
      </w:r>
      <w:r>
        <w:rPr>
          <w:spacing w:val="-3"/>
        </w:rPr>
        <w:t>project </w:t>
      </w:r>
      <w:r>
        <w:rPr/>
        <w:t>development and implementation. Students must have an idea </w:t>
      </w:r>
      <w:r>
        <w:rPr>
          <w:spacing w:val="-4"/>
        </w:rPr>
        <w:t>for </w:t>
      </w:r>
      <w:r>
        <w:rPr/>
        <w:t>a clinical </w:t>
      </w:r>
      <w:r>
        <w:rPr>
          <w:spacing w:val="-3"/>
        </w:rPr>
        <w:t>or </w:t>
      </w:r>
      <w:r>
        <w:rPr/>
        <w:t>translational research question involving human subjects at the beginning </w:t>
      </w:r>
      <w:r>
        <w:rPr>
          <w:spacing w:val="-3"/>
        </w:rPr>
        <w:t>of </w:t>
      </w:r>
      <w:r>
        <w:rPr/>
        <w:t>the course, and they will work </w:t>
      </w:r>
      <w:r>
        <w:rPr>
          <w:spacing w:val="-3"/>
        </w:rPr>
        <w:t>with </w:t>
      </w:r>
      <w:r>
        <w:rPr/>
        <w:t>a mentor outside </w:t>
      </w:r>
      <w:r>
        <w:rPr>
          <w:spacing w:val="-3"/>
        </w:rPr>
        <w:t>of </w:t>
      </w:r>
      <w:r>
        <w:rPr/>
        <w:t>the course </w:t>
      </w:r>
      <w:r>
        <w:rPr>
          <w:spacing w:val="-3"/>
        </w:rPr>
        <w:t>with </w:t>
      </w:r>
      <w:r>
        <w:rPr/>
        <w:t>content expertise </w:t>
      </w:r>
      <w:r>
        <w:rPr>
          <w:spacing w:val="-4"/>
        </w:rPr>
        <w:t>for </w:t>
      </w:r>
      <w:r>
        <w:rPr/>
        <w:t>the research question. The student?s research question </w:t>
      </w:r>
      <w:r>
        <w:rPr>
          <w:spacing w:val="-3"/>
        </w:rPr>
        <w:t>will </w:t>
      </w:r>
      <w:r>
        <w:rPr/>
        <w:t>ultimately be developed into a research </w:t>
      </w:r>
      <w:r>
        <w:rPr>
          <w:spacing w:val="-3"/>
        </w:rPr>
        <w:t>protocol </w:t>
      </w:r>
      <w:r>
        <w:rPr/>
        <w:t>and CICERO application. Prerequisites: PREV 600, PREV 616, and PREV</w:t>
      </w:r>
      <w:r>
        <w:rPr>
          <w:spacing w:val="2"/>
        </w:rPr>
        <w:t> </w:t>
      </w:r>
      <w:r>
        <w:rPr/>
        <w:t>633.</w:t>
      </w:r>
    </w:p>
    <w:p>
      <w:pPr>
        <w:pStyle w:val="Heading6"/>
        <w:spacing w:before="127"/>
        <w:ind w:left="199"/>
      </w:pPr>
      <w:r>
        <w:rPr/>
        <w:t>PREV 711 - GENETIC EPIDEMIOLOGY (3)</w:t>
      </w:r>
    </w:p>
    <w:p>
      <w:pPr>
        <w:pStyle w:val="BodyText"/>
        <w:spacing w:line="249" w:lineRule="auto" w:before="192"/>
        <w:ind w:left="199" w:right="95"/>
      </w:pPr>
      <w:r>
        <w:rPr/>
        <w:t>This course provides the student with an overview of basic methods in genetic epidemiology, with application to common complex diseases such as coronary heart disease, type-2 diabetes and obesity. The course will begin with a review of basic human genetics and then proceed to a description of methods used to dissect the genetic contribution to human disease and to map genes. Topics include: assessment of familial aggregation, heritability analysis, segregation and linkage analysis, genetic association studies, and linkage dis-equilibrium mapping. The course will involve a computer lab, and students are expected to complete a data analysis project using genetic analysis software and to write up their results as a course project. Prerequisites: PREV 600, PREV 619, PREV 620 or their equivalents, or consent of instructor. Background in basic human genetics helpful.</w:t>
      </w:r>
    </w:p>
    <w:p>
      <w:pPr>
        <w:pStyle w:val="Heading6"/>
        <w:spacing w:line="249" w:lineRule="auto" w:before="132"/>
        <w:ind w:left="199" w:right="808"/>
      </w:pPr>
      <w:r>
        <w:rPr/>
        <w:t>PREV 715 - INJURY EPIDEMIOLOGY AND PREVENTION (3)</w:t>
      </w:r>
    </w:p>
    <w:p>
      <w:pPr>
        <w:pStyle w:val="BodyText"/>
        <w:spacing w:line="249" w:lineRule="auto" w:before="179"/>
        <w:ind w:left="199" w:right="31"/>
      </w:pPr>
      <w:r>
        <w:rPr/>
        <w:t>This course helps students understand basic models of injury causation, principles of injury prevention and control, how to design epidemiologic studies of risk factors for injury and how to evaluate public health interventions designed to address the problem of injuries. Prerequisites: PREV 600 or PH 600, Principles of Epidemiology.</w:t>
      </w:r>
    </w:p>
    <w:p>
      <w:pPr>
        <w:pStyle w:val="Heading6"/>
        <w:spacing w:line="249" w:lineRule="auto" w:before="125"/>
        <w:ind w:left="199" w:right="174"/>
      </w:pPr>
      <w:r>
        <w:rPr/>
        <w:t>PREV 716 - CHRONIC DISEASE EPIDEMIOLOGY (3)</w:t>
      </w:r>
    </w:p>
    <w:p>
      <w:pPr>
        <w:pStyle w:val="BodyText"/>
        <w:spacing w:line="249" w:lineRule="auto" w:before="183"/>
        <w:ind w:left="199"/>
      </w:pPr>
      <w:r>
        <w:rPr/>
        <w:t>The purpose </w:t>
      </w:r>
      <w:r>
        <w:rPr>
          <w:spacing w:val="-3"/>
        </w:rPr>
        <w:t>of </w:t>
      </w:r>
      <w:r>
        <w:rPr/>
        <w:t>this course is to provide students </w:t>
      </w:r>
      <w:r>
        <w:rPr>
          <w:spacing w:val="-3"/>
        </w:rPr>
        <w:t>with </w:t>
      </w:r>
      <w:r>
        <w:rPr/>
        <w:t>an introduction to chronic disease epidemiology. Students are introduced to the application </w:t>
      </w:r>
      <w:r>
        <w:rPr>
          <w:spacing w:val="-3"/>
        </w:rPr>
        <w:t>of </w:t>
      </w:r>
      <w:r>
        <w:rPr/>
        <w:t>epidemiologic methods in the context </w:t>
      </w:r>
      <w:r>
        <w:rPr>
          <w:spacing w:val="-3"/>
        </w:rPr>
        <w:t>of </w:t>
      </w:r>
      <w:r>
        <w:rPr/>
        <w:t>major chronic diseases in order to</w:t>
      </w:r>
      <w:r>
        <w:rPr>
          <w:spacing w:val="-16"/>
        </w:rPr>
        <w:t> </w:t>
      </w:r>
      <w:r>
        <w:rPr/>
        <w:t>determine:</w:t>
      </w:r>
    </w:p>
    <w:p>
      <w:pPr>
        <w:pStyle w:val="BodyText"/>
        <w:spacing w:line="249" w:lineRule="auto" w:before="3"/>
        <w:ind w:left="199" w:right="46"/>
      </w:pPr>
      <w:r>
        <w:rPr/>
        <w:t>1) disease risk factors and determinants, 2) disease burden in a population and its sub-populations, 3) efficacy and effectiveness of prevention and treatment interventions, and 4) guidelines </w:t>
      </w:r>
      <w:r>
        <w:rPr>
          <w:spacing w:val="-4"/>
        </w:rPr>
        <w:t>for </w:t>
      </w:r>
      <w:r>
        <w:rPr/>
        <w:t>individual treatment and public</w:t>
      </w:r>
      <w:r>
        <w:rPr>
          <w:spacing w:val="-14"/>
        </w:rPr>
        <w:t> </w:t>
      </w:r>
      <w:r>
        <w:rPr/>
        <w:t>health</w:t>
      </w:r>
    </w:p>
    <w:p>
      <w:pPr>
        <w:pStyle w:val="BodyText"/>
        <w:spacing w:line="249" w:lineRule="auto" w:before="96"/>
        <w:ind w:left="199" w:right="632"/>
      </w:pPr>
      <w:r>
        <w:rPr/>
        <w:br w:type="column"/>
      </w:r>
      <w:r>
        <w:rPr/>
        <w:t>disease control. Students acquire the skills to interpret, evaluate, and design basic chronic disease epidemiology research projects; to locate and interpret chronic disease surveillance data; and to design public health programs </w:t>
      </w:r>
      <w:r>
        <w:rPr>
          <w:spacing w:val="-4"/>
        </w:rPr>
        <w:t>for </w:t>
      </w:r>
      <w:r>
        <w:rPr/>
        <w:t>chronic disease surveillance and control. Prerequisite: Must have completed an introductory epidemiology course (PREV 600), </w:t>
      </w:r>
      <w:r>
        <w:rPr>
          <w:spacing w:val="-3"/>
        </w:rPr>
        <w:t>or </w:t>
      </w:r>
      <w:r>
        <w:rPr/>
        <w:t>have a specific exception from instructor. Recommended: Completion </w:t>
      </w:r>
      <w:r>
        <w:rPr>
          <w:spacing w:val="-3"/>
        </w:rPr>
        <w:t>of </w:t>
      </w:r>
      <w:r>
        <w:rPr/>
        <w:t>an introductory biostatistics course</w:t>
      </w:r>
    </w:p>
    <w:p>
      <w:pPr>
        <w:pStyle w:val="Heading6"/>
        <w:spacing w:line="249" w:lineRule="auto" w:before="126"/>
        <w:ind w:left="199" w:right="1604"/>
      </w:pPr>
      <w:r>
        <w:rPr/>
        <w:t>PREV 720 - STATISTICAL METHODS IN EPIDEMIOLOGY (3)</w:t>
      </w:r>
    </w:p>
    <w:p>
      <w:pPr>
        <w:pStyle w:val="BodyText"/>
        <w:spacing w:line="249" w:lineRule="auto" w:before="179"/>
        <w:ind w:left="199" w:right="716"/>
      </w:pPr>
      <w:r>
        <w:rPr/>
        <w:t>This course provides instruction on the specific statistical techniques used in the analysis of epidemiological data. Topics include: treatment of stratified and matched data, detection of interaction, conditional and unconditional logistic regression, survival analysis, and proportional hazards models. Prerequisites: PREV 600, PREV 620 and consent of instructor.</w:t>
      </w:r>
    </w:p>
    <w:p>
      <w:pPr>
        <w:pStyle w:val="Heading6"/>
        <w:spacing w:before="126"/>
      </w:pPr>
      <w:r>
        <w:rPr/>
        <w:t>PREV 721 - REGRESSION ANALYSIS (2)</w:t>
      </w:r>
    </w:p>
    <w:p>
      <w:pPr>
        <w:pStyle w:val="BodyText"/>
        <w:spacing w:line="249" w:lineRule="auto" w:before="192"/>
        <w:ind w:right="636"/>
      </w:pPr>
      <w:r>
        <w:rPr/>
        <w:t>This course covers basic principles and theory of regression techniques. Topics include simple and multiple linear regression, robust regression, regression diagnostics, and logistic and Poisson regression analysis. The emphasis of this course is on learning the biomedical research application and interpretation of regression techniques.</w:t>
      </w:r>
    </w:p>
    <w:p>
      <w:pPr>
        <w:pStyle w:val="BodyText"/>
        <w:spacing w:line="249" w:lineRule="auto" w:before="4"/>
        <w:ind w:right="959"/>
      </w:pPr>
      <w:r>
        <w:rPr/>
        <w:t>Prerequisites: PREV 619 and PREV 720, or consent of instructor.</w:t>
      </w:r>
    </w:p>
    <w:p>
      <w:pPr>
        <w:pStyle w:val="Heading6"/>
        <w:spacing w:line="249" w:lineRule="auto" w:before="122"/>
        <w:ind w:right="1759"/>
      </w:pPr>
      <w:r>
        <w:rPr/>
        <w:t>PREV 722 - ADVANCED TOPICS IN PHARMACOEPIDEMIOLOGY (1 TO 3)</w:t>
      </w:r>
    </w:p>
    <w:p>
      <w:pPr>
        <w:pStyle w:val="BodyText"/>
        <w:spacing w:line="249" w:lineRule="auto" w:before="179"/>
        <w:ind w:right="631"/>
      </w:pPr>
      <w:r>
        <w:rPr/>
        <w:t>The purpose </w:t>
      </w:r>
      <w:r>
        <w:rPr>
          <w:spacing w:val="-3"/>
        </w:rPr>
        <w:t>of </w:t>
      </w:r>
      <w:r>
        <w:rPr/>
        <w:t>this course is to engage students in the techniques </w:t>
      </w:r>
      <w:r>
        <w:rPr>
          <w:spacing w:val="-3"/>
        </w:rPr>
        <w:t>of </w:t>
      </w:r>
      <w:r>
        <w:rPr/>
        <w:t>pharmacoepidemiology through case studies and </w:t>
      </w:r>
      <w:r>
        <w:rPr>
          <w:spacing w:val="-3"/>
        </w:rPr>
        <w:t>by </w:t>
      </w:r>
      <w:r>
        <w:rPr/>
        <w:t>working through an actual drug safety investigation. Drug safety will </w:t>
      </w:r>
      <w:r>
        <w:rPr>
          <w:spacing w:val="-3"/>
        </w:rPr>
        <w:t>be </w:t>
      </w:r>
      <w:r>
        <w:rPr/>
        <w:t>addressed in the context of science and the law through readings, debates, and discussions </w:t>
      </w:r>
      <w:r>
        <w:rPr>
          <w:spacing w:val="-3"/>
        </w:rPr>
        <w:t>with </w:t>
      </w:r>
      <w:r>
        <w:rPr/>
        <w:t>invited guests from the FDA, a pharmaceutical company/consulting </w:t>
      </w:r>
      <w:r>
        <w:rPr>
          <w:spacing w:val="-3"/>
        </w:rPr>
        <w:t>agency, </w:t>
      </w:r>
      <w:r>
        <w:rPr/>
        <w:t>and a law firm. Students will work together as an investigative team under the direction </w:t>
      </w:r>
      <w:r>
        <w:rPr>
          <w:spacing w:val="-3"/>
        </w:rPr>
        <w:t>of </w:t>
      </w:r>
      <w:r>
        <w:rPr/>
        <w:t>the instructor. Using the </w:t>
      </w:r>
      <w:r>
        <w:rPr>
          <w:spacing w:val="-3"/>
        </w:rPr>
        <w:t>Food </w:t>
      </w:r>
      <w:r>
        <w:rPr/>
        <w:t>and Drug Administration's Adverse Event Reporting System database and the medical literature, students will work up the epidemiological characteristics </w:t>
      </w:r>
      <w:r>
        <w:rPr>
          <w:spacing w:val="-3"/>
        </w:rPr>
        <w:t>of </w:t>
      </w:r>
      <w:r>
        <w:rPr/>
        <w:t>a drug safety signal. Based </w:t>
      </w:r>
      <w:r>
        <w:rPr>
          <w:spacing w:val="-3"/>
        </w:rPr>
        <w:t>on </w:t>
      </w:r>
      <w:r>
        <w:rPr/>
        <w:t>the characteristics </w:t>
      </w:r>
      <w:r>
        <w:rPr>
          <w:spacing w:val="-3"/>
        </w:rPr>
        <w:t>of </w:t>
      </w:r>
      <w:r>
        <w:rPr/>
        <w:t>the signal, the team will design a pharmacoepidemiological study to further evaluate the safety signal. Prerequisites: PREV 600, PREV 620, PREV 705/PHSR 704, </w:t>
      </w:r>
      <w:r>
        <w:rPr>
          <w:spacing w:val="-3"/>
        </w:rPr>
        <w:t>or </w:t>
      </w:r>
      <w:r>
        <w:rPr/>
        <w:t>permission </w:t>
      </w:r>
      <w:r>
        <w:rPr>
          <w:spacing w:val="-3"/>
        </w:rPr>
        <w:t>of </w:t>
      </w:r>
      <w:r>
        <w:rPr/>
        <w:t>the instructor.</w:t>
      </w:r>
    </w:p>
    <w:p>
      <w:pPr>
        <w:pStyle w:val="Heading6"/>
        <w:spacing w:before="132"/>
      </w:pPr>
      <w:r>
        <w:rPr/>
        <w:t>PREV 723 - SURVIVAL ANALYSIS (2)</w:t>
      </w:r>
    </w:p>
    <w:p>
      <w:pPr>
        <w:pStyle w:val="BodyText"/>
        <w:spacing w:line="249" w:lineRule="auto" w:before="192"/>
        <w:ind w:right="605"/>
      </w:pPr>
      <w:r>
        <w:rPr/>
        <w:t>This course examines methods of analysis for time to event data, including non-parametric methods, Kaplan-Meier</w:t>
      </w:r>
    </w:p>
    <w:p>
      <w:pPr>
        <w:spacing w:after="0" w:line="249" w:lineRule="auto"/>
        <w:sectPr>
          <w:pgSz w:w="12240" w:h="15840"/>
          <w:pgMar w:header="746" w:footer="0" w:top="1320" w:bottom="280" w:left="880" w:right="300"/>
          <w:cols w:num="2" w:equalWidth="0">
            <w:col w:w="5000" w:space="486"/>
            <w:col w:w="5574"/>
          </w:cols>
        </w:sectPr>
      </w:pPr>
    </w:p>
    <w:p>
      <w:pPr>
        <w:pStyle w:val="BodyText"/>
        <w:spacing w:line="249" w:lineRule="auto" w:before="100"/>
        <w:ind w:left="199" w:right="79"/>
      </w:pPr>
      <w:r>
        <w:rPr/>
        <w:t>analysis, log-rank and Wilcoxon tests, Cox proportional hazards models, time-dependent covariates, discrete time models, and parametric methods. Prerequisites: PREV 720 or consent of instructor.</w:t>
      </w:r>
    </w:p>
    <w:p>
      <w:pPr>
        <w:pStyle w:val="Heading6"/>
        <w:spacing w:line="249" w:lineRule="auto" w:before="123"/>
        <w:ind w:right="249"/>
      </w:pPr>
      <w:r>
        <w:rPr/>
        <w:t>PREV 747 - EPIDEMIOLOGY AND PREVENTIVE MEDICINE </w:t>
      </w:r>
      <w:r>
        <w:rPr>
          <w:spacing w:val="-3"/>
        </w:rPr>
        <w:t>RESEARCH </w:t>
      </w:r>
      <w:r>
        <w:rPr/>
        <w:t>PRACTICUM I</w:t>
      </w:r>
      <w:r>
        <w:rPr>
          <w:spacing w:val="11"/>
        </w:rPr>
        <w:t> </w:t>
      </w:r>
      <w:r>
        <w:rPr/>
        <w:t>(3)</w:t>
      </w:r>
    </w:p>
    <w:p>
      <w:pPr>
        <w:pStyle w:val="BodyText"/>
        <w:spacing w:line="249" w:lineRule="auto" w:before="179"/>
        <w:ind w:right="35"/>
      </w:pPr>
      <w:r>
        <w:rPr/>
        <w:t>This course provides guided experience in epidemiologic research </w:t>
      </w:r>
      <w:r>
        <w:rPr>
          <w:spacing w:val="-4"/>
        </w:rPr>
        <w:t>over </w:t>
      </w:r>
      <w:r>
        <w:rPr/>
        <w:t>two semesters. Students are expected to complete a data-based project that includes analysis of data and preparation </w:t>
      </w:r>
      <w:r>
        <w:rPr>
          <w:spacing w:val="-3"/>
        </w:rPr>
        <w:t>of </w:t>
      </w:r>
      <w:r>
        <w:rPr/>
        <w:t>manuscript-to-report</w:t>
      </w:r>
      <w:r>
        <w:rPr>
          <w:spacing w:val="2"/>
        </w:rPr>
        <w:t> </w:t>
      </w:r>
      <w:r>
        <w:rPr/>
        <w:t>findings.</w:t>
      </w:r>
    </w:p>
    <w:p>
      <w:pPr>
        <w:pStyle w:val="BodyText"/>
        <w:spacing w:line="249" w:lineRule="auto" w:before="3"/>
        <w:ind w:right="86"/>
      </w:pPr>
      <w:r>
        <w:rPr/>
        <w:t>Prerequisites: PREV 619, PREV 720 (or concurrent enrollment), and PREV 600 previously. Students must successfully complete PREV 747 in order to register for PREV 748.</w:t>
      </w:r>
    </w:p>
    <w:p>
      <w:pPr>
        <w:pStyle w:val="Heading6"/>
        <w:spacing w:line="249" w:lineRule="auto" w:before="123"/>
        <w:ind w:right="249"/>
      </w:pPr>
      <w:r>
        <w:rPr/>
        <w:t>PREV 748 - EPIDEMIOLOGY AND PREVENTIVE MEDICINE RESEARCH PRACTICUM II (2)</w:t>
      </w:r>
    </w:p>
    <w:p>
      <w:pPr>
        <w:pStyle w:val="BodyText"/>
        <w:spacing w:line="249" w:lineRule="auto" w:before="184"/>
        <w:ind w:right="35"/>
      </w:pPr>
      <w:r>
        <w:rPr/>
        <w:t>This course provides guided experience in epidemiologic research over two semesters. Students are expected to complete a data-based project that includes analysis of data and preparation of manuscript-to-report findings.</w:t>
      </w:r>
    </w:p>
    <w:p>
      <w:pPr>
        <w:pStyle w:val="BodyText"/>
        <w:spacing w:line="249" w:lineRule="auto" w:before="3"/>
        <w:ind w:right="86"/>
      </w:pPr>
      <w:r>
        <w:rPr/>
        <w:t>Prerequisites: PREV 619, PREV 720 (or concurrent enrollment), and PREV 600 previously. Students must successfully complete PREV 747 in order to register for PREV 748.</w:t>
      </w:r>
    </w:p>
    <w:p>
      <w:pPr>
        <w:pStyle w:val="Heading6"/>
        <w:spacing w:line="249" w:lineRule="auto" w:before="123"/>
        <w:ind w:right="205"/>
      </w:pPr>
      <w:r>
        <w:rPr/>
        <w:t>PREV 749 - INFECTIOUS DISEASE EPIDEMIOLOGY - A GLOBAL PERSPECTIVE (3)</w:t>
      </w:r>
    </w:p>
    <w:p>
      <w:pPr>
        <w:pStyle w:val="BodyText"/>
        <w:spacing w:line="249" w:lineRule="auto" w:before="179"/>
        <w:ind w:right="24"/>
      </w:pPr>
      <w:r>
        <w:rPr/>
        <w:t>This course is taught through lectures and discussions of case examples, including outbreak investigations, and assigned readings. Following an introduction to basic principles of infectious disease epidemiology, the topics will be covered according to mechanisms of transmission: contact and air-, vehicle- and vector-borne. Sessions will cover nosocomial infections and hospital infection control, and vaccines to prevent infectious diseases. Discussions also will address problems based on outbreak investigations. The students will prepare a presentation and a report on an infectious disease, and will take a short written exam and progressive review of an unknown infectious disease outbreak. The students are encouraged to attend other conferences and seminars with infectious disease epidemiology topics during the semester.</w:t>
      </w:r>
    </w:p>
    <w:p>
      <w:pPr>
        <w:pStyle w:val="BodyText"/>
        <w:spacing w:before="11"/>
      </w:pPr>
      <w:r>
        <w:rPr/>
        <w:t>Prerequisite: A basic knowledge of medical microbiology</w:t>
      </w:r>
    </w:p>
    <w:p>
      <w:pPr>
        <w:pStyle w:val="Heading6"/>
        <w:spacing w:line="249" w:lineRule="auto"/>
        <w:ind w:right="827"/>
      </w:pPr>
      <w:r>
        <w:rPr/>
        <w:t>PREV 758 - HEALTH SURVEY RESEARCH METHODS (3)</w:t>
      </w:r>
    </w:p>
    <w:p>
      <w:pPr>
        <w:pStyle w:val="BodyText"/>
        <w:spacing w:line="249" w:lineRule="auto" w:before="184"/>
        <w:ind w:right="57"/>
      </w:pPr>
      <w:r>
        <w:rPr/>
        <w:t>This course leads students through the steps in survey research from developing a survey questionnaire, to administering it and analyzing the data. The final results of the survey are presented in a paper. Prerequisites: PREV</w:t>
      </w:r>
    </w:p>
    <w:p>
      <w:pPr>
        <w:pStyle w:val="BodyText"/>
        <w:spacing w:before="96"/>
      </w:pPr>
      <w:r>
        <w:rPr/>
        <w:br w:type="column"/>
      </w:r>
      <w:r>
        <w:rPr/>
        <w:t>620 or consent of instructor.</w:t>
      </w:r>
    </w:p>
    <w:p>
      <w:pPr>
        <w:pStyle w:val="Heading6"/>
      </w:pPr>
      <w:r>
        <w:rPr/>
        <w:t>PREV 780 - MOLECULAR EPIDEMIOLOGY (3)</w:t>
      </w:r>
    </w:p>
    <w:p>
      <w:pPr>
        <w:pStyle w:val="BodyText"/>
        <w:spacing w:line="249" w:lineRule="auto" w:before="188"/>
        <w:ind w:right="704"/>
      </w:pPr>
      <w:r>
        <w:rPr/>
        <w:t>This course covers the theoretical framework of the discipline of molecular epidemiology, but focuses on the practical application of a basic knowledge of the field that will enable students to critically read the literature and to incorporate the techniques into epidemiological research. Students should have at least a limited background in biological sciences. Those with more advanced training also will find the course of interest. Prerequisite: A prior course in molecular biology.</w:t>
      </w:r>
    </w:p>
    <w:p>
      <w:pPr>
        <w:pStyle w:val="Heading6"/>
        <w:spacing w:line="249" w:lineRule="auto" w:before="126"/>
        <w:ind w:right="602"/>
      </w:pPr>
      <w:r>
        <w:rPr/>
        <w:t>PREV 789 - SPECIAL STUDIES AND RESEARCH IN PREVENTIVE MEDICINE (1 TO 6)</w:t>
      </w:r>
    </w:p>
    <w:p>
      <w:pPr>
        <w:pStyle w:val="BodyText"/>
        <w:spacing w:line="249" w:lineRule="auto" w:before="184"/>
        <w:ind w:right="603"/>
      </w:pPr>
      <w:r>
        <w:rPr/>
        <w:t>This individually-planned and closely-supervised course provides experience in the epidemiology of significant preventive medicine topics. Section 1.8, `Introduction to R for Statistical Analysis,? provides an introduction to the basic concepts of R for statistical analyses. Topics include data manipulation, describing data, graphing, finding probabilities, and assessing bivariate relations using R. The format of this course is online and consists of reading, Blackboard discussions, and homework exercises.</w:t>
      </w:r>
    </w:p>
    <w:p>
      <w:pPr>
        <w:pStyle w:val="BodyText"/>
        <w:spacing w:line="249" w:lineRule="auto" w:before="7"/>
        <w:ind w:right="1330"/>
      </w:pPr>
      <w:r>
        <w:rPr/>
        <w:t>Prerequisites to PREV 789: PREV 600 and 620 or equivalent.</w:t>
      </w:r>
    </w:p>
    <w:p>
      <w:pPr>
        <w:pStyle w:val="Heading6"/>
        <w:spacing w:before="121"/>
      </w:pPr>
      <w:r>
        <w:rPr/>
        <w:t>PREV 794 - CAUSAL INFERENCE (2)</w:t>
      </w:r>
    </w:p>
    <w:p>
      <w:pPr>
        <w:pStyle w:val="BodyText"/>
        <w:spacing w:line="249" w:lineRule="auto" w:before="188"/>
        <w:ind w:right="620"/>
      </w:pPr>
      <w:r>
        <w:rPr/>
        <w:t>This course covers issues relating to causal inferences ? that is, the study of methods and models used to understand what causes what in </w:t>
      </w:r>
      <w:r>
        <w:rPr>
          <w:spacing w:val="-4"/>
        </w:rPr>
        <w:t>our </w:t>
      </w:r>
      <w:r>
        <w:rPr/>
        <w:t>world. Different causal frameworks are explored and used to address problems relating to study design, confounding, modeling, validity and inference. Readings are assigned </w:t>
      </w:r>
      <w:r>
        <w:rPr>
          <w:spacing w:val="-3"/>
        </w:rPr>
        <w:t>each week, </w:t>
      </w:r>
      <w:r>
        <w:rPr/>
        <w:t>and students complete one midterm assignment and a final exam. The course is useful to all those designing and conducting clinical research. A background in foundational epidemiological methods and biostatistics is recommended.</w:t>
      </w:r>
    </w:p>
    <w:p>
      <w:pPr>
        <w:pStyle w:val="Heading6"/>
        <w:spacing w:line="249" w:lineRule="auto" w:before="128"/>
        <w:ind w:right="779"/>
      </w:pPr>
      <w:r>
        <w:rPr/>
        <w:t>PREV 799 - MASTER'S THESIS RESEARCH (1 TO 6)</w:t>
      </w:r>
    </w:p>
    <w:p>
      <w:pPr>
        <w:pStyle w:val="BodyText"/>
        <w:spacing w:line="249" w:lineRule="auto" w:before="184"/>
        <w:ind w:right="1043"/>
      </w:pPr>
      <w:r>
        <w:rPr/>
        <w:t>Required enrollment for students engaged in master?s thesis studies.</w:t>
      </w:r>
    </w:p>
    <w:p>
      <w:pPr>
        <w:pStyle w:val="Heading6"/>
        <w:spacing w:before="121"/>
      </w:pPr>
      <w:r>
        <w:rPr/>
        <w:t>PREV 801 - LONGITUDINAL DATA ANALYSIS (3)</w:t>
      </w:r>
    </w:p>
    <w:p>
      <w:pPr>
        <w:pStyle w:val="BodyText"/>
        <w:spacing w:line="249" w:lineRule="auto" w:before="188"/>
        <w:ind w:right="698"/>
        <w:jc w:val="both"/>
      </w:pPr>
      <w:r>
        <w:rPr/>
        <w:t>Analysis of longitudinal and clustered data includes topics in matrix algebra, longitudinal data analysis, marginal and mixed effects general linear models, residual analysis and diagnostics, generalized linear models, including marginal (GEE methods) and mixed effects models for repeated</w:t>
      </w:r>
    </w:p>
    <w:p>
      <w:pPr>
        <w:spacing w:after="0" w:line="249" w:lineRule="auto"/>
        <w:jc w:val="both"/>
        <w:sectPr>
          <w:pgSz w:w="12240" w:h="15840"/>
          <w:pgMar w:header="746" w:footer="0" w:top="1320" w:bottom="280" w:left="880" w:right="300"/>
          <w:cols w:num="2" w:equalWidth="0">
            <w:col w:w="4998" w:space="489"/>
            <w:col w:w="5573"/>
          </w:cols>
        </w:sectPr>
      </w:pPr>
    </w:p>
    <w:p>
      <w:pPr>
        <w:pStyle w:val="BodyText"/>
        <w:spacing w:line="249" w:lineRule="auto" w:before="100"/>
        <w:ind w:right="327"/>
      </w:pPr>
      <w:r>
        <w:rPr/>
        <w:t>measures and other clustered data. Prerequisites: PREV 620 and PREV 721 (PREV 721 may be taken concurrently).</w:t>
      </w:r>
    </w:p>
    <w:p>
      <w:pPr>
        <w:pStyle w:val="Heading6"/>
        <w:spacing w:line="249" w:lineRule="auto" w:before="122"/>
        <w:ind w:right="692"/>
      </w:pPr>
      <w:r>
        <w:rPr/>
        <w:t>PREV 802 - STATISTICS FOR MOLECULAR BIOLOGY (2)</w:t>
      </w:r>
    </w:p>
    <w:p>
      <w:pPr>
        <w:pStyle w:val="BodyText"/>
        <w:spacing w:line="249" w:lineRule="auto" w:before="179"/>
        <w:ind w:right="82"/>
      </w:pPr>
      <w:r>
        <w:rPr/>
        <w:t>Three topics are covered in this course: statistical design and analysis of experiments; DNA or protein sequence alignment; and analysis of gene expression data from microarray experiments. Prerequisites: PREV 720 and 721 or permission of instructor.</w:t>
      </w:r>
    </w:p>
    <w:p>
      <w:pPr>
        <w:pStyle w:val="Heading6"/>
        <w:spacing w:line="249" w:lineRule="auto" w:before="124"/>
        <w:ind w:right="1320"/>
      </w:pPr>
      <w:r>
        <w:rPr/>
        <w:t>PREV 803 - CLINICAL TRIALS AND EXPERIMENTAL EPIDMIOLOGY (3)</w:t>
      </w:r>
    </w:p>
    <w:p>
      <w:pPr>
        <w:pStyle w:val="BodyText"/>
        <w:spacing w:line="249" w:lineRule="auto" w:before="184"/>
        <w:ind w:right="72"/>
      </w:pPr>
      <w:r>
        <w:rPr/>
        <w:t>This course presents a rigorous overview of the experimental method as applied in therapeutic evaluations, and demonstrates causal associations between risk factors and clinical outcomes. The history of the experimental method and its clinical applications are studied in detail.</w:t>
      </w:r>
    </w:p>
    <w:p>
      <w:pPr>
        <w:pStyle w:val="BodyText"/>
        <w:spacing w:line="249" w:lineRule="auto" w:before="3"/>
        <w:ind w:right="77"/>
      </w:pPr>
      <w:r>
        <w:rPr/>
        <w:t>Guest speakers of unique expertise and experience in clinical trials also are drawn upon. Prerequisites: PREV 600 or equivalent and at least one semester of biostatistics.</w:t>
      </w:r>
    </w:p>
    <w:p>
      <w:pPr>
        <w:pStyle w:val="Heading6"/>
        <w:spacing w:before="123"/>
      </w:pPr>
      <w:r>
        <w:rPr/>
        <w:t>PREV 808 - TOPICS IN EPIDEMIOLOGY (1 TO 3)</w:t>
      </w:r>
    </w:p>
    <w:p>
      <w:pPr>
        <w:pStyle w:val="BodyText"/>
        <w:spacing w:line="249" w:lineRule="auto" w:before="187"/>
        <w:ind w:right="60"/>
      </w:pPr>
      <w:r>
        <w:rPr/>
        <w:t>This is an individual program of study undertaken with faculty supervision in one or more substantive areas of epidemiology. Through assigned reading and critical discussion, the student becomes knowledgeable in a specialized area of epidemiology, with particular emphasis on recent advances. Preparation of a critical review of the literature suitable for publication is required. Prerequisites: Instructor consent.</w:t>
      </w:r>
    </w:p>
    <w:p>
      <w:pPr>
        <w:pStyle w:val="Heading6"/>
        <w:spacing w:before="126"/>
      </w:pPr>
      <w:r>
        <w:rPr/>
        <w:t>PREV 898 - PRE-CANDIDACY RESEARCH (1 TO 8)</w:t>
      </w:r>
    </w:p>
    <w:p>
      <w:pPr>
        <w:pStyle w:val="BodyText"/>
        <w:spacing w:line="249" w:lineRule="auto" w:before="193"/>
      </w:pPr>
      <w:r>
        <w:rPr/>
        <w:t>Required enrollment for students engaged in doctoral dissertation studies prior to their admission to candidacy.</w:t>
      </w:r>
    </w:p>
    <w:p>
      <w:pPr>
        <w:pStyle w:val="Heading6"/>
        <w:spacing w:line="249" w:lineRule="auto" w:before="121"/>
        <w:ind w:right="997"/>
      </w:pPr>
      <w:r>
        <w:rPr/>
        <w:t>PREV 899 - DOCTORAL DISSERTATION RESEARCH (1 TO 12)</w:t>
      </w:r>
    </w:p>
    <w:p>
      <w:pPr>
        <w:pStyle w:val="BodyText"/>
        <w:spacing w:line="249" w:lineRule="auto" w:before="179"/>
        <w:ind w:right="510"/>
      </w:pPr>
      <w:r>
        <w:rPr/>
        <w:t>Required enrollment for students engaged in doctoral dissertation studies.</w:t>
      </w:r>
    </w:p>
    <w:p>
      <w:pPr>
        <w:pStyle w:val="Heading2"/>
        <w:spacing w:before="190"/>
      </w:pPr>
      <w:bookmarkStart w:name="PTRS" w:id="145"/>
      <w:bookmarkEnd w:id="145"/>
      <w:r>
        <w:rPr/>
      </w:r>
      <w:bookmarkStart w:name="_bookmark72" w:id="146"/>
      <w:bookmarkEnd w:id="146"/>
      <w:r>
        <w:rPr/>
      </w:r>
      <w:r>
        <w:rPr/>
        <w:t>PTRS</w:t>
      </w:r>
    </w:p>
    <w:p>
      <w:pPr>
        <w:pStyle w:val="Heading6"/>
        <w:spacing w:line="249" w:lineRule="auto" w:before="128"/>
        <w:ind w:right="730"/>
      </w:pPr>
      <w:r>
        <w:rPr/>
        <w:t>PTRS 688 - SPECIAL TOPICS IN PHYSICAL REHABILITATION SCIENCE (1 TO 3)</w:t>
      </w:r>
    </w:p>
    <w:p>
      <w:pPr>
        <w:pStyle w:val="BodyText"/>
        <w:spacing w:line="249" w:lineRule="auto" w:before="184"/>
        <w:ind w:right="21"/>
      </w:pPr>
      <w:r>
        <w:rPr/>
        <w:t>Special topic listings are graduate level special interest courses developed by faculty members of the PhD program in physical rehabilitation science. Topics regularly include Foundations of Rehabilitation Science (FRS) I and II, which cover literature on contemporary issues and research</w:t>
      </w:r>
    </w:p>
    <w:p>
      <w:pPr>
        <w:pStyle w:val="BodyText"/>
        <w:spacing w:line="249" w:lineRule="auto" w:before="99"/>
        <w:ind w:right="716"/>
      </w:pPr>
      <w:r>
        <w:rPr/>
        <w:br w:type="column"/>
      </w:r>
      <w:r>
        <w:rPr/>
        <w:t>methods pertaining to key topics in the field of movement and rehabilitation science. Theoretical, biological, physical, behavioral, and computational approaches to understanding the control of movement in the context of rehabilitation are explored. Applications are made to the analysis of common disorders of movement control that impair function and to contemporary therapeutic approaches used in rehabilitation. Topics include stroke, spinal cord injury, Parkinson?s disease and movement</w:t>
      </w:r>
    </w:p>
    <w:p>
      <w:pPr>
        <w:pStyle w:val="Heading6"/>
        <w:spacing w:line="249" w:lineRule="auto" w:before="127"/>
        <w:ind w:right="647"/>
      </w:pPr>
      <w:r>
        <w:rPr/>
        <w:t>PTRS 702 - GRADUATE SEMINAR IN TEACHING I (1)</w:t>
      </w:r>
    </w:p>
    <w:p>
      <w:pPr>
        <w:pStyle w:val="BodyText"/>
        <w:spacing w:line="249" w:lineRule="auto" w:before="179"/>
        <w:ind w:right="589"/>
      </w:pPr>
      <w:r>
        <w:rPr/>
        <w:t>This course covers learning theories and relevant teaching methods for the adult learner. Laboratory experiences are attached to a physical therapy course taught concurrently to this course. Students act as teaching assistants in that course, which revolves around a three-hour weekly experience as a laboratory assistant. They are filmed while teaching a short section of a lab, then evaluate themselves. The students keep an ongoing information sheet about their experiences as a laboratory assistant. Permission from the program director or instructor is necessary to enroll in this course.</w:t>
      </w:r>
    </w:p>
    <w:p>
      <w:pPr>
        <w:pStyle w:val="Heading6"/>
        <w:spacing w:line="249" w:lineRule="auto" w:before="128"/>
        <w:ind w:right="775"/>
      </w:pPr>
      <w:r>
        <w:rPr/>
        <w:t>PTRS 703 - GRADUATE SEMINAR IN TEACHING II (1)</w:t>
      </w:r>
    </w:p>
    <w:p>
      <w:pPr>
        <w:pStyle w:val="BodyText"/>
        <w:spacing w:line="249" w:lineRule="auto" w:before="184"/>
        <w:ind w:right="632"/>
      </w:pPr>
      <w:r>
        <w:rPr/>
        <w:t>This course covers assessment techniques and curriculum construction. Students participate in the teaching of labs to the MPT professional students and are involved in creating assessment tools for these students. In addition, they must give one or two lectures to these students and lead some laboratory sessions. They also construct and justify a curriculum for physical therapy students. Prerequisite: PTRS 702</w:t>
      </w:r>
    </w:p>
    <w:p>
      <w:pPr>
        <w:pStyle w:val="Heading6"/>
        <w:spacing w:before="126"/>
      </w:pPr>
      <w:r>
        <w:rPr/>
        <w:t>PTRS 709 - REHABILITATION BIOMECHANICS (1</w:t>
      </w:r>
    </w:p>
    <w:p>
      <w:pPr>
        <w:pStyle w:val="Heading6"/>
        <w:spacing w:before="10"/>
      </w:pPr>
      <w:r>
        <w:rPr/>
        <w:t>TO 3)</w:t>
      </w:r>
    </w:p>
    <w:p>
      <w:pPr>
        <w:pStyle w:val="BodyText"/>
        <w:spacing w:line="249" w:lineRule="auto" w:before="187"/>
        <w:ind w:right="594"/>
      </w:pPr>
      <w:r>
        <w:rPr/>
        <w:t>This course covers theoretical applications of the principles of biomechanics, Kinematics, Kinetics, and transarticular forces and moments.</w:t>
      </w:r>
    </w:p>
    <w:p>
      <w:pPr>
        <w:pStyle w:val="Heading6"/>
        <w:spacing w:before="123"/>
      </w:pPr>
      <w:r>
        <w:rPr/>
        <w:t>PTRS 712 - MOTOR BEHAVIOR (2)</w:t>
      </w:r>
    </w:p>
    <w:p>
      <w:pPr>
        <w:pStyle w:val="BodyText"/>
        <w:spacing w:line="249" w:lineRule="auto" w:before="192"/>
        <w:ind w:right="708"/>
      </w:pPr>
      <w:r>
        <w:rPr/>
        <w:t>This course covers fundamental concepts of motor behavior as related to the physical rehabilitation science curriculum and provides exposure to the research-based subdiscipline of motor behavior. The course also covers the major theories of motor development and control with a description of changes in motor skill behavior across the life-span and the accompanying changes in growth and aging.</w:t>
      </w:r>
    </w:p>
    <w:p>
      <w:pPr>
        <w:spacing w:after="0" w:line="249" w:lineRule="auto"/>
        <w:sectPr>
          <w:pgSz w:w="12240" w:h="15840"/>
          <w:pgMar w:header="746" w:footer="0" w:top="1320" w:bottom="280" w:left="880" w:right="300"/>
          <w:cols w:num="2" w:equalWidth="0">
            <w:col w:w="4996" w:space="490"/>
            <w:col w:w="5574"/>
          </w:cols>
        </w:sectPr>
      </w:pPr>
    </w:p>
    <w:p>
      <w:pPr>
        <w:pStyle w:val="Heading6"/>
        <w:spacing w:line="249" w:lineRule="auto" w:before="100"/>
        <w:ind w:right="68"/>
      </w:pPr>
      <w:r>
        <w:rPr/>
        <w:t>PTRS 718 - APPLIED HUMAN ANATOMY, TRUNK (3)</w:t>
      </w:r>
    </w:p>
    <w:p>
      <w:pPr>
        <w:pStyle w:val="BodyText"/>
        <w:spacing w:line="249" w:lineRule="auto" w:before="179"/>
        <w:ind w:right="68"/>
      </w:pPr>
      <w:r>
        <w:rPr/>
        <w:t>Students attend lectures and laboratory sessions required by the current Human Anatomy course PTAB 400 and concerning the trunk. This course covers the body from head to toe, including the musculoskeletal, nervous, integumentary, cardiovascular, and gastrointestinal systems. Emphasis is on the applied/ functional anatomy. In addition, students dissect the human body, submit an anatomical literature review paper on a topic of interest, lecture on one region, and assist in the laboratory.</w:t>
      </w:r>
    </w:p>
    <w:p>
      <w:pPr>
        <w:pStyle w:val="BodyText"/>
        <w:spacing w:line="249" w:lineRule="auto" w:before="6"/>
        <w:ind w:right="492"/>
      </w:pPr>
      <w:r>
        <w:rPr/>
        <w:t>Permission from the program director or instructor is necessary to enroll in this course.</w:t>
      </w:r>
    </w:p>
    <w:p>
      <w:pPr>
        <w:pStyle w:val="Heading6"/>
        <w:spacing w:line="249" w:lineRule="auto" w:before="122"/>
        <w:ind w:left="199" w:right="125"/>
      </w:pPr>
      <w:r>
        <w:rPr/>
        <w:t>PTRS 719 - APPLIED HUMAN ANATOMY, UPPER EXTREMITY (3)</w:t>
      </w:r>
    </w:p>
    <w:p>
      <w:pPr>
        <w:pStyle w:val="BodyText"/>
        <w:spacing w:line="249" w:lineRule="auto" w:before="184"/>
        <w:ind w:left="199" w:right="176"/>
      </w:pPr>
      <w:r>
        <w:rPr/>
        <w:t>Students attend lectures and laboratory sessions required by the current Human Anatomy course PTAB 400 and concerning the upper extremity. This course covers the body from head to toe, including the musculoskeletal, nervous, integumentary, cardiovascular, and gastrointestinal systems. Emphasis is on the applied/functional anatomy. In addition, students dissect the human body, submit an anatomical literature review paper on a topic of interest, lecture on one region, and assist in the laboratory. Permission from the program director or instructor is necessary to enroll in this course.</w:t>
      </w:r>
    </w:p>
    <w:p>
      <w:pPr>
        <w:pStyle w:val="Heading6"/>
        <w:spacing w:line="249" w:lineRule="auto" w:before="128"/>
        <w:ind w:left="199" w:right="25"/>
      </w:pPr>
      <w:r>
        <w:rPr/>
        <w:t>PTRS 720 - APPLIED HUMAN ANATOMY, LOWER EXTREMITY (3)</w:t>
      </w:r>
    </w:p>
    <w:p>
      <w:pPr>
        <w:pStyle w:val="BodyText"/>
        <w:spacing w:line="249" w:lineRule="auto" w:before="179"/>
        <w:ind w:left="199" w:right="138"/>
      </w:pPr>
      <w:r>
        <w:rPr/>
        <w:t>Students attend lectures and laboratory sessions required by the current Human Anatomy course PTAB 400. They cover the body from head to toe, including the musculoskeletal, nervous, integumentary, cardiovascular, and gastrointestinal systems. Emphasis is on the applied/functional anatomy. In addition, students dissect the human body, submit an anatomical literature review paper on a topic of interest, lecture on one region, and assist in the laboratory. Permission from the program director or instructor is necessary to enroll in this course.</w:t>
      </w:r>
    </w:p>
    <w:p>
      <w:pPr>
        <w:pStyle w:val="Heading6"/>
        <w:spacing w:line="249" w:lineRule="auto" w:before="127"/>
        <w:ind w:right="823"/>
      </w:pPr>
      <w:r>
        <w:rPr/>
        <w:t>PTRS 780 - CENTRAL NERVOUS SYSTEM PLASTICITY (2)</w:t>
      </w:r>
    </w:p>
    <w:p>
      <w:pPr>
        <w:pStyle w:val="BodyText"/>
        <w:spacing w:line="249" w:lineRule="auto" w:before="184"/>
        <w:ind w:right="147"/>
      </w:pPr>
      <w:r>
        <w:rPr/>
        <w:t>This course explores published experimental evidence characterizing plasticity during the development of the nervous system, normal neuronal and glial functions, and the mechanisms underlying recovery of neurological function following central or peripheral nerve injuries.</w:t>
      </w:r>
    </w:p>
    <w:p>
      <w:pPr>
        <w:pStyle w:val="BodyText"/>
        <w:spacing w:line="249" w:lineRule="auto" w:before="4"/>
        <w:ind w:right="327"/>
        <w:jc w:val="both"/>
      </w:pPr>
      <w:r>
        <w:rPr/>
        <w:t>Students read and discuss classic original literature and formulate theoretical constructs for the role of physical rehabilitation interventions designed to promote or</w:t>
      </w:r>
    </w:p>
    <w:p>
      <w:pPr>
        <w:pStyle w:val="BodyText"/>
        <w:spacing w:line="249" w:lineRule="auto" w:before="96"/>
        <w:ind w:right="655"/>
      </w:pPr>
      <w:r>
        <w:rPr/>
        <w:br w:type="column"/>
      </w:r>
      <w:r>
        <w:rPr/>
        <w:t>simplify plasticity within the nervous system. Lecture and discussion topics include a historical overview of regeneration and plasticity research, collateral sprouting, denervation super-sensitivity, synaptic redundancy, axonal regeneration, synaptogenesis, competitive interactions, behavioral substitution, and critical periods. Prerequisites: basic neuroscience course</w:t>
      </w:r>
    </w:p>
    <w:p>
      <w:pPr>
        <w:pStyle w:val="Heading6"/>
        <w:spacing w:line="249" w:lineRule="auto" w:before="125"/>
        <w:ind w:right="1270"/>
      </w:pPr>
      <w:r>
        <w:rPr/>
        <w:t>PTRS 788 - SEMINAR IN REHABILITATION SCIENCE (1)</w:t>
      </w:r>
    </w:p>
    <w:p>
      <w:pPr>
        <w:pStyle w:val="BodyText"/>
        <w:spacing w:line="249" w:lineRule="auto" w:before="179"/>
        <w:ind w:right="616"/>
      </w:pPr>
      <w:r>
        <w:rPr/>
        <w:t>The seminar meets each week with PhD students, postdoctoral fellows, and guest speakers presenting current research interests and findings. First-year students lead discussions of relevant research articles under the guidance of faculty members who have research interests in the particular area of discussion. Students later present results of projects in which they are involved, again under faculty guidance. Students in the PhD program must register for the seminar for at least four terms.</w:t>
      </w:r>
    </w:p>
    <w:p>
      <w:pPr>
        <w:pStyle w:val="Heading6"/>
        <w:spacing w:before="127"/>
      </w:pPr>
      <w:r>
        <w:rPr/>
        <w:t>PTRS 798 - INDEPENDENT STUDY (1 TO 3)</w:t>
      </w:r>
    </w:p>
    <w:p>
      <w:pPr>
        <w:pStyle w:val="BodyText"/>
        <w:spacing w:line="249" w:lineRule="auto" w:before="192"/>
        <w:ind w:right="593"/>
      </w:pPr>
      <w:r>
        <w:rPr/>
        <w:t>Under the supervision of a faculty advisor, students pursue independent study of a topic, research involvement, or independent project development related to the practice of physical therapy. The student and advisor select the course format with a contractual agreement that they sign before course registration. Topic areas commonly include: Rehabilitation Biomechanics, Motor Behavior, or Plasticity in the Central Nervous System. Permission from the program director or instructor is necessary to enroll in this course.</w:t>
      </w:r>
    </w:p>
    <w:p>
      <w:pPr>
        <w:pStyle w:val="Heading6"/>
        <w:spacing w:before="127"/>
      </w:pPr>
      <w:r>
        <w:rPr/>
        <w:t>PTRS 898 - PRE-CANDIDACY RESEARCH (1 TO 8)</w:t>
      </w:r>
    </w:p>
    <w:p>
      <w:pPr>
        <w:pStyle w:val="BodyText"/>
        <w:spacing w:line="249" w:lineRule="auto" w:before="188"/>
        <w:ind w:right="712"/>
      </w:pPr>
      <w:r>
        <w:rPr/>
        <w:t>Required enrollment for students engaged in doctoral dissertation studies prior to their admission to candidacy.</w:t>
      </w:r>
    </w:p>
    <w:p>
      <w:pPr>
        <w:pStyle w:val="Heading6"/>
        <w:spacing w:line="249" w:lineRule="auto" w:before="122"/>
        <w:ind w:right="1608"/>
      </w:pPr>
      <w:r>
        <w:rPr/>
        <w:t>PTRS 899 - DOCTORAL DISSERTATION RESEARCH (1 TO 12)</w:t>
      </w:r>
    </w:p>
    <w:p>
      <w:pPr>
        <w:pStyle w:val="BodyText"/>
        <w:spacing w:line="249" w:lineRule="auto" w:before="183"/>
        <w:ind w:right="1088"/>
      </w:pPr>
      <w:r>
        <w:rPr/>
        <w:t>Required enrollment for students engaged in doctoral dissertation studies.</w:t>
      </w:r>
    </w:p>
    <w:p>
      <w:pPr>
        <w:pStyle w:val="Heading2"/>
        <w:spacing w:before="194"/>
      </w:pPr>
      <w:bookmarkStart w:name="REGS" w:id="147"/>
      <w:bookmarkEnd w:id="147"/>
      <w:r>
        <w:rPr/>
      </w:r>
      <w:bookmarkStart w:name="_bookmark73" w:id="148"/>
      <w:bookmarkEnd w:id="148"/>
      <w:r>
        <w:rPr/>
      </w:r>
      <w:r>
        <w:rPr/>
        <w:t>REGS</w:t>
      </w:r>
    </w:p>
    <w:p>
      <w:pPr>
        <w:pStyle w:val="Heading6"/>
        <w:spacing w:line="249" w:lineRule="auto" w:before="128"/>
        <w:ind w:right="1209"/>
      </w:pPr>
      <w:r>
        <w:rPr/>
        <w:t>REGS 603 - DRUG, BIOLOGIC, AND DEVICE REGULATION (6)</w:t>
      </w:r>
    </w:p>
    <w:p>
      <w:pPr>
        <w:pStyle w:val="BodyText"/>
        <w:spacing w:line="249" w:lineRule="auto" w:before="179"/>
        <w:ind w:right="633"/>
      </w:pPr>
      <w:r>
        <w:rPr/>
        <w:t>This online course is designed to orient students of diverse professional backgrounds to several practical elements that underpin drug, biologic, and device regulation in the US and around the world. It provides the core for the curriculum and is a pre-requisite for all other courses.</w:t>
      </w:r>
    </w:p>
    <w:p>
      <w:pPr>
        <w:pStyle w:val="BodyText"/>
        <w:spacing w:before="4"/>
      </w:pPr>
      <w:r>
        <w:rPr/>
        <w:t>Elements that are explored are the legal framework for</w:t>
      </w:r>
    </w:p>
    <w:p>
      <w:pPr>
        <w:spacing w:after="0"/>
        <w:sectPr>
          <w:pgSz w:w="12240" w:h="15840"/>
          <w:pgMar w:header="746" w:footer="0" w:top="1320" w:bottom="280" w:left="880" w:right="300"/>
          <w:cols w:num="2" w:equalWidth="0">
            <w:col w:w="4950" w:space="536"/>
            <w:col w:w="5574"/>
          </w:cols>
        </w:sectPr>
      </w:pPr>
    </w:p>
    <w:p>
      <w:pPr>
        <w:pStyle w:val="BodyText"/>
        <w:spacing w:line="249" w:lineRule="auto" w:before="100"/>
        <w:ind w:right="93"/>
      </w:pPr>
      <w:r>
        <w:rPr/>
        <w:t>drug regulation, including events that have shaped today's framework; ethical issues in drug/biologic/device development and drug/biologic/device use; global regulatory guidance approaches; types of communications with Food and Drug Administration (FDA), including Investigational New Drug (IND) application, New Drug Application (NDA), and Abbreviated New Drug Application (ANDA) requirements, and 510(k) clearance and Premarket Approvals / Biologics Licensing Applications (PMA/BLA) approval requirements; chemistry, manufacturing, and control (CMC) issues; and post-marketing topics.</w:t>
      </w:r>
    </w:p>
    <w:p>
      <w:pPr>
        <w:pStyle w:val="Heading6"/>
        <w:spacing w:before="129"/>
      </w:pPr>
      <w:r>
        <w:rPr/>
        <w:t>REGS 614 - DRUG DISCOVERY (6)</w:t>
      </w:r>
    </w:p>
    <w:p>
      <w:pPr>
        <w:pStyle w:val="BodyText"/>
        <w:spacing w:line="249" w:lineRule="auto" w:before="187"/>
        <w:ind w:right="22"/>
      </w:pPr>
      <w:r>
        <w:rPr/>
        <w:t>Pharmaceutical sciences are fundamental to the discovery of new medicines and impact the clinical success in treating disease. This online course is designed to orient students from diverse professional backgrounds on the basics of drug/biologics discovery, drug/biologics chemistry and functional groups, medicinal chemistry approaches to optimizing drug action, principles of pharmacology, biological and target considerations in drug and biologics design, issues of drug resistance, and how drugs and biologics are metabolized and eliminated from the body.</w:t>
      </w:r>
    </w:p>
    <w:p>
      <w:pPr>
        <w:pStyle w:val="Heading6"/>
        <w:spacing w:before="128"/>
      </w:pPr>
      <w:r>
        <w:rPr/>
        <w:t>REGS 621 - CLINICAL RESEARCH (6)</w:t>
      </w:r>
    </w:p>
    <w:p>
      <w:pPr>
        <w:pStyle w:val="BodyText"/>
        <w:spacing w:line="249" w:lineRule="auto" w:before="193"/>
        <w:ind w:right="37"/>
      </w:pPr>
      <w:r>
        <w:rPr/>
        <w:t>Well-designed clinical research is essential in the development process of a medication or device and in generation of the knowledge base for evidence-based medicine and health policy. This online course is designed to uncover the ingredients of clinical research and to orient students of several important issues with current clinical studies. The students will learn how to design and implement different clinical studies. The role of each clinical phase in drug/device development and their various study designs and regulatory issues will be explored. The course will also discuss the Principles of International Conference on Harmonization (ICH) Good Clinical Practice (GCP) Guidelines and how to successfully manage clinical trials. Additionally, knowledge of personalized medicine and behavioral/social issues in drug use will be taught.</w:t>
      </w:r>
    </w:p>
    <w:p>
      <w:pPr>
        <w:pStyle w:val="Heading6"/>
        <w:spacing w:line="249" w:lineRule="auto" w:before="131"/>
        <w:ind w:right="1409"/>
      </w:pPr>
      <w:r>
        <w:rPr/>
        <w:t>REGS 631 - DRUG AND BIOLOGICS DEVELOPMENT (6)</w:t>
      </w:r>
    </w:p>
    <w:p>
      <w:pPr>
        <w:pStyle w:val="BodyText"/>
        <w:spacing w:line="249" w:lineRule="auto" w:before="179"/>
        <w:ind w:right="67"/>
      </w:pPr>
      <w:r>
        <w:rPr/>
        <w:t>Drug candidates and active pharmaceutical ingredients (API's) need to be successfully delivered and must exhibit acceptable toxicology. This course follows drug discovery and examines key aspects of drug development, including drug formulation and quality, stability testing, pharmacokinetic characterization, bioequivalence,</w:t>
      </w:r>
    </w:p>
    <w:p>
      <w:pPr>
        <w:pStyle w:val="BodyText"/>
        <w:spacing w:line="249" w:lineRule="auto" w:before="96"/>
        <w:ind w:right="869"/>
        <w:jc w:val="both"/>
      </w:pPr>
      <w:r>
        <w:rPr/>
        <w:br w:type="column"/>
      </w:r>
      <w:r>
        <w:rPr/>
        <w:t>preclinical toxicology, methods of bioanalysis, and non- clinical and clinical Good Laboratory Practices (GLPs). Aspects of biologics are also discussed.</w:t>
      </w:r>
    </w:p>
    <w:p>
      <w:pPr>
        <w:pStyle w:val="Heading6"/>
        <w:spacing w:line="249" w:lineRule="auto" w:before="122"/>
        <w:ind w:right="1131"/>
      </w:pPr>
      <w:r>
        <w:rPr/>
        <w:t>REGS 641 - REGULATED PRODUCTS IN THE MARKETPLACE (6)</w:t>
      </w:r>
    </w:p>
    <w:p>
      <w:pPr>
        <w:pStyle w:val="BodyText"/>
        <w:spacing w:line="249" w:lineRule="auto" w:before="179"/>
        <w:ind w:right="621"/>
      </w:pPr>
      <w:r>
        <w:rPr/>
        <w:t>FDA approval </w:t>
      </w:r>
      <w:r>
        <w:rPr>
          <w:spacing w:val="-4"/>
        </w:rPr>
        <w:t>for </w:t>
      </w:r>
      <w:r>
        <w:rPr/>
        <w:t>the marketing </w:t>
      </w:r>
      <w:r>
        <w:rPr>
          <w:spacing w:val="-3"/>
        </w:rPr>
        <w:t>of </w:t>
      </w:r>
      <w:r>
        <w:rPr/>
        <w:t>the drug </w:t>
      </w:r>
      <w:r>
        <w:rPr>
          <w:spacing w:val="-5"/>
        </w:rPr>
        <w:t>or </w:t>
      </w:r>
      <w:r>
        <w:rPr>
          <w:spacing w:val="-3"/>
        </w:rPr>
        <w:t>other </w:t>
      </w:r>
      <w:r>
        <w:rPr/>
        <w:t>regulated product (e.g., biologics, vaccines, medical devices, laboratory tests) is a major milestone in a product's lifecycle. But it doesn't stop there. Once </w:t>
      </w:r>
      <w:r>
        <w:rPr>
          <w:spacing w:val="-3"/>
        </w:rPr>
        <w:t>on </w:t>
      </w:r>
      <w:r>
        <w:rPr/>
        <w:t>the market, how a drug is used and by whom, entry of competing products into the marketplace, and changes in medical care can change the benefit-risk balance. This course covers the breadth </w:t>
      </w:r>
      <w:r>
        <w:rPr>
          <w:spacing w:val="-3"/>
        </w:rPr>
        <w:t>of </w:t>
      </w:r>
      <w:r>
        <w:rPr/>
        <w:t>clinical research and surveillance activities take place in the post-approval phase of a regulated medical product's </w:t>
      </w:r>
      <w:r>
        <w:rPr>
          <w:spacing w:val="-3"/>
        </w:rPr>
        <w:t>lifecycle. </w:t>
      </w:r>
      <w:r>
        <w:rPr/>
        <w:t>This includes pharmacovigilance and risk management activities, pharmacoepidemiology, pharmacoeconomics, comparative effectiveness, and drug utilization research. The course is designed to prepare students to communicate across the pre-/post-marketing divide, evaluate the need </w:t>
      </w:r>
      <w:r>
        <w:rPr>
          <w:spacing w:val="-4"/>
        </w:rPr>
        <w:t>for </w:t>
      </w:r>
      <w:r>
        <w:rPr/>
        <w:t>post- marketing studies, and to </w:t>
      </w:r>
      <w:r>
        <w:rPr>
          <w:spacing w:val="-3"/>
        </w:rPr>
        <w:t>be </w:t>
      </w:r>
      <w:r>
        <w:rPr/>
        <w:t>able to critically interpret and apply the results </w:t>
      </w:r>
      <w:r>
        <w:rPr>
          <w:spacing w:val="-3"/>
        </w:rPr>
        <w:t>of </w:t>
      </w:r>
      <w:r>
        <w:rPr/>
        <w:t>such</w:t>
      </w:r>
      <w:r>
        <w:rPr>
          <w:spacing w:val="-9"/>
        </w:rPr>
        <w:t> </w:t>
      </w:r>
      <w:r>
        <w:rPr/>
        <w:t>studies.</w:t>
      </w:r>
    </w:p>
    <w:p>
      <w:pPr>
        <w:pStyle w:val="BodyText"/>
        <w:spacing w:before="8"/>
        <w:ind w:left="0"/>
        <w:rPr>
          <w:sz w:val="17"/>
        </w:rPr>
      </w:pPr>
    </w:p>
    <w:p>
      <w:pPr>
        <w:pStyle w:val="Heading2"/>
      </w:pPr>
      <w:bookmarkStart w:name="SOWK -" w:id="149"/>
      <w:bookmarkEnd w:id="149"/>
      <w:r>
        <w:rPr/>
      </w:r>
      <w:bookmarkStart w:name="_bookmark74" w:id="150"/>
      <w:bookmarkEnd w:id="150"/>
      <w:r>
        <w:rPr/>
      </w:r>
      <w:r>
        <w:rPr/>
        <w:t>SOWK -</w:t>
      </w:r>
    </w:p>
    <w:p>
      <w:pPr>
        <w:pStyle w:val="Heading6"/>
        <w:spacing w:before="129"/>
      </w:pPr>
      <w:r>
        <w:rPr/>
        <w:t>SOWK 600 - (3)</w:t>
      </w:r>
    </w:p>
    <w:p>
      <w:pPr>
        <w:pStyle w:val="BodyText"/>
        <w:spacing w:line="249" w:lineRule="auto" w:before="192"/>
        <w:ind w:right="624"/>
      </w:pPr>
      <w:r>
        <w:rPr/>
        <w:t>This course provides students with a foundation understanding and appraisal </w:t>
      </w:r>
      <w:r>
        <w:rPr>
          <w:spacing w:val="-3"/>
        </w:rPr>
        <w:t>of </w:t>
      </w:r>
      <w:r>
        <w:rPr/>
        <w:t>social welfare policies and programs in the United </w:t>
      </w:r>
      <w:r>
        <w:rPr>
          <w:spacing w:val="-3"/>
        </w:rPr>
        <w:t>States, </w:t>
      </w:r>
      <w:r>
        <w:rPr/>
        <w:t>and the historical and contemporary forces that have shaped </w:t>
      </w:r>
      <w:r>
        <w:rPr>
          <w:spacing w:val="-3"/>
        </w:rPr>
        <w:t>their </w:t>
      </w:r>
      <w:r>
        <w:rPr/>
        <w:t>development. </w:t>
      </w:r>
      <w:r>
        <w:rPr>
          <w:spacing w:val="-3"/>
        </w:rPr>
        <w:t>It </w:t>
      </w:r>
      <w:r>
        <w:rPr/>
        <w:t>introduces core concepts to provide </w:t>
      </w:r>
      <w:r>
        <w:rPr>
          <w:spacing w:val="-3"/>
        </w:rPr>
        <w:t>both </w:t>
      </w:r>
      <w:r>
        <w:rPr/>
        <w:t>an understanding of the political </w:t>
      </w:r>
      <w:r>
        <w:rPr>
          <w:spacing w:val="-3"/>
        </w:rPr>
        <w:t>process </w:t>
      </w:r>
      <w:r>
        <w:rPr/>
        <w:t>and the analytic skills needed to further the achievement </w:t>
      </w:r>
      <w:r>
        <w:rPr>
          <w:spacing w:val="-3"/>
        </w:rPr>
        <w:t>of </w:t>
      </w:r>
      <w:r>
        <w:rPr/>
        <w:t>social work goals regarding social policies and programs. The course also reviews the development </w:t>
      </w:r>
      <w:r>
        <w:rPr>
          <w:spacing w:val="-3"/>
        </w:rPr>
        <w:t>of </w:t>
      </w:r>
      <w:r>
        <w:rPr/>
        <w:t>the social work profession and its influence </w:t>
      </w:r>
      <w:r>
        <w:rPr>
          <w:spacing w:val="-3"/>
        </w:rPr>
        <w:t>on </w:t>
      </w:r>
      <w:r>
        <w:rPr/>
        <w:t>social welfare policies through </w:t>
      </w:r>
      <w:r>
        <w:rPr>
          <w:spacing w:val="-3"/>
        </w:rPr>
        <w:t>advocacy, </w:t>
      </w:r>
      <w:r>
        <w:rPr/>
        <w:t>social action, research, and social</w:t>
      </w:r>
      <w:r>
        <w:rPr>
          <w:spacing w:val="-10"/>
        </w:rPr>
        <w:t> </w:t>
      </w:r>
      <w:r>
        <w:rPr/>
        <w:t>reform.</w:t>
      </w:r>
    </w:p>
    <w:p>
      <w:pPr>
        <w:pStyle w:val="BodyText"/>
      </w:pPr>
      <w:r>
        <w:rPr/>
        <w:t>Offered: 202002.</w:t>
      </w:r>
    </w:p>
    <w:p>
      <w:pPr>
        <w:pStyle w:val="Heading6"/>
        <w:spacing w:before="131"/>
      </w:pPr>
      <w:r>
        <w:rPr/>
        <w:t>SOWK 630 - (3)</w:t>
      </w:r>
    </w:p>
    <w:p>
      <w:pPr>
        <w:pStyle w:val="BodyText"/>
        <w:spacing w:line="249" w:lineRule="auto" w:before="192"/>
        <w:ind w:right="700"/>
      </w:pPr>
      <w:r>
        <w:rPr/>
        <w:t>The values and societal mission of the social work profession guide this course. An ecological systems perspective and generic problem-solving model are taught to provide students with theory, knowledge, and a value base for purposeful, culturally competent, and sequential intervention with individuals of diverse backgrounds.</w:t>
      </w:r>
    </w:p>
    <w:p>
      <w:pPr>
        <w:pStyle w:val="BodyText"/>
        <w:spacing w:line="249" w:lineRule="auto" w:before="4"/>
        <w:ind w:right="783"/>
      </w:pPr>
      <w:r>
        <w:rPr/>
        <w:t>Generalist skills taught in this course are interviewing, problem identification, problem-exploration, formulating the problem-to-be worked, data gathering, differential assessment, planning, intervention, termination, and</w:t>
      </w:r>
    </w:p>
    <w:p>
      <w:pPr>
        <w:spacing w:after="0" w:line="249" w:lineRule="auto"/>
        <w:sectPr>
          <w:headerReference w:type="default" r:id="rId106"/>
          <w:headerReference w:type="even" r:id="rId107"/>
          <w:pgSz w:w="12240" w:h="15840"/>
          <w:pgMar w:header="746" w:footer="0" w:top="1320" w:bottom="280" w:left="880" w:right="300"/>
          <w:cols w:num="2" w:equalWidth="0">
            <w:col w:w="4958" w:space="528"/>
            <w:col w:w="5574"/>
          </w:cols>
        </w:sectPr>
      </w:pPr>
    </w:p>
    <w:p>
      <w:pPr>
        <w:pStyle w:val="BodyText"/>
        <w:spacing w:line="249" w:lineRule="auto" w:before="100"/>
        <w:ind w:left="199" w:right="249"/>
      </w:pPr>
      <w:r>
        <w:rPr/>
        <w:t>evaluation. Initial exposure to finding evidence-based practices for our work with individuals, families and groups will be introduced. Self-awareness and conscious use of self are emphasized. Self-care will also be discussed. Classroom learning is enhanced through the systematic use of the students' experiences in work with individuals in their field placements. (Co-requisites: SOWK 631 and SOWK 635)</w:t>
      </w:r>
    </w:p>
    <w:p>
      <w:pPr>
        <w:pStyle w:val="BodyText"/>
        <w:spacing w:before="183"/>
      </w:pPr>
      <w:r>
        <w:rPr/>
        <w:t>Offered: 202002.</w:t>
      </w:r>
    </w:p>
    <w:p>
      <w:pPr>
        <w:pStyle w:val="Heading6"/>
      </w:pPr>
      <w:r>
        <w:rPr/>
        <w:t>SOWK 631 - (3)</w:t>
      </w:r>
    </w:p>
    <w:p>
      <w:pPr>
        <w:pStyle w:val="BodyText"/>
        <w:spacing w:line="249" w:lineRule="auto" w:before="193"/>
        <w:ind w:right="98"/>
      </w:pPr>
      <w:r>
        <w:rPr/>
        <w:t>SOWK 631 is a required foundation year course stressing beginning skills and knowledge for practice within social service organizations, networks, and communities, i.e., the contexts in which all social work practice occurs.</w:t>
      </w:r>
    </w:p>
    <w:p>
      <w:pPr>
        <w:pStyle w:val="BodyText"/>
        <w:spacing w:line="249" w:lineRule="auto" w:before="2"/>
        <w:ind w:right="87"/>
      </w:pPr>
      <w:r>
        <w:rPr/>
        <w:t>Understanding and intervening in the environment are skills consonant with the ecological or social determinants perspective that provides focus for the foundation curriculum. This course stresses that social, economic, and political systems are important sources of individual and familial distress. In order to intervene in this distress, it is essential to craft interventions on the macro-social (communities and organizations) as well as the micro- social (individuals and families) levels. In the course, we will also explore the nature and dynamics of diverse communities and social service networks.(Co-requisites: SOWK 630 and SOWK 635)</w:t>
      </w:r>
    </w:p>
    <w:p>
      <w:pPr>
        <w:pStyle w:val="BodyText"/>
        <w:spacing w:before="187"/>
      </w:pPr>
      <w:r>
        <w:rPr/>
        <w:t>Offered: 202002.</w:t>
      </w:r>
    </w:p>
    <w:p>
      <w:pPr>
        <w:pStyle w:val="Heading6"/>
      </w:pPr>
      <w:r>
        <w:rPr/>
        <w:t>SOWK 632 - (3)</w:t>
      </w:r>
    </w:p>
    <w:p>
      <w:pPr>
        <w:pStyle w:val="BodyText"/>
        <w:spacing w:line="249" w:lineRule="auto" w:before="192"/>
        <w:ind w:right="177"/>
      </w:pPr>
      <w:r>
        <w:rPr/>
        <w:t>This course is designed for foundation students to learn about dynamics and basic procedures for direct practice with groups and families. The course first presents an ecological perspective on groups in clinical and organizational settings, explores group typologies, formation, composition, and development, and teaches concepts of group structure and process. The course then furnishes a foundation on social work practice with families, with emphasis on family structure and dynamics as well as beginning techniques for intervention with families.(Prerequisites: SOWK 630, 631 and SOWK 635; Co-requisite: SOWK 636 )</w:t>
      </w:r>
    </w:p>
    <w:p>
      <w:pPr>
        <w:pStyle w:val="BodyText"/>
        <w:spacing w:before="187"/>
      </w:pPr>
      <w:r>
        <w:rPr/>
        <w:t>Offered: 202002.</w:t>
      </w:r>
    </w:p>
    <w:p>
      <w:pPr>
        <w:pStyle w:val="Heading6"/>
      </w:pPr>
      <w:r>
        <w:rPr/>
        <w:t>SOWK 635 - (3)</w:t>
      </w:r>
    </w:p>
    <w:p>
      <w:pPr>
        <w:pStyle w:val="BodyText"/>
        <w:spacing w:line="249" w:lineRule="auto" w:before="192"/>
        <w:ind w:right="38"/>
      </w:pPr>
      <w:r>
        <w:rPr/>
        <w:t>The Field Practicum is the signature pedagogy of the MSW program. </w:t>
      </w:r>
      <w:r>
        <w:rPr>
          <w:spacing w:val="-3"/>
        </w:rPr>
        <w:t>It </w:t>
      </w:r>
      <w:r>
        <w:rPr/>
        <w:t>provides the framework </w:t>
      </w:r>
      <w:r>
        <w:rPr>
          <w:spacing w:val="-4"/>
        </w:rPr>
        <w:t>for </w:t>
      </w:r>
      <w:r>
        <w:rPr/>
        <w:t>knowledge and skill development through immediate application </w:t>
      </w:r>
      <w:r>
        <w:rPr>
          <w:spacing w:val="-3"/>
        </w:rPr>
        <w:t>of </w:t>
      </w:r>
      <w:r>
        <w:rPr/>
        <w:t>theoretical knowledge presented in the </w:t>
      </w:r>
      <w:r>
        <w:rPr>
          <w:spacing w:val="-3"/>
        </w:rPr>
        <w:t>classroom </w:t>
      </w:r>
      <w:r>
        <w:rPr/>
        <w:t>to real situations presented by individuals, groups </w:t>
      </w:r>
      <w:r>
        <w:rPr>
          <w:spacing w:val="-3"/>
        </w:rPr>
        <w:t>or</w:t>
      </w:r>
      <w:r>
        <w:rPr>
          <w:spacing w:val="-6"/>
        </w:rPr>
        <w:t> </w:t>
      </w:r>
      <w:r>
        <w:rPr/>
        <w:t>service</w:t>
      </w:r>
    </w:p>
    <w:p>
      <w:pPr>
        <w:pStyle w:val="BodyText"/>
        <w:spacing w:line="249" w:lineRule="auto" w:before="96"/>
        <w:ind w:right="625"/>
      </w:pPr>
      <w:r>
        <w:rPr/>
        <w:br w:type="column"/>
      </w:r>
      <w:r>
        <w:rPr/>
        <w:t>delivery systems. The practicum helps students learn to shape human services in </w:t>
      </w:r>
      <w:r>
        <w:rPr>
          <w:spacing w:val="-3"/>
        </w:rPr>
        <w:t>ways </w:t>
      </w:r>
      <w:r>
        <w:rPr/>
        <w:t>that respond to broad social welfare needs and issues through various forms </w:t>
      </w:r>
      <w:r>
        <w:rPr>
          <w:spacing w:val="-5"/>
        </w:rPr>
        <w:t>of </w:t>
      </w:r>
      <w:r>
        <w:rPr/>
        <w:t>intervention. Attention is directed to what is currently known and practiced, to the preparation </w:t>
      </w:r>
      <w:r>
        <w:rPr>
          <w:spacing w:val="-3"/>
        </w:rPr>
        <w:t>of </w:t>
      </w:r>
      <w:r>
        <w:rPr/>
        <w:t>students </w:t>
      </w:r>
      <w:r>
        <w:rPr>
          <w:spacing w:val="-4"/>
        </w:rPr>
        <w:t>for </w:t>
      </w:r>
      <w:r>
        <w:rPr/>
        <w:t>change in the knowledge base and organization </w:t>
      </w:r>
      <w:r>
        <w:rPr>
          <w:spacing w:val="-3"/>
        </w:rPr>
        <w:t>of </w:t>
      </w:r>
      <w:r>
        <w:rPr/>
        <w:t>services, and </w:t>
      </w:r>
      <w:r>
        <w:rPr>
          <w:spacing w:val="-4"/>
        </w:rPr>
        <w:t>for </w:t>
      </w:r>
      <w:r>
        <w:rPr/>
        <w:t>reflection </w:t>
      </w:r>
      <w:r>
        <w:rPr>
          <w:spacing w:val="-5"/>
        </w:rPr>
        <w:t>on </w:t>
      </w:r>
      <w:r>
        <w:rPr/>
        <w:t>the practice curriculum. Students should have knowledge </w:t>
      </w:r>
      <w:r>
        <w:rPr>
          <w:spacing w:val="-4"/>
        </w:rPr>
        <w:t>of, </w:t>
      </w:r>
      <w:r>
        <w:rPr/>
        <w:t>and an opportunity to develop competence in, service delivery that reflects their understanding </w:t>
      </w:r>
      <w:r>
        <w:rPr>
          <w:spacing w:val="-3"/>
        </w:rPr>
        <w:t>of </w:t>
      </w:r>
      <w:r>
        <w:rPr/>
        <w:t>the particular needs </w:t>
      </w:r>
      <w:r>
        <w:rPr>
          <w:spacing w:val="-3"/>
        </w:rPr>
        <w:t>of </w:t>
      </w:r>
      <w:r>
        <w:rPr/>
        <w:t>minorities, women, and people </w:t>
      </w:r>
      <w:r>
        <w:rPr>
          <w:spacing w:val="-3"/>
        </w:rPr>
        <w:t>of </w:t>
      </w:r>
      <w:r>
        <w:rPr/>
        <w:t>various ethnic backgrounds. The practicum aims to integrate the entire Foundation Curriculum. The practicum teaches a common core </w:t>
      </w:r>
      <w:r>
        <w:rPr>
          <w:spacing w:val="-3"/>
        </w:rPr>
        <w:t>of </w:t>
      </w:r>
      <w:r>
        <w:rPr/>
        <w:t>knowledge and principles </w:t>
      </w:r>
      <w:r>
        <w:rPr>
          <w:spacing w:val="-3"/>
        </w:rPr>
        <w:t>of </w:t>
      </w:r>
      <w:r>
        <w:rPr/>
        <w:t>social work practice in which students are guided by the values and ethics </w:t>
      </w:r>
      <w:r>
        <w:rPr>
          <w:spacing w:val="-3"/>
        </w:rPr>
        <w:t>of </w:t>
      </w:r>
      <w:r>
        <w:rPr/>
        <w:t>the profession. (Co-requisites: SOWK 630 and SOWK</w:t>
      </w:r>
      <w:r>
        <w:rPr>
          <w:spacing w:val="-10"/>
        </w:rPr>
        <w:t> </w:t>
      </w:r>
      <w:r>
        <w:rPr/>
        <w:t>631)</w:t>
      </w:r>
    </w:p>
    <w:p>
      <w:pPr>
        <w:pStyle w:val="BodyText"/>
        <w:spacing w:before="189"/>
      </w:pPr>
      <w:r>
        <w:rPr/>
        <w:t>Offered: 202002.</w:t>
      </w:r>
    </w:p>
    <w:p>
      <w:pPr>
        <w:pStyle w:val="Heading6"/>
      </w:pPr>
      <w:r>
        <w:rPr/>
        <w:t>SOWK 636 - (3)</w:t>
      </w:r>
    </w:p>
    <w:p>
      <w:pPr>
        <w:pStyle w:val="BodyText"/>
        <w:spacing w:line="249" w:lineRule="auto" w:before="193"/>
        <w:ind w:right="606"/>
      </w:pPr>
      <w:r>
        <w:rPr/>
        <w:t>The Field Practicum is the signature pedagogy of the MSW program. </w:t>
      </w:r>
      <w:r>
        <w:rPr>
          <w:spacing w:val="-3"/>
        </w:rPr>
        <w:t>It </w:t>
      </w:r>
      <w:r>
        <w:rPr/>
        <w:t>provides the framework </w:t>
      </w:r>
      <w:r>
        <w:rPr>
          <w:spacing w:val="-4"/>
        </w:rPr>
        <w:t>for </w:t>
      </w:r>
      <w:r>
        <w:rPr/>
        <w:t>knowledge and skill development through immediate application </w:t>
      </w:r>
      <w:r>
        <w:rPr>
          <w:spacing w:val="-3"/>
        </w:rPr>
        <w:t>of </w:t>
      </w:r>
      <w:r>
        <w:rPr/>
        <w:t>theoretical knowledge presented in the </w:t>
      </w:r>
      <w:r>
        <w:rPr>
          <w:spacing w:val="-3"/>
        </w:rPr>
        <w:t>classroom </w:t>
      </w:r>
      <w:r>
        <w:rPr/>
        <w:t>to real situations presented by individuals, groups </w:t>
      </w:r>
      <w:r>
        <w:rPr>
          <w:spacing w:val="-3"/>
        </w:rPr>
        <w:t>or </w:t>
      </w:r>
      <w:r>
        <w:rPr/>
        <w:t>service delivery systems. The practicum helps students learn to shape human services in </w:t>
      </w:r>
      <w:r>
        <w:rPr>
          <w:spacing w:val="-3"/>
        </w:rPr>
        <w:t>ways </w:t>
      </w:r>
      <w:r>
        <w:rPr/>
        <w:t>that respond to broad social welfare needs and issues through various forms </w:t>
      </w:r>
      <w:r>
        <w:rPr>
          <w:spacing w:val="-5"/>
        </w:rPr>
        <w:t>of </w:t>
      </w:r>
      <w:r>
        <w:rPr/>
        <w:t>intervention. Attention is directed to what is currently known and practiced, to the preparation </w:t>
      </w:r>
      <w:r>
        <w:rPr>
          <w:spacing w:val="-3"/>
        </w:rPr>
        <w:t>of </w:t>
      </w:r>
      <w:r>
        <w:rPr/>
        <w:t>students </w:t>
      </w:r>
      <w:r>
        <w:rPr>
          <w:spacing w:val="-4"/>
        </w:rPr>
        <w:t>for </w:t>
      </w:r>
      <w:r>
        <w:rPr/>
        <w:t>change in the knowledge base and organization </w:t>
      </w:r>
      <w:r>
        <w:rPr>
          <w:spacing w:val="-3"/>
        </w:rPr>
        <w:t>of </w:t>
      </w:r>
      <w:r>
        <w:rPr/>
        <w:t>services, and </w:t>
      </w:r>
      <w:r>
        <w:rPr>
          <w:spacing w:val="-4"/>
        </w:rPr>
        <w:t>for </w:t>
      </w:r>
      <w:r>
        <w:rPr/>
        <w:t>reflection </w:t>
      </w:r>
      <w:r>
        <w:rPr>
          <w:spacing w:val="-5"/>
        </w:rPr>
        <w:t>on </w:t>
      </w:r>
      <w:r>
        <w:rPr/>
        <w:t>the practice curriculum. Students should have knowledge </w:t>
      </w:r>
      <w:r>
        <w:rPr>
          <w:spacing w:val="-4"/>
        </w:rPr>
        <w:t>of, </w:t>
      </w:r>
      <w:r>
        <w:rPr/>
        <w:t>and an opportunity to develop competence in, service delivery that reflects their understanding </w:t>
      </w:r>
      <w:r>
        <w:rPr>
          <w:spacing w:val="-3"/>
        </w:rPr>
        <w:t>of </w:t>
      </w:r>
      <w:r>
        <w:rPr/>
        <w:t>the particular needs </w:t>
      </w:r>
      <w:r>
        <w:rPr>
          <w:spacing w:val="-3"/>
        </w:rPr>
        <w:t>of </w:t>
      </w:r>
      <w:r>
        <w:rPr/>
        <w:t>minorities,  women, and people </w:t>
      </w:r>
      <w:r>
        <w:rPr>
          <w:spacing w:val="-3"/>
        </w:rPr>
        <w:t>of </w:t>
      </w:r>
      <w:r>
        <w:rPr/>
        <w:t>various ethnic backgrounds. The practicum aims to integrate the entire Foundation Curriculum. The practicum teaches a common core </w:t>
      </w:r>
      <w:r>
        <w:rPr>
          <w:spacing w:val="-3"/>
        </w:rPr>
        <w:t>of </w:t>
      </w:r>
      <w:r>
        <w:rPr/>
        <w:t>knowledge and principles </w:t>
      </w:r>
      <w:r>
        <w:rPr>
          <w:spacing w:val="-3"/>
        </w:rPr>
        <w:t>of </w:t>
      </w:r>
      <w:r>
        <w:rPr/>
        <w:t>social work practice in which students are guided by the values and ethics </w:t>
      </w:r>
      <w:r>
        <w:rPr>
          <w:spacing w:val="-3"/>
        </w:rPr>
        <w:t>of </w:t>
      </w:r>
      <w:r>
        <w:rPr/>
        <w:t>the profession.(Prerequisites: SOWK 630, 631 and</w:t>
      </w:r>
      <w:r>
        <w:rPr>
          <w:spacing w:val="-4"/>
        </w:rPr>
        <w:t> </w:t>
      </w:r>
      <w:r>
        <w:rPr/>
        <w:t>SOWK</w:t>
      </w:r>
    </w:p>
    <w:p>
      <w:pPr>
        <w:pStyle w:val="BodyText"/>
        <w:spacing w:before="15"/>
      </w:pPr>
      <w:r>
        <w:rPr/>
        <w:t>635; Co-requisite: SOWK 632 )</w:t>
      </w:r>
    </w:p>
    <w:p>
      <w:pPr>
        <w:pStyle w:val="BodyText"/>
        <w:spacing w:before="187"/>
      </w:pPr>
      <w:r>
        <w:rPr/>
        <w:t>Offered: 202002.</w:t>
      </w:r>
    </w:p>
    <w:p>
      <w:pPr>
        <w:pStyle w:val="Heading6"/>
      </w:pPr>
      <w:r>
        <w:rPr/>
        <w:t>SOWK 645 - (3)</w:t>
      </w:r>
    </w:p>
    <w:p>
      <w:pPr>
        <w:pStyle w:val="BodyText"/>
        <w:spacing w:line="249" w:lineRule="auto" w:before="193"/>
        <w:ind w:right="618"/>
      </w:pPr>
      <w:r>
        <w:rPr/>
        <w:t>Within the person/environment framework, this course will provide a foundation for social work practice through an understanding of the major theories of individual and family functioning that encompasses biophysical, cognitive, emotional, social and spiritual dimensions.</w:t>
      </w:r>
    </w:p>
    <w:p>
      <w:pPr>
        <w:pStyle w:val="BodyText"/>
        <w:spacing w:line="249" w:lineRule="auto" w:before="3"/>
        <w:ind w:right="721"/>
      </w:pPr>
      <w:r>
        <w:rPr/>
        <w:t>Specific attention will be paid to the roles that culture and cultural identity play in human development and to what</w:t>
      </w:r>
    </w:p>
    <w:p>
      <w:pPr>
        <w:spacing w:after="0" w:line="249" w:lineRule="auto"/>
        <w:sectPr>
          <w:pgSz w:w="12240" w:h="15840"/>
          <w:pgMar w:header="746" w:footer="0" w:top="1320" w:bottom="280" w:left="880" w:right="300"/>
          <w:cols w:num="2" w:equalWidth="0">
            <w:col w:w="5006" w:space="481"/>
            <w:col w:w="5573"/>
          </w:cols>
        </w:sectPr>
      </w:pPr>
    </w:p>
    <w:p>
      <w:pPr>
        <w:pStyle w:val="BodyText"/>
        <w:spacing w:line="249" w:lineRule="auto" w:before="100"/>
        <w:ind w:right="40"/>
      </w:pPr>
      <w:r>
        <w:rPr/>
        <w:t>constitutes ?normal? behavior. Students will master the central concepts of theories that provide the basis for many assessment and intervention tools used in social work practice with individuals, families, groups, communities, and organizations. Students will also master relevant concepts of genetics and neurobiology to facilitate understanding of human functioning at the biological level. The course emphasizes the interrelations among social institutions, social structures, and social processes on the one hand, and the realities of the lives of families, groups, communities, organizations and societies, on the other.</w:t>
      </w:r>
    </w:p>
    <w:p>
      <w:pPr>
        <w:pStyle w:val="BodyText"/>
        <w:spacing w:line="249" w:lineRule="auto" w:before="8"/>
        <w:ind w:right="23"/>
      </w:pPr>
      <w:r>
        <w:rPr/>
        <w:t>Another major emphasis of the course is on human diversity, both in terms of its inherent social value and with respect to discrimination and oppression.</w:t>
      </w:r>
    </w:p>
    <w:p>
      <w:pPr>
        <w:pStyle w:val="BodyText"/>
        <w:spacing w:before="179"/>
      </w:pPr>
      <w:r>
        <w:rPr/>
        <w:t>Offered: 202002.</w:t>
      </w:r>
    </w:p>
    <w:p>
      <w:pPr>
        <w:pStyle w:val="Heading6"/>
        <w:spacing w:before="131"/>
      </w:pPr>
      <w:r>
        <w:rPr/>
        <w:t>SOWK 670 - (3)</w:t>
      </w:r>
    </w:p>
    <w:p>
      <w:pPr>
        <w:pStyle w:val="BodyText"/>
        <w:spacing w:line="249" w:lineRule="auto" w:before="192"/>
        <w:ind w:right="95"/>
      </w:pPr>
      <w:r>
        <w:rPr/>
        <w:t>As </w:t>
      </w:r>
      <w:r>
        <w:rPr>
          <w:spacing w:val="-3"/>
        </w:rPr>
        <w:t>both </w:t>
      </w:r>
      <w:r>
        <w:rPr/>
        <w:t>consumers and producers </w:t>
      </w:r>
      <w:r>
        <w:rPr>
          <w:spacing w:val="-3"/>
        </w:rPr>
        <w:t>of </w:t>
      </w:r>
      <w:r>
        <w:rPr/>
        <w:t>research, social workers need to understand core research concepts. This course provides a solid foundation in social work research, with a special emphasis </w:t>
      </w:r>
      <w:r>
        <w:rPr>
          <w:spacing w:val="-3"/>
        </w:rPr>
        <w:t>on </w:t>
      </w:r>
      <w:r>
        <w:rPr/>
        <w:t>evidence-based practice. </w:t>
      </w:r>
      <w:r>
        <w:rPr>
          <w:spacing w:val="-3"/>
        </w:rPr>
        <w:t>It will </w:t>
      </w:r>
      <w:r>
        <w:rPr/>
        <w:t>prepare </w:t>
      </w:r>
      <w:r>
        <w:rPr>
          <w:spacing w:val="-4"/>
        </w:rPr>
        <w:t>you </w:t>
      </w:r>
      <w:r>
        <w:rPr/>
        <w:t>to evaluate critically the </w:t>
      </w:r>
      <w:r>
        <w:rPr>
          <w:spacing w:val="-2"/>
        </w:rPr>
        <w:t>wealth </w:t>
      </w:r>
      <w:r>
        <w:rPr>
          <w:spacing w:val="-3"/>
        </w:rPr>
        <w:t>of </w:t>
      </w:r>
      <w:r>
        <w:rPr/>
        <w:t>research and evidence available to inform </w:t>
      </w:r>
      <w:r>
        <w:rPr>
          <w:spacing w:val="-3"/>
        </w:rPr>
        <w:t>your</w:t>
      </w:r>
      <w:r>
        <w:rPr>
          <w:spacing w:val="-2"/>
        </w:rPr>
        <w:t> </w:t>
      </w:r>
      <w:r>
        <w:rPr/>
        <w:t>practice.</w:t>
      </w:r>
    </w:p>
    <w:p>
      <w:pPr>
        <w:pStyle w:val="BodyText"/>
        <w:spacing w:line="249" w:lineRule="auto" w:before="4"/>
        <w:ind w:right="654"/>
        <w:jc w:val="both"/>
      </w:pPr>
      <w:r>
        <w:rPr/>
        <w:t>Furthermore, you will learn to synthesize empirical research into a systematic review of the literature to address a social work practice of personal interest</w:t>
      </w:r>
    </w:p>
    <w:p>
      <w:pPr>
        <w:pStyle w:val="BodyText"/>
        <w:spacing w:before="180"/>
      </w:pPr>
      <w:r>
        <w:rPr/>
        <w:t>Offered: 202002.</w:t>
      </w:r>
    </w:p>
    <w:p>
      <w:pPr>
        <w:pStyle w:val="Heading6"/>
      </w:pPr>
      <w:r>
        <w:rPr/>
        <w:t>SOWK 699 - (1 TO 3)</w:t>
      </w:r>
    </w:p>
    <w:p>
      <w:pPr>
        <w:pStyle w:val="BodyText"/>
        <w:spacing w:before="193"/>
      </w:pPr>
      <w:r>
        <w:rPr/>
        <w:t>Offered: 202002.</w:t>
      </w:r>
    </w:p>
    <w:p>
      <w:pPr>
        <w:pStyle w:val="Heading6"/>
      </w:pPr>
      <w:r>
        <w:rPr/>
        <w:t>SOWK 700 - (3)</w:t>
      </w:r>
    </w:p>
    <w:p>
      <w:pPr>
        <w:pStyle w:val="BodyText"/>
        <w:spacing w:line="249" w:lineRule="auto" w:before="187"/>
        <w:ind w:left="199" w:right="69"/>
      </w:pPr>
      <w:r>
        <w:rPr/>
        <w:t>The purpose of this course is to provide students with a critical understanding of institutional racism and the way concepts such as power and privilege impact institutions, social service agencies, social workers, and clients. During the course of the semester, students will broaden their understanding of racism and racial equity and deepen culturally responsive clinical and management skills. This is a special topics course intended for students willing to engage in a process of self-exploration regarding personal and professional attitudes, biases, and clinical frameworks. Class discussions and assignments will be focused on the individual and structural consequences of racism in the United States.</w:t>
      </w:r>
    </w:p>
    <w:p>
      <w:pPr>
        <w:pStyle w:val="BodyText"/>
        <w:spacing w:before="192"/>
        <w:ind w:left="199"/>
      </w:pPr>
      <w:r>
        <w:rPr/>
        <w:t>Offered: 202002.</w:t>
      </w:r>
    </w:p>
    <w:p>
      <w:pPr>
        <w:pStyle w:val="Heading6"/>
        <w:ind w:left="199"/>
      </w:pPr>
      <w:r>
        <w:rPr/>
        <w:t>SOWK 704 - (3)</w:t>
      </w:r>
    </w:p>
    <w:p>
      <w:pPr>
        <w:pStyle w:val="BodyText"/>
        <w:spacing w:before="188"/>
        <w:ind w:left="199"/>
      </w:pPr>
      <w:r>
        <w:rPr/>
        <w:t>Social Work and the Law is an introduction to the structure</w:t>
      </w:r>
    </w:p>
    <w:p>
      <w:pPr>
        <w:pStyle w:val="BodyText"/>
        <w:spacing w:line="249" w:lineRule="auto" w:before="96"/>
        <w:ind w:left="199" w:right="573"/>
      </w:pPr>
      <w:r>
        <w:rPr/>
        <w:br w:type="column"/>
      </w:r>
      <w:r>
        <w:rPr/>
        <w:t>and operations of the legal system as it affects social work practice. The course covers several areas closely related to social work: family and domestic matters, child welfare, juvenile justice, mental health, education, and advocacy. Emphasis is on analyzing legislation and court decisions as social policy. The focus includes legal issues relating especially to minors, women, people of color, and other disempowered groups. The course also provides an overview of legal issues bearing upon professional responsibility (such as malpractice, privileged communications, and confidentiality) and offers an introduction to the development of skills used in courtroom testimony. (Prerequisite: SOWK 600)</w:t>
      </w:r>
    </w:p>
    <w:p>
      <w:pPr>
        <w:pStyle w:val="BodyText"/>
        <w:spacing w:before="187"/>
        <w:ind w:left="199"/>
      </w:pPr>
      <w:r>
        <w:rPr/>
        <w:t>Offered: 202002.</w:t>
      </w:r>
    </w:p>
    <w:p>
      <w:pPr>
        <w:pStyle w:val="Heading6"/>
        <w:ind w:left="199"/>
      </w:pPr>
      <w:r>
        <w:rPr/>
        <w:t>SOWK 705 - (1 TO 3)</w:t>
      </w:r>
    </w:p>
    <w:p>
      <w:pPr>
        <w:pStyle w:val="BodyText"/>
        <w:spacing w:line="249" w:lineRule="auto" w:before="193"/>
        <w:ind w:left="199" w:right="645"/>
      </w:pPr>
      <w:r>
        <w:rPr/>
        <w:t>Comparative studies of social work practice provide instruments for better understanding the general laws of social life and opportunities for examining practice trends and issues in a clearer perspective. This course focuses on the study of the social work profession and practice in specified developed and developing nations. This course is taken in conjunction with travel to various destinations, which have included India, Central America and Israel.</w:t>
      </w:r>
    </w:p>
    <w:p>
      <w:pPr>
        <w:pStyle w:val="BodyText"/>
        <w:spacing w:line="249" w:lineRule="auto" w:before="6"/>
        <w:ind w:right="610" w:hanging="1"/>
      </w:pPr>
      <w:r>
        <w:rPr/>
        <w:t>Required pre-departure classes and post-trip debriefings, presentations, and subsequent planning are also included in the course.</w:t>
      </w:r>
    </w:p>
    <w:p>
      <w:pPr>
        <w:pStyle w:val="BodyText"/>
        <w:spacing w:before="179"/>
      </w:pPr>
      <w:r>
        <w:rPr/>
        <w:t>Offered: 202002.</w:t>
      </w:r>
    </w:p>
    <w:p>
      <w:pPr>
        <w:pStyle w:val="Heading6"/>
      </w:pPr>
      <w:r>
        <w:rPr/>
        <w:t>SOWK 706 - (3)</w:t>
      </w:r>
    </w:p>
    <w:p>
      <w:pPr>
        <w:pStyle w:val="BodyText"/>
        <w:spacing w:line="249" w:lineRule="auto" w:before="193"/>
        <w:ind w:right="871"/>
      </w:pPr>
      <w:r>
        <w:rPr/>
        <w:t>This course examines the growth of community mental health in the United States and its relationship to sociological and psychological approaches to various communities and cultural groups. Approaches to mental health, mental illness, problems of service delivery, professional roles, and the possibilities and problems of community mental health are discussed.(Prerequisite: SOWK 600)</w:t>
      </w:r>
    </w:p>
    <w:p>
      <w:pPr>
        <w:pStyle w:val="BodyText"/>
        <w:spacing w:before="183"/>
      </w:pPr>
      <w:r>
        <w:rPr/>
        <w:t>Offered: 202002.</w:t>
      </w:r>
    </w:p>
    <w:p>
      <w:pPr>
        <w:pStyle w:val="Heading6"/>
      </w:pPr>
      <w:r>
        <w:rPr/>
        <w:t>SOWK 708 - (3)</w:t>
      </w:r>
    </w:p>
    <w:p>
      <w:pPr>
        <w:pStyle w:val="BodyText"/>
        <w:spacing w:line="249" w:lineRule="auto" w:before="193"/>
        <w:ind w:left="199" w:right="594"/>
      </w:pPr>
      <w:r>
        <w:rPr/>
        <w:t>This course is an introduction to U.S. health and behavioral health care policies and programs. This course is designed to prepare students to analyze, develop, and implement health and behavioral health policies across a range of settings, including prevention/promotion services, primary care, acute care, chronic care, and long-term care. It examines the financing and organization of health and behavioral health systems, including the historical and contemporary forces that have shaped their development.</w:t>
      </w:r>
    </w:p>
    <w:p>
      <w:pPr>
        <w:spacing w:after="0" w:line="249" w:lineRule="auto"/>
        <w:sectPr>
          <w:headerReference w:type="even" r:id="rId108"/>
          <w:headerReference w:type="default" r:id="rId109"/>
          <w:pgSz w:w="12240" w:h="15840"/>
          <w:pgMar w:header="746" w:footer="0" w:top="1320" w:bottom="280" w:left="880" w:right="300"/>
          <w:pgNumType w:start="162"/>
          <w:cols w:num="2" w:equalWidth="0">
            <w:col w:w="5004" w:space="482"/>
            <w:col w:w="5574"/>
          </w:cols>
        </w:sectPr>
      </w:pPr>
    </w:p>
    <w:p>
      <w:pPr>
        <w:pStyle w:val="BodyText"/>
        <w:spacing w:line="249" w:lineRule="auto" w:before="100"/>
        <w:ind w:left="199" w:right="76"/>
      </w:pPr>
      <w:r>
        <w:rPr/>
        <w:t>We will pay particular attention to evidence-based models that aim to integrate physical and behavioral health services. The role of social workers in health care will be addressed throughout the semester, including the need to work effectively with cross-disciplinary teams of providers. A major focus will be the impact of policies on excluded, marginalized, and vulnerable populations, and the evaluation of policies based on the social work profession?s ethical criteria such as fairness, social justice, anti-oppression, self-determination, and human dignity.</w:t>
      </w:r>
    </w:p>
    <w:p>
      <w:pPr>
        <w:pStyle w:val="BodyText"/>
        <w:spacing w:line="249" w:lineRule="auto" w:before="7"/>
        <w:ind w:left="199" w:right="261"/>
      </w:pPr>
      <w:r>
        <w:rPr/>
        <w:t>The course will also examine diversity dimensions, including ability, age, class, culture, ethnicity, family structure, gender, gender identity and expression, relationship status, national origin, race, religion, sexual orientation, and socioeconomic status. (Prerequisite: SOWK 600)</w:t>
      </w:r>
    </w:p>
    <w:p>
      <w:pPr>
        <w:pStyle w:val="BodyText"/>
        <w:spacing w:before="182"/>
        <w:ind w:left="199"/>
      </w:pPr>
      <w:r>
        <w:rPr/>
        <w:t>Offered: 202002.</w:t>
      </w:r>
    </w:p>
    <w:p>
      <w:pPr>
        <w:pStyle w:val="Heading6"/>
        <w:ind w:left="199"/>
      </w:pPr>
      <w:r>
        <w:rPr/>
        <w:t>SOWK 710 - (3)</w:t>
      </w:r>
    </w:p>
    <w:p>
      <w:pPr>
        <w:pStyle w:val="BodyText"/>
        <w:spacing w:line="249" w:lineRule="auto" w:before="192"/>
        <w:ind w:left="199" w:right="39"/>
      </w:pPr>
      <w:r>
        <w:rPr/>
        <w:t>This course has two basic purposes. The first is to provide students with an understanding of American legislative processes with particular reference to the social welfare policy formulation system. The federal system of policy and legislative process also will be examined. The second aim is to develop an appreciation and understanding of the range of social work involvement in the policy/legislative process. Throughout the course, attention is given to the role of human service advocacy organizations active in influencing social welfare legislation and the role of social workers in social action. The course is also offered as SWOA 710 for those wanting an advanced macro methods course. The major assignment for the course will vary according to the designation chosen (Advanced Policy or Macro methods).(Prerequisite: SOWK 600)</w:t>
      </w:r>
    </w:p>
    <w:p>
      <w:pPr>
        <w:pStyle w:val="BodyText"/>
        <w:spacing w:before="189"/>
        <w:ind w:left="199"/>
      </w:pPr>
      <w:r>
        <w:rPr/>
        <w:t>Offered: 202002.</w:t>
      </w:r>
    </w:p>
    <w:p>
      <w:pPr>
        <w:pStyle w:val="Heading6"/>
        <w:ind w:left="199"/>
      </w:pPr>
      <w:r>
        <w:rPr/>
        <w:t>SOWK 712 - (3)</w:t>
      </w:r>
    </w:p>
    <w:p>
      <w:pPr>
        <w:pStyle w:val="BodyText"/>
        <w:spacing w:before="192"/>
        <w:ind w:left="199"/>
      </w:pPr>
      <w:r>
        <w:rPr/>
        <w:t>Offered: 202002.</w:t>
      </w:r>
    </w:p>
    <w:p>
      <w:pPr>
        <w:pStyle w:val="Heading6"/>
        <w:ind w:left="199"/>
      </w:pPr>
      <w:r>
        <w:rPr/>
        <w:t>SOWK 713 - (3)</w:t>
      </w:r>
    </w:p>
    <w:p>
      <w:pPr>
        <w:pStyle w:val="BodyText"/>
        <w:spacing w:line="249" w:lineRule="auto" w:before="188"/>
        <w:ind w:left="199" w:right="38"/>
      </w:pPr>
      <w:r>
        <w:rPr/>
        <w:t>This course is designed to prepare students to assess and understand the impact </w:t>
      </w:r>
      <w:r>
        <w:rPr>
          <w:spacing w:val="-3"/>
        </w:rPr>
        <w:t>of </w:t>
      </w:r>
      <w:r>
        <w:rPr/>
        <w:t>American medical and health service programs and policies </w:t>
      </w:r>
      <w:r>
        <w:rPr>
          <w:spacing w:val="-5"/>
        </w:rPr>
        <w:t>on </w:t>
      </w:r>
      <w:r>
        <w:rPr/>
        <w:t>human well-being. It has several purposes: (1) to understand the political </w:t>
      </w:r>
      <w:r>
        <w:rPr>
          <w:spacing w:val="-3"/>
        </w:rPr>
        <w:t>process </w:t>
      </w:r>
      <w:r>
        <w:rPr/>
        <w:t>through which health service delivery policy evolves; (2) to provide students with background </w:t>
      </w:r>
      <w:r>
        <w:rPr>
          <w:spacing w:val="-3"/>
        </w:rPr>
        <w:t>on </w:t>
      </w:r>
      <w:r>
        <w:rPr/>
        <w:t>the organization </w:t>
      </w:r>
      <w:r>
        <w:rPr>
          <w:spacing w:val="-5"/>
        </w:rPr>
        <w:t>of </w:t>
      </w:r>
      <w:r>
        <w:rPr/>
        <w:t>health care services so that they have some understanding of the origins and current directions </w:t>
      </w:r>
      <w:r>
        <w:rPr>
          <w:spacing w:val="-3"/>
        </w:rPr>
        <w:t>of </w:t>
      </w:r>
      <w:r>
        <w:rPr/>
        <w:t>health care programs; (3) to understand the relationship </w:t>
      </w:r>
      <w:r>
        <w:rPr>
          <w:spacing w:val="-3"/>
        </w:rPr>
        <w:t>of </w:t>
      </w:r>
      <w:r>
        <w:rPr/>
        <w:t>medical care and health care programs to </w:t>
      </w:r>
      <w:r>
        <w:rPr>
          <w:spacing w:val="-3"/>
        </w:rPr>
        <w:t>other </w:t>
      </w:r>
      <w:r>
        <w:rPr/>
        <w:t>community</w:t>
      </w:r>
    </w:p>
    <w:p>
      <w:pPr>
        <w:pStyle w:val="BodyText"/>
        <w:spacing w:line="249" w:lineRule="auto" w:before="96"/>
        <w:ind w:right="598"/>
      </w:pPr>
      <w:r>
        <w:rPr/>
        <w:br w:type="column"/>
      </w:r>
      <w:r>
        <w:rPr/>
        <w:t>programs and their impact on various communities; and (4) to enable students, as future social workers, to assess and evaluate program directions and proposals for change.(Prerequisite: SOWK 600)</w:t>
      </w:r>
    </w:p>
    <w:p>
      <w:pPr>
        <w:pStyle w:val="BodyText"/>
        <w:spacing w:before="180"/>
      </w:pPr>
      <w:r>
        <w:rPr/>
        <w:t>Offered: 202002.</w:t>
      </w:r>
    </w:p>
    <w:p>
      <w:pPr>
        <w:pStyle w:val="Heading6"/>
      </w:pPr>
      <w:r>
        <w:rPr/>
        <w:t>SOWK 715 - (3)</w:t>
      </w:r>
    </w:p>
    <w:p>
      <w:pPr>
        <w:pStyle w:val="BodyText"/>
        <w:spacing w:line="249" w:lineRule="auto" w:before="193"/>
        <w:ind w:left="199" w:right="660"/>
      </w:pPr>
      <w:r>
        <w:rPr/>
        <w:t>This course identifies challenges contemporary American families are experiencing and presents strategies for developing policies and services to meet these challenges. It not only examines specific policies and services that most affect families but also considers broader questions concerning power and its distribution, allocation of resources, and the role of government in promoting individual and family well-being. The theme of advocacy on behalf of children and families at all levels is stressed throughout the course. This course will help students build on the knowledge of the evaluative concepts of social policy analysis developed in prior research and policy courses.(Prerequisite: SOWK 600)</w:t>
      </w:r>
    </w:p>
    <w:p>
      <w:pPr>
        <w:pStyle w:val="BodyText"/>
        <w:spacing w:before="187"/>
        <w:ind w:left="199"/>
      </w:pPr>
      <w:r>
        <w:rPr/>
        <w:t>Offered: 202002.</w:t>
      </w:r>
    </w:p>
    <w:p>
      <w:pPr>
        <w:pStyle w:val="Heading6"/>
        <w:ind w:left="199"/>
      </w:pPr>
      <w:r>
        <w:rPr/>
        <w:t>SOWK 717 - (3)</w:t>
      </w:r>
    </w:p>
    <w:p>
      <w:pPr>
        <w:pStyle w:val="BodyText"/>
        <w:spacing w:before="192"/>
        <w:ind w:left="199"/>
      </w:pPr>
      <w:r>
        <w:rPr/>
        <w:t>Offered: 202002.</w:t>
      </w:r>
    </w:p>
    <w:p>
      <w:pPr>
        <w:pStyle w:val="Heading6"/>
        <w:ind w:left="199"/>
      </w:pPr>
      <w:r>
        <w:rPr/>
        <w:t>SOWK 718 - (3)</w:t>
      </w:r>
    </w:p>
    <w:p>
      <w:pPr>
        <w:pStyle w:val="BodyText"/>
        <w:spacing w:line="249" w:lineRule="auto" w:before="188"/>
        <w:ind w:left="199" w:right="671"/>
      </w:pPr>
      <w:r>
        <w:rPr/>
        <w:t>his course examines concepts of equality and inequality, justice (or equity), and injustice, and how they have been or could be applied to the development and implementation of social policy, with a particular focus on the U.S. The course will address (1) the effects of diverse ideologies, values, cultural perspectives, and historical contexts on the evolution of these concepts; (2) the implications of contemporary definitions of equality and social justice for social policy; and (3) the relationship between social justice, equality, and human rights. (Prerequisite: SOWK 600)</w:t>
      </w:r>
    </w:p>
    <w:p>
      <w:pPr>
        <w:pStyle w:val="BodyText"/>
        <w:spacing w:before="190"/>
        <w:ind w:left="199"/>
      </w:pPr>
      <w:r>
        <w:rPr/>
        <w:t>Offered: 202002.</w:t>
      </w:r>
    </w:p>
    <w:p>
      <w:pPr>
        <w:pStyle w:val="Heading6"/>
        <w:ind w:left="199"/>
      </w:pPr>
      <w:r>
        <w:rPr/>
        <w:t>SOWK 720 - (3)</w:t>
      </w:r>
    </w:p>
    <w:p>
      <w:pPr>
        <w:pStyle w:val="BodyText"/>
        <w:spacing w:line="249" w:lineRule="auto" w:before="188"/>
        <w:ind w:left="199" w:right="624"/>
      </w:pPr>
      <w:r>
        <w:rPr/>
        <w:t>The course provides an overview of global social welfare policies and programs, and the historical and contemporary forces that have shaped their development. The course introduces core concepts relating to global human rights and social justice to provide </w:t>
      </w:r>
      <w:r>
        <w:rPr>
          <w:spacing w:val="-3"/>
        </w:rPr>
        <w:t>both </w:t>
      </w:r>
      <w:r>
        <w:rPr/>
        <w:t>an understanding </w:t>
      </w:r>
      <w:r>
        <w:rPr>
          <w:spacing w:val="-3"/>
        </w:rPr>
        <w:t>of </w:t>
      </w:r>
      <w:r>
        <w:rPr/>
        <w:t>the political </w:t>
      </w:r>
      <w:r>
        <w:rPr>
          <w:spacing w:val="-3"/>
        </w:rPr>
        <w:t>process </w:t>
      </w:r>
      <w:r>
        <w:rPr/>
        <w:t>and the analytic skills which will further the achievement </w:t>
      </w:r>
      <w:r>
        <w:rPr>
          <w:spacing w:val="-3"/>
        </w:rPr>
        <w:t>of </w:t>
      </w:r>
      <w:r>
        <w:rPr/>
        <w:t>social work goals regarding social work programs and policies. The course also reviews the contemporaneous progress of international social</w:t>
      </w:r>
      <w:r>
        <w:rPr>
          <w:spacing w:val="-8"/>
        </w:rPr>
        <w:t> </w:t>
      </w:r>
      <w:r>
        <w:rPr/>
        <w:t>work</w:t>
      </w:r>
    </w:p>
    <w:p>
      <w:pPr>
        <w:spacing w:after="0" w:line="249" w:lineRule="auto"/>
        <w:sectPr>
          <w:pgSz w:w="12240" w:h="15840"/>
          <w:pgMar w:header="746" w:footer="0" w:top="1320" w:bottom="280" w:left="880" w:right="300"/>
          <w:cols w:num="2" w:equalWidth="0">
            <w:col w:w="4968" w:space="519"/>
            <w:col w:w="5573"/>
          </w:cols>
        </w:sectPr>
      </w:pPr>
    </w:p>
    <w:p>
      <w:pPr>
        <w:pStyle w:val="BodyText"/>
        <w:spacing w:line="249" w:lineRule="auto" w:before="100"/>
        <w:ind w:left="199" w:right="78"/>
      </w:pPr>
      <w:r>
        <w:rPr/>
        <w:t>organizations in responding to global initiatives. The course frames policies by examining the social determinants of health. It pays specific attention to the commitment of social workers to underserved populations, based on the profession?s ethical criteria such as fairness, equity, anti-oppression, self-determination, and human dignity. The course will apply these frameworks to the assessment of specific policies in the areas of health care, civil rights, immigrant and refugee rights, employment, criminal justice, education and the environment.(Prerequisite: SOWK 600)</w:t>
      </w:r>
    </w:p>
    <w:p>
      <w:pPr>
        <w:pStyle w:val="BodyText"/>
      </w:pPr>
      <w:r>
        <w:rPr/>
        <w:t>Offered:</w:t>
      </w:r>
      <w:r>
        <w:rPr>
          <w:spacing w:val="-2"/>
        </w:rPr>
        <w:t> </w:t>
      </w:r>
      <w:r>
        <w:rPr/>
        <w:t>202002.</w:t>
      </w:r>
    </w:p>
    <w:p>
      <w:pPr>
        <w:pStyle w:val="Heading6"/>
      </w:pPr>
      <w:r>
        <w:rPr/>
        <w:t>SOWK 721 -</w:t>
      </w:r>
      <w:r>
        <w:rPr>
          <w:spacing w:val="1"/>
        </w:rPr>
        <w:t> </w:t>
      </w:r>
      <w:r>
        <w:rPr/>
        <w:t>(3)</w:t>
      </w:r>
    </w:p>
    <w:p>
      <w:pPr>
        <w:pStyle w:val="BodyText"/>
        <w:spacing w:line="249" w:lineRule="auto" w:before="193"/>
        <w:ind w:left="199" w:right="38"/>
      </w:pPr>
      <w:r>
        <w:rPr/>
        <w:t>This course is designed to prepare students to assess and understand the dialectic </w:t>
      </w:r>
      <w:r>
        <w:rPr>
          <w:spacing w:val="-3"/>
        </w:rPr>
        <w:t>between </w:t>
      </w:r>
      <w:r>
        <w:rPr/>
        <w:t>social policies and human well-being, </w:t>
      </w:r>
      <w:r>
        <w:rPr>
          <w:spacing w:val="-3"/>
        </w:rPr>
        <w:t>with </w:t>
      </w:r>
      <w:r>
        <w:rPr/>
        <w:t>a focus </w:t>
      </w:r>
      <w:r>
        <w:rPr>
          <w:spacing w:val="-3"/>
        </w:rPr>
        <w:t>on </w:t>
      </w:r>
      <w:r>
        <w:rPr/>
        <w:t>shelter in its many manifestations. </w:t>
      </w:r>
      <w:r>
        <w:rPr>
          <w:spacing w:val="-3"/>
        </w:rPr>
        <w:t>It </w:t>
      </w:r>
      <w:r>
        <w:rPr/>
        <w:t>has several purposes: (a) to reflect upon the concepts </w:t>
      </w:r>
      <w:r>
        <w:rPr>
          <w:spacing w:val="-3"/>
        </w:rPr>
        <w:t>of </w:t>
      </w:r>
      <w:r>
        <w:rPr/>
        <w:t>social justice and social change and their relationship to housing, social </w:t>
      </w:r>
      <w:r>
        <w:rPr>
          <w:spacing w:val="-3"/>
        </w:rPr>
        <w:t>policy, </w:t>
      </w:r>
      <w:r>
        <w:rPr/>
        <w:t>and participation; (b) to understand the processes through which housing and homelessness services are financed, constructed, maintained, and evolve; (c) to reflect upon the relationships among housing, health, human growth and development, neighborhoods, and communities; (d) to develop a sufficient knowledge of the background and context </w:t>
      </w:r>
      <w:r>
        <w:rPr>
          <w:spacing w:val="-3"/>
        </w:rPr>
        <w:t>of </w:t>
      </w:r>
      <w:r>
        <w:rPr/>
        <w:t>housing and homelessness services in the U.S. so that they might predict and influence future directions </w:t>
      </w:r>
      <w:r>
        <w:rPr>
          <w:spacing w:val="-3"/>
        </w:rPr>
        <w:t>of </w:t>
      </w:r>
      <w:r>
        <w:rPr/>
        <w:t>these goods; (e) to understand the relationships </w:t>
      </w:r>
      <w:r>
        <w:rPr>
          <w:spacing w:val="-3"/>
        </w:rPr>
        <w:t>between </w:t>
      </w:r>
      <w:r>
        <w:rPr/>
        <w:t>housing markets </w:t>
      </w:r>
      <w:r>
        <w:rPr>
          <w:spacing w:val="-5"/>
        </w:rPr>
        <w:t>on </w:t>
      </w:r>
      <w:r>
        <w:rPr/>
        <w:t>the one hand, and policies and programs serving the </w:t>
      </w:r>
      <w:r>
        <w:rPr>
          <w:spacing w:val="-3"/>
        </w:rPr>
        <w:t>poor </w:t>
      </w:r>
      <w:r>
        <w:rPr/>
        <w:t>and the disadvantaged </w:t>
      </w:r>
      <w:r>
        <w:rPr>
          <w:spacing w:val="-5"/>
        </w:rPr>
        <w:t>on </w:t>
      </w:r>
      <w:r>
        <w:rPr/>
        <w:t>the other hand; (f) to enable students to evaluate program changes and proposals </w:t>
      </w:r>
      <w:r>
        <w:rPr>
          <w:spacing w:val="-4"/>
        </w:rPr>
        <w:t>for </w:t>
      </w:r>
      <w:r>
        <w:rPr/>
        <w:t>reform in the institutions providing housing, related services, and financing; (g) to become familiar </w:t>
      </w:r>
      <w:r>
        <w:rPr>
          <w:spacing w:val="-3"/>
        </w:rPr>
        <w:t>with </w:t>
      </w:r>
      <w:r>
        <w:rPr/>
        <w:t>the context </w:t>
      </w:r>
      <w:r>
        <w:rPr>
          <w:spacing w:val="-3"/>
        </w:rPr>
        <w:t>of </w:t>
      </w:r>
      <w:r>
        <w:rPr/>
        <w:t>housing provisions/financing and homelessness services in </w:t>
      </w:r>
      <w:r>
        <w:rPr>
          <w:spacing w:val="-3"/>
        </w:rPr>
        <w:t>other </w:t>
      </w:r>
      <w:r>
        <w:rPr/>
        <w:t>nations; and (g) to understand the role </w:t>
      </w:r>
      <w:r>
        <w:rPr>
          <w:spacing w:val="-3"/>
        </w:rPr>
        <w:t>of </w:t>
      </w:r>
      <w:r>
        <w:rPr/>
        <w:t>social workers.(Prerequisite: SOWK</w:t>
      </w:r>
      <w:r>
        <w:rPr>
          <w:spacing w:val="-1"/>
        </w:rPr>
        <w:t> </w:t>
      </w:r>
      <w:r>
        <w:rPr/>
        <w:t>600)</w:t>
      </w:r>
    </w:p>
    <w:p>
      <w:pPr>
        <w:pStyle w:val="BodyText"/>
        <w:spacing w:before="195"/>
        <w:ind w:left="199"/>
      </w:pPr>
      <w:r>
        <w:rPr/>
        <w:t>Offered:</w:t>
      </w:r>
      <w:r>
        <w:rPr>
          <w:spacing w:val="-2"/>
        </w:rPr>
        <w:t> </w:t>
      </w:r>
      <w:r>
        <w:rPr/>
        <w:t>202002.</w:t>
      </w:r>
    </w:p>
    <w:p>
      <w:pPr>
        <w:pStyle w:val="Heading6"/>
        <w:ind w:left="199"/>
      </w:pPr>
      <w:r>
        <w:rPr/>
        <w:t>SOWK 725 -</w:t>
      </w:r>
      <w:r>
        <w:rPr>
          <w:spacing w:val="3"/>
        </w:rPr>
        <w:t> </w:t>
      </w:r>
      <w:r>
        <w:rPr/>
        <w:t>(3)</w:t>
      </w:r>
    </w:p>
    <w:p>
      <w:pPr>
        <w:pStyle w:val="BodyText"/>
        <w:spacing w:line="249" w:lineRule="auto" w:before="192"/>
        <w:ind w:left="199" w:right="290"/>
      </w:pPr>
      <w:r>
        <w:rPr/>
        <w:t>This course provides a theoretical framework for delivering social work services in the workplace. It also explores the possible value conflicts faced by the occupational social worker. It will include a history of social services in the work arena and a comprehensive picture of the delivery points for human services, including, but not limited to Employee Assistance Programs (EAPs), human resources and occupational health/medicine. Specific subjects such as mental health and substance abuse, work/life, workplace violence and</w:t>
      </w:r>
    </w:p>
    <w:p>
      <w:pPr>
        <w:pStyle w:val="BodyText"/>
        <w:spacing w:line="249" w:lineRule="auto" w:before="96"/>
        <w:ind w:left="199" w:right="605"/>
      </w:pPr>
      <w:r>
        <w:rPr/>
        <w:br w:type="column"/>
      </w:r>
      <w:r>
        <w:rPr/>
        <w:t>crisis, diversity, globalization and more will be explored with their respective policy implications. Discrimination and equality in the workplace based on gender, sexual orientation, race, religion, disability, age, employee work status and any other protected categories will be discussed with their appropriate policy questions. This is a required course for students pursuing the Employee Assistance Program (EAP) Sub-specialization. (Prerequisite: SOWK 600)</w:t>
      </w:r>
    </w:p>
    <w:p>
      <w:pPr>
        <w:pStyle w:val="BodyText"/>
        <w:spacing w:before="184"/>
        <w:ind w:left="199"/>
      </w:pPr>
      <w:r>
        <w:rPr/>
        <w:t>Offered:</w:t>
      </w:r>
      <w:r>
        <w:rPr>
          <w:spacing w:val="-2"/>
        </w:rPr>
        <w:t> </w:t>
      </w:r>
      <w:r>
        <w:rPr/>
        <w:t>202002.</w:t>
      </w:r>
    </w:p>
    <w:p>
      <w:pPr>
        <w:pStyle w:val="Heading6"/>
        <w:ind w:left="199"/>
      </w:pPr>
      <w:r>
        <w:rPr/>
        <w:t>SOWK 726 -</w:t>
      </w:r>
      <w:r>
        <w:rPr>
          <w:spacing w:val="3"/>
        </w:rPr>
        <w:t> </w:t>
      </w:r>
      <w:r>
        <w:rPr/>
        <w:t>(3)</w:t>
      </w:r>
    </w:p>
    <w:p>
      <w:pPr>
        <w:pStyle w:val="BodyText"/>
        <w:spacing w:line="249" w:lineRule="auto" w:before="192"/>
        <w:ind w:left="199" w:right="739"/>
      </w:pPr>
      <w:r>
        <w:rPr/>
        <w:t>This course examines a variety of social welfare policies that affect the rights and interests of older adults. These include policies related to economic security, health, long term care, and elder justice. Building on the foundation policy curriculum, the course reviews the policy-making process with a discussion of the influence of legislative sanctions and case law in establishing aging policy in the</w:t>
      </w:r>
    </w:p>
    <w:p>
      <w:pPr>
        <w:pStyle w:val="BodyText"/>
        <w:spacing w:line="249" w:lineRule="auto" w:before="5"/>
        <w:ind w:left="199" w:right="628"/>
      </w:pPr>
      <w:r>
        <w:rPr/>
        <w:t>U.S. The focus of the course is on critical analysis of the key assumptions driving policy and policy change, as well as enhancing skills in policy messaging and advocacy. Finally, the course includes a critical examination of the intersection between policy and practice, that is, the influence that policy has on the design of interventions and service delivery practices at the federal, state and local level and the impact of changing policies on communities, providers and older adults. (Prerequisite: SOWK 600)</w:t>
      </w:r>
    </w:p>
    <w:p>
      <w:pPr>
        <w:pStyle w:val="BodyText"/>
        <w:spacing w:before="184"/>
        <w:ind w:left="199"/>
      </w:pPr>
      <w:r>
        <w:rPr/>
        <w:t>Offered:</w:t>
      </w:r>
      <w:r>
        <w:rPr>
          <w:spacing w:val="-2"/>
        </w:rPr>
        <w:t> </w:t>
      </w:r>
      <w:r>
        <w:rPr/>
        <w:t>202002.</w:t>
      </w:r>
    </w:p>
    <w:p>
      <w:pPr>
        <w:pStyle w:val="Heading6"/>
        <w:ind w:left="199"/>
      </w:pPr>
      <w:r>
        <w:rPr/>
        <w:t>SOWK 729 -</w:t>
      </w:r>
      <w:r>
        <w:rPr>
          <w:spacing w:val="3"/>
        </w:rPr>
        <w:t> </w:t>
      </w:r>
      <w:r>
        <w:rPr/>
        <w:t>(3)</w:t>
      </w:r>
    </w:p>
    <w:p>
      <w:pPr>
        <w:pStyle w:val="BodyText"/>
        <w:spacing w:line="249" w:lineRule="auto" w:before="193"/>
        <w:ind w:left="199" w:right="594"/>
      </w:pPr>
      <w:r>
        <w:rPr/>
        <w:t>Increasingly, social workers and lawyers are asked to collaborate within the legal system-from the inception of a case to after a case is resolved through court and extrajudicial processes. This advanced policy course provides an opportunity for law and social work students to explore together the promises and challenges of work that draws on the expertise of both professions. The class will meet alternately at the School of Social Work and the School of Law. It will critically explore the professional ethics and training for each profession and their workplace and institutional responsibilities in a variety of settings. It will also examine the different professional conceptions of justice, and how these may be illustrated across settings.</w:t>
      </w:r>
    </w:p>
    <w:p>
      <w:pPr>
        <w:pStyle w:val="BodyText"/>
        <w:spacing w:line="249" w:lineRule="auto" w:before="9"/>
        <w:ind w:left="199" w:right="744"/>
      </w:pPr>
      <w:r>
        <w:rPr/>
        <w:t>Students will work independently and in teams to explore these issues. (Prerequisite: SOWK 600)</w:t>
      </w:r>
    </w:p>
    <w:p>
      <w:pPr>
        <w:pStyle w:val="BodyText"/>
        <w:spacing w:before="179"/>
        <w:ind w:left="199"/>
      </w:pPr>
      <w:r>
        <w:rPr/>
        <w:t>Offered:</w:t>
      </w:r>
      <w:r>
        <w:rPr>
          <w:spacing w:val="-2"/>
        </w:rPr>
        <w:t> </w:t>
      </w:r>
      <w:r>
        <w:rPr/>
        <w:t>202002.</w:t>
      </w:r>
    </w:p>
    <w:p>
      <w:pPr>
        <w:pStyle w:val="Heading6"/>
        <w:ind w:left="199"/>
      </w:pPr>
      <w:r>
        <w:rPr/>
        <w:t>SOWK 764 -</w:t>
      </w:r>
      <w:r>
        <w:rPr>
          <w:spacing w:val="3"/>
        </w:rPr>
        <w:t> </w:t>
      </w:r>
      <w:r>
        <w:rPr/>
        <w:t>(3)</w:t>
      </w:r>
    </w:p>
    <w:p>
      <w:pPr>
        <w:pStyle w:val="BodyText"/>
        <w:spacing w:before="193"/>
        <w:ind w:left="199"/>
      </w:pPr>
      <w:r>
        <w:rPr/>
        <w:t>Offered:</w:t>
      </w:r>
      <w:r>
        <w:rPr>
          <w:spacing w:val="-2"/>
        </w:rPr>
        <w:t> </w:t>
      </w:r>
      <w:r>
        <w:rPr/>
        <w:t>202002.</w:t>
      </w:r>
    </w:p>
    <w:p>
      <w:pPr>
        <w:spacing w:after="0"/>
        <w:sectPr>
          <w:pgSz w:w="12240" w:h="15840"/>
          <w:pgMar w:header="746" w:footer="0" w:top="1320" w:bottom="280" w:left="880" w:right="300"/>
          <w:cols w:num="2" w:equalWidth="0">
            <w:col w:w="5002" w:space="484"/>
            <w:col w:w="5574"/>
          </w:cols>
        </w:sectPr>
      </w:pPr>
    </w:p>
    <w:p>
      <w:pPr>
        <w:pStyle w:val="Heading6"/>
        <w:spacing w:before="100"/>
      </w:pPr>
      <w:r>
        <w:rPr/>
        <w:t>SOWK 765 - (3)</w:t>
      </w:r>
    </w:p>
    <w:p>
      <w:pPr>
        <w:pStyle w:val="BodyText"/>
        <w:spacing w:line="249" w:lineRule="auto" w:before="187"/>
        <w:ind w:left="199" w:right="143"/>
      </w:pPr>
      <w:r>
        <w:rPr/>
        <w:t>A bio-psychosocial model of health and illness is developed in this course, where biological, psychological, social, cultural, and environmental factors and their interactions are explored. A framework of individual and family development is used to study common diseases throughout the life span. (Prerequisite: SOWK 645)</w:t>
      </w:r>
    </w:p>
    <w:p>
      <w:pPr>
        <w:pStyle w:val="BodyText"/>
        <w:spacing w:before="187"/>
        <w:ind w:left="199"/>
      </w:pPr>
      <w:r>
        <w:rPr/>
        <w:t>Offered:</w:t>
      </w:r>
      <w:r>
        <w:rPr>
          <w:spacing w:val="-2"/>
        </w:rPr>
        <w:t> </w:t>
      </w:r>
      <w:r>
        <w:rPr/>
        <w:t>202002.</w:t>
      </w:r>
    </w:p>
    <w:p>
      <w:pPr>
        <w:pStyle w:val="Heading6"/>
        <w:ind w:left="199"/>
      </w:pPr>
      <w:r>
        <w:rPr/>
        <w:t>SOWK 766 -</w:t>
      </w:r>
      <w:r>
        <w:rPr>
          <w:spacing w:val="3"/>
        </w:rPr>
        <w:t> </w:t>
      </w:r>
      <w:r>
        <w:rPr/>
        <w:t>(3)</w:t>
      </w:r>
    </w:p>
    <w:p>
      <w:pPr>
        <w:pStyle w:val="BodyText"/>
        <w:spacing w:line="249" w:lineRule="auto" w:before="188"/>
        <w:ind w:left="199" w:right="271"/>
      </w:pPr>
      <w:r>
        <w:rPr/>
        <w:t>This advanced human behavior course prepares students for international social work globally and / </w:t>
      </w:r>
      <w:r>
        <w:rPr>
          <w:spacing w:val="-3"/>
        </w:rPr>
        <w:t>or </w:t>
      </w:r>
      <w:r>
        <w:rPr>
          <w:spacing w:val="-5"/>
        </w:rPr>
        <w:t>for </w:t>
      </w:r>
      <w:r>
        <w:rPr/>
        <w:t>transnational work in the United </w:t>
      </w:r>
      <w:r>
        <w:rPr>
          <w:spacing w:val="-3"/>
        </w:rPr>
        <w:t>States or</w:t>
      </w:r>
      <w:r>
        <w:rPr>
          <w:spacing w:val="7"/>
        </w:rPr>
        <w:t> </w:t>
      </w:r>
      <w:r>
        <w:rPr/>
        <w:t>abroad.</w:t>
      </w:r>
    </w:p>
    <w:p>
      <w:pPr>
        <w:pStyle w:val="BodyText"/>
        <w:spacing w:line="249" w:lineRule="auto" w:before="2"/>
        <w:ind w:left="199" w:right="201"/>
      </w:pPr>
      <w:r>
        <w:rPr/>
        <w:t>International social work is a discrete field </w:t>
      </w:r>
      <w:r>
        <w:rPr>
          <w:spacing w:val="-3"/>
        </w:rPr>
        <w:t>of </w:t>
      </w:r>
      <w:r>
        <w:rPr/>
        <w:t>practice within social work that seeks to improve the social and material well-being </w:t>
      </w:r>
      <w:r>
        <w:rPr>
          <w:spacing w:val="-3"/>
        </w:rPr>
        <w:t>of </w:t>
      </w:r>
      <w:r>
        <w:rPr/>
        <w:t>people everywhere. It is practiced across geopolitical borders and at all levels </w:t>
      </w:r>
      <w:r>
        <w:rPr>
          <w:spacing w:val="-3"/>
        </w:rPr>
        <w:t>of </w:t>
      </w:r>
      <w:r>
        <w:rPr/>
        <w:t>social and economic organizations. International social work is also development-focused, and so practice is most </w:t>
      </w:r>
      <w:r>
        <w:rPr>
          <w:spacing w:val="-3"/>
        </w:rPr>
        <w:t>often </w:t>
      </w:r>
      <w:r>
        <w:rPr/>
        <w:t>at the local, state, and provincial levels within</w:t>
      </w:r>
      <w:r>
        <w:rPr>
          <w:spacing w:val="-8"/>
        </w:rPr>
        <w:t> </w:t>
      </w:r>
      <w:r>
        <w:rPr/>
        <w:t>countries.</w:t>
      </w:r>
    </w:p>
    <w:p>
      <w:pPr>
        <w:pStyle w:val="BodyText"/>
        <w:spacing w:line="249" w:lineRule="auto" w:before="5"/>
        <w:ind w:left="199" w:right="38"/>
      </w:pPr>
      <w:r>
        <w:rPr/>
        <w:t>Increased </w:t>
      </w:r>
      <w:r>
        <w:rPr>
          <w:spacing w:val="-3"/>
        </w:rPr>
        <w:t>global </w:t>
      </w:r>
      <w:r>
        <w:rPr/>
        <w:t>communication strengthens our awareness of social challenges </w:t>
      </w:r>
      <w:r>
        <w:rPr>
          <w:spacing w:val="-3"/>
        </w:rPr>
        <w:t>faced </w:t>
      </w:r>
      <w:r>
        <w:rPr/>
        <w:t>throughout the world, including human rights violations, rapid and unplanned urbanization, poverty, housing access, gender inequality, inability to care for the complex needs </w:t>
      </w:r>
      <w:r>
        <w:rPr>
          <w:spacing w:val="-3"/>
        </w:rPr>
        <w:t>of </w:t>
      </w:r>
      <w:r>
        <w:rPr/>
        <w:t>children, poverty and indebtedness, racial and/or ethnic discrimination, and cultural conflicts. To respond to these challenges, social work models used in the United States represent only a subset </w:t>
      </w:r>
      <w:r>
        <w:rPr>
          <w:spacing w:val="-3"/>
        </w:rPr>
        <w:t>of </w:t>
      </w:r>
      <w:r>
        <w:rPr/>
        <w:t>possible intervention strategies to meet the diverse needs </w:t>
      </w:r>
      <w:r>
        <w:rPr>
          <w:spacing w:val="-3"/>
        </w:rPr>
        <w:t>of </w:t>
      </w:r>
      <w:r>
        <w:rPr/>
        <w:t>communities and societies</w:t>
      </w:r>
      <w:r>
        <w:rPr>
          <w:spacing w:val="-9"/>
        </w:rPr>
        <w:t> </w:t>
      </w:r>
      <w:r>
        <w:rPr/>
        <w:t>globally.</w:t>
      </w:r>
    </w:p>
    <w:p>
      <w:pPr>
        <w:pStyle w:val="BodyText"/>
        <w:spacing w:line="249" w:lineRule="auto" w:before="7"/>
        <w:ind w:left="199" w:right="99"/>
      </w:pPr>
      <w:r>
        <w:rPr/>
        <w:t>Expanding the knowledge of models of intervention strategies and their relevance to specific situations is a key element of this course. (Prerequisite: SOWK 645)</w:t>
      </w:r>
    </w:p>
    <w:p>
      <w:pPr>
        <w:pStyle w:val="BodyText"/>
        <w:ind w:left="199"/>
      </w:pPr>
      <w:r>
        <w:rPr/>
        <w:t>Offered:</w:t>
      </w:r>
      <w:r>
        <w:rPr>
          <w:spacing w:val="-2"/>
        </w:rPr>
        <w:t> </w:t>
      </w:r>
      <w:r>
        <w:rPr/>
        <w:t>202002.</w:t>
      </w:r>
    </w:p>
    <w:p>
      <w:pPr>
        <w:pStyle w:val="Heading6"/>
        <w:ind w:left="199"/>
      </w:pPr>
      <w:r>
        <w:rPr/>
        <w:t>SOWK 767 -</w:t>
      </w:r>
      <w:r>
        <w:rPr>
          <w:spacing w:val="3"/>
        </w:rPr>
        <w:t> </w:t>
      </w:r>
      <w:r>
        <w:rPr/>
        <w:t>(3)</w:t>
      </w:r>
    </w:p>
    <w:p>
      <w:pPr>
        <w:pStyle w:val="BodyText"/>
        <w:spacing w:line="249" w:lineRule="auto" w:before="187"/>
        <w:ind w:left="199" w:right="68"/>
      </w:pPr>
      <w:r>
        <w:rPr/>
        <w:t>Intimate partner violence (IPV) is a significant societal problem, which has persisted despite determined efforts to eradicate it through legal and therapeutic methods. In this course, the student will be introduced to the basics of IPV, as well as a number of different theories which have been used to explain it. Issues related to victims, offenders, and the effects of exposure to IPV on children will also be examined. Against this backdrop, we will explore various strategies for ending and preventing IPV. Both clinical and policy options will be addressed. This course will help students think critically about what it means to end intimate partner violence on both individual and macro levels of intervention and change. (Prerequisite: SOWK 645)</w:t>
      </w:r>
    </w:p>
    <w:p>
      <w:pPr>
        <w:pStyle w:val="BodyText"/>
        <w:spacing w:before="96"/>
        <w:ind w:left="199"/>
      </w:pPr>
      <w:r>
        <w:rPr/>
        <w:br w:type="column"/>
      </w:r>
      <w:r>
        <w:rPr/>
        <w:t>Offered:</w:t>
      </w:r>
      <w:r>
        <w:rPr>
          <w:spacing w:val="-2"/>
        </w:rPr>
        <w:t> </w:t>
      </w:r>
      <w:r>
        <w:rPr/>
        <w:t>202002.</w:t>
      </w:r>
    </w:p>
    <w:p>
      <w:pPr>
        <w:pStyle w:val="Heading6"/>
        <w:ind w:left="199"/>
      </w:pPr>
      <w:r>
        <w:rPr/>
        <w:t>SOWK 772 -</w:t>
      </w:r>
      <w:r>
        <w:rPr>
          <w:spacing w:val="2"/>
        </w:rPr>
        <w:t> </w:t>
      </w:r>
      <w:r>
        <w:rPr/>
        <w:t>(3)</w:t>
      </w:r>
    </w:p>
    <w:p>
      <w:pPr>
        <w:pStyle w:val="BodyText"/>
        <w:spacing w:line="249" w:lineRule="auto" w:before="187"/>
        <w:ind w:left="199" w:right="657"/>
      </w:pPr>
      <w:r>
        <w:rPr/>
        <w:t>This is an advanced research class that introduces students to the issues and methods </w:t>
      </w:r>
      <w:r>
        <w:rPr>
          <w:spacing w:val="-3"/>
        </w:rPr>
        <w:t>of </w:t>
      </w:r>
      <w:r>
        <w:rPr/>
        <w:t>evaluation in social work practice. </w:t>
      </w:r>
      <w:r>
        <w:rPr>
          <w:spacing w:val="-3"/>
        </w:rPr>
        <w:t>In </w:t>
      </w:r>
      <w:r>
        <w:rPr/>
        <w:t>this course students will consider concepts and approaches </w:t>
      </w:r>
      <w:r>
        <w:rPr>
          <w:spacing w:val="-4"/>
        </w:rPr>
        <w:t>for </w:t>
      </w:r>
      <w:r>
        <w:rPr/>
        <w:t>evaluating social interventions, including social work practice, programs, and policies. SOWK 670 Social Work </w:t>
      </w:r>
      <w:r>
        <w:rPr>
          <w:spacing w:val="-3"/>
        </w:rPr>
        <w:t>Research serves </w:t>
      </w:r>
      <w:r>
        <w:rPr/>
        <w:t>as a prerequisite </w:t>
      </w:r>
      <w:r>
        <w:rPr>
          <w:spacing w:val="-4"/>
        </w:rPr>
        <w:t>for </w:t>
      </w:r>
      <w:r>
        <w:rPr/>
        <w:t>this class. Previously acquired research knowledge is built upon </w:t>
      </w:r>
      <w:r>
        <w:rPr>
          <w:spacing w:val="-4"/>
        </w:rPr>
        <w:t>for </w:t>
      </w:r>
      <w:r>
        <w:rPr/>
        <w:t>elaborating </w:t>
      </w:r>
      <w:r>
        <w:rPr>
          <w:spacing w:val="-5"/>
        </w:rPr>
        <w:t>on </w:t>
      </w:r>
      <w:r>
        <w:rPr/>
        <w:t>the conceptual, methodological, and administrative aspects </w:t>
      </w:r>
      <w:r>
        <w:rPr>
          <w:spacing w:val="-3"/>
        </w:rPr>
        <w:t>of </w:t>
      </w:r>
      <w:r>
        <w:rPr/>
        <w:t>evaluation research. The course focuses </w:t>
      </w:r>
      <w:r>
        <w:rPr>
          <w:spacing w:val="-3"/>
        </w:rPr>
        <w:t>on </w:t>
      </w:r>
      <w:r>
        <w:rPr/>
        <w:t>use </w:t>
      </w:r>
      <w:r>
        <w:rPr>
          <w:spacing w:val="-3"/>
        </w:rPr>
        <w:t>of </w:t>
      </w:r>
      <w:r>
        <w:rPr/>
        <w:t>empirically based methods to enhance social work practice. Students will consider the theoretical and ethical aspects </w:t>
      </w:r>
      <w:r>
        <w:rPr>
          <w:spacing w:val="-3"/>
        </w:rPr>
        <w:t>of </w:t>
      </w:r>
      <w:r>
        <w:rPr/>
        <w:t>an evaluative approach to treatment and examine the policy implications </w:t>
      </w:r>
      <w:r>
        <w:rPr>
          <w:spacing w:val="-3"/>
        </w:rPr>
        <w:t>of </w:t>
      </w:r>
      <w:r>
        <w:rPr/>
        <w:t>professional participation (or lack thereof) in evaluation processes. (Prerequisite: SOWK</w:t>
      </w:r>
      <w:r>
        <w:rPr>
          <w:spacing w:val="3"/>
        </w:rPr>
        <w:t> </w:t>
      </w:r>
      <w:r>
        <w:rPr/>
        <w:t>670)</w:t>
      </w:r>
    </w:p>
    <w:p>
      <w:pPr>
        <w:pStyle w:val="BodyText"/>
        <w:spacing w:before="194"/>
        <w:ind w:left="199"/>
      </w:pPr>
      <w:r>
        <w:rPr/>
        <w:t>Offered:</w:t>
      </w:r>
      <w:r>
        <w:rPr>
          <w:spacing w:val="-2"/>
        </w:rPr>
        <w:t> </w:t>
      </w:r>
      <w:r>
        <w:rPr/>
        <w:t>202002.</w:t>
      </w:r>
    </w:p>
    <w:p>
      <w:pPr>
        <w:pStyle w:val="Heading6"/>
        <w:ind w:left="199"/>
      </w:pPr>
      <w:r>
        <w:rPr/>
        <w:t>SOWK 775 -</w:t>
      </w:r>
      <w:r>
        <w:rPr>
          <w:spacing w:val="3"/>
        </w:rPr>
        <w:t> </w:t>
      </w:r>
      <w:r>
        <w:rPr/>
        <w:t>(3)</w:t>
      </w:r>
    </w:p>
    <w:p>
      <w:pPr>
        <w:pStyle w:val="BodyText"/>
        <w:spacing w:before="187"/>
        <w:ind w:left="199"/>
      </w:pPr>
      <w:r>
        <w:rPr/>
        <w:t>Offered:</w:t>
      </w:r>
      <w:r>
        <w:rPr>
          <w:spacing w:val="-2"/>
        </w:rPr>
        <w:t> </w:t>
      </w:r>
      <w:r>
        <w:rPr/>
        <w:t>202002.</w:t>
      </w:r>
    </w:p>
    <w:p>
      <w:pPr>
        <w:pStyle w:val="Heading6"/>
        <w:ind w:left="199"/>
      </w:pPr>
      <w:r>
        <w:rPr/>
        <w:t>SOWK 777 -</w:t>
      </w:r>
      <w:r>
        <w:rPr>
          <w:spacing w:val="3"/>
        </w:rPr>
        <w:t> </w:t>
      </w:r>
      <w:r>
        <w:rPr/>
        <w:t>(3)</w:t>
      </w:r>
    </w:p>
    <w:p>
      <w:pPr>
        <w:pStyle w:val="BodyText"/>
        <w:spacing w:line="249" w:lineRule="auto" w:before="193"/>
        <w:ind w:left="199" w:right="607"/>
      </w:pPr>
      <w:r>
        <w:rPr/>
        <w:t>The purpose </w:t>
      </w:r>
      <w:r>
        <w:rPr>
          <w:spacing w:val="-3"/>
        </w:rPr>
        <w:t>of </w:t>
      </w:r>
      <w:r>
        <w:rPr/>
        <w:t>this advanced research course is to provide the student </w:t>
      </w:r>
      <w:r>
        <w:rPr>
          <w:spacing w:val="-3"/>
        </w:rPr>
        <w:t>with </w:t>
      </w:r>
      <w:r>
        <w:rPr/>
        <w:t>an opportunity to explore critical research questions, methods, and results that are related to the child welfare service delivery system. </w:t>
      </w:r>
      <w:r>
        <w:rPr>
          <w:spacing w:val="-3"/>
        </w:rPr>
        <w:t>Under </w:t>
      </w:r>
      <w:r>
        <w:rPr/>
        <w:t>federal requirements to report </w:t>
      </w:r>
      <w:r>
        <w:rPr>
          <w:spacing w:val="-5"/>
        </w:rPr>
        <w:t>on </w:t>
      </w:r>
      <w:r>
        <w:rPr/>
        <w:t>outcomes </w:t>
      </w:r>
      <w:r>
        <w:rPr>
          <w:spacing w:val="-3"/>
        </w:rPr>
        <w:t>of </w:t>
      </w:r>
      <w:r>
        <w:rPr/>
        <w:t>child welfare programs, social workers face a persistent challenge to improve the scientific knowledge that guides practice and policy in this field. This course </w:t>
      </w:r>
      <w:r>
        <w:rPr>
          <w:spacing w:val="-3"/>
        </w:rPr>
        <w:t>focuses on  </w:t>
      </w:r>
      <w:r>
        <w:rPr/>
        <w:t>the evaluation of interventions in child welfare, by measuring outcomes of child welfare programs. A goal </w:t>
      </w:r>
      <w:r>
        <w:rPr>
          <w:spacing w:val="-3"/>
        </w:rPr>
        <w:t>of </w:t>
      </w:r>
      <w:r>
        <w:rPr/>
        <w:t>this course is to draw the logic </w:t>
      </w:r>
      <w:r>
        <w:rPr>
          <w:spacing w:val="-3"/>
        </w:rPr>
        <w:t>between </w:t>
      </w:r>
      <w:r>
        <w:rPr/>
        <w:t>research findings and the development and evaluation </w:t>
      </w:r>
      <w:r>
        <w:rPr>
          <w:spacing w:val="-3"/>
        </w:rPr>
        <w:t>of </w:t>
      </w:r>
      <w:r>
        <w:rPr/>
        <w:t>child welfare programs, practice, and policy. As such, the course is intended </w:t>
      </w:r>
      <w:r>
        <w:rPr>
          <w:spacing w:val="-4"/>
        </w:rPr>
        <w:t>for </w:t>
      </w:r>
      <w:r>
        <w:rPr/>
        <w:t>students who are interested in discovering </w:t>
      </w:r>
      <w:r>
        <w:rPr>
          <w:spacing w:val="-3"/>
        </w:rPr>
        <w:t>ways </w:t>
      </w:r>
      <w:r>
        <w:rPr/>
        <w:t>to use research to </w:t>
      </w:r>
      <w:r>
        <w:rPr>
          <w:spacing w:val="-3"/>
        </w:rPr>
        <w:t>answer </w:t>
      </w:r>
      <w:r>
        <w:rPr/>
        <w:t>critical child welfare questions and to integrate empirical findings in their practice. This course fulfills the advance research requirement </w:t>
      </w:r>
      <w:r>
        <w:rPr>
          <w:spacing w:val="-4"/>
        </w:rPr>
        <w:t>for </w:t>
      </w:r>
      <w:r>
        <w:rPr/>
        <w:t>the families and children specialization. (Prerequisite: SOWK</w:t>
      </w:r>
      <w:r>
        <w:rPr>
          <w:spacing w:val="7"/>
        </w:rPr>
        <w:t> </w:t>
      </w:r>
      <w:r>
        <w:rPr/>
        <w:t>670)</w:t>
      </w:r>
    </w:p>
    <w:p>
      <w:pPr>
        <w:pStyle w:val="BodyText"/>
        <w:spacing w:before="190"/>
        <w:ind w:left="199"/>
      </w:pPr>
      <w:r>
        <w:rPr/>
        <w:t>Offered:</w:t>
      </w:r>
      <w:r>
        <w:rPr>
          <w:spacing w:val="-2"/>
        </w:rPr>
        <w:t> </w:t>
      </w:r>
      <w:r>
        <w:rPr/>
        <w:t>202002.</w:t>
      </w:r>
    </w:p>
    <w:p>
      <w:pPr>
        <w:pStyle w:val="Heading6"/>
        <w:ind w:left="199"/>
      </w:pPr>
      <w:r>
        <w:rPr/>
        <w:t>SOWK 781 -</w:t>
      </w:r>
      <w:r>
        <w:rPr>
          <w:spacing w:val="3"/>
        </w:rPr>
        <w:t> </w:t>
      </w:r>
      <w:r>
        <w:rPr/>
        <w:t>(3)</w:t>
      </w:r>
    </w:p>
    <w:p>
      <w:pPr>
        <w:pStyle w:val="BodyText"/>
        <w:spacing w:line="249" w:lineRule="auto" w:before="193"/>
        <w:ind w:left="199" w:right="622"/>
      </w:pPr>
      <w:r>
        <w:rPr/>
        <w:t>SOWK 781 is an advanced research course on Results- Based Accountability (RBA) and complementary Empowerment Evaluation (for working with stakeholders). This course is primarily designed for students in or planning to be in macro practice roles (such as human</w:t>
      </w:r>
    </w:p>
    <w:p>
      <w:pPr>
        <w:spacing w:after="0" w:line="249" w:lineRule="auto"/>
        <w:sectPr>
          <w:pgSz w:w="12240" w:h="15840"/>
          <w:pgMar w:header="746" w:footer="0" w:top="1320" w:bottom="280" w:left="880" w:right="300"/>
          <w:cols w:num="2" w:equalWidth="0">
            <w:col w:w="5000" w:space="486"/>
            <w:col w:w="5574"/>
          </w:cols>
        </w:sectPr>
      </w:pPr>
    </w:p>
    <w:p>
      <w:pPr>
        <w:pStyle w:val="BodyText"/>
        <w:spacing w:line="249" w:lineRule="auto" w:before="100"/>
        <w:ind w:left="199" w:right="157"/>
      </w:pPr>
      <w:r>
        <w:rPr/>
        <w:t>service or nonprofit administrators, program managers, supervisors, evaluators, community planners, developers, and organizers, and policy practitioners). The RBA framework, currently used at the national, state, local and community levels in the United States and abroad, is used to improve results among whole populations and to improve results among the consumers of specific programs, agencies and service-delivery systems. The goals of this course are for students to know how to use a results and performance framework, identify indicators of success and performance measures to track progress towards a result over time, and engage organizational members and community partners in efforts to collect and analyze data, measure outcomes, and interpret and utilize findings to enhance program, organizational, and community effectiveness. The course requires a hands-on team-based project in partnership with designated organizations or community initiatives. (Prerequisite: SOWK 670)</w:t>
      </w:r>
    </w:p>
    <w:p>
      <w:pPr>
        <w:pStyle w:val="BodyText"/>
        <w:spacing w:before="191"/>
        <w:ind w:left="199"/>
      </w:pPr>
      <w:r>
        <w:rPr/>
        <w:t>Offered:</w:t>
      </w:r>
      <w:r>
        <w:rPr>
          <w:spacing w:val="-2"/>
        </w:rPr>
        <w:t> </w:t>
      </w:r>
      <w:r>
        <w:rPr/>
        <w:t>202002.</w:t>
      </w:r>
    </w:p>
    <w:p>
      <w:pPr>
        <w:pStyle w:val="Heading6"/>
        <w:ind w:left="199"/>
      </w:pPr>
      <w:r>
        <w:rPr/>
        <w:t>SOWK 783 -</w:t>
      </w:r>
      <w:r>
        <w:rPr>
          <w:spacing w:val="3"/>
        </w:rPr>
        <w:t> </w:t>
      </w:r>
      <w:r>
        <w:rPr/>
        <w:t>(3)</w:t>
      </w:r>
    </w:p>
    <w:p>
      <w:pPr>
        <w:pStyle w:val="BodyText"/>
        <w:spacing w:line="249" w:lineRule="auto" w:before="193"/>
        <w:ind w:left="199" w:right="107"/>
      </w:pPr>
      <w:r>
        <w:rPr/>
        <w:t>The course purposes are: (1) To provide students with beginning level of skill in planning, implementing, and evaluating ethno-cultural research projects that utilize qualitative methods. (2) To enable students to develop confidence in their ability to independently conduct ethnocultural class project within constrains of time, energy, and resources. (3) To aid students to enhance their awareness of a role of an ethnographic researcher as one who learns from members of different cultural backgrounds in order to develop an ability to learn from insider perspectives. (Prerequisite: SOWK 670)</w:t>
      </w:r>
    </w:p>
    <w:p>
      <w:pPr>
        <w:pStyle w:val="BodyText"/>
        <w:ind w:left="199"/>
      </w:pPr>
      <w:r>
        <w:rPr/>
        <w:t>Offered: 202002.</w:t>
      </w:r>
    </w:p>
    <w:p>
      <w:pPr>
        <w:pStyle w:val="Heading6"/>
        <w:ind w:left="199"/>
      </w:pPr>
      <w:r>
        <w:rPr/>
        <w:t>SOWK 789 - (1 TO 6)</w:t>
      </w:r>
    </w:p>
    <w:p>
      <w:pPr>
        <w:pStyle w:val="BodyText"/>
        <w:spacing w:line="249" w:lineRule="auto" w:before="193"/>
        <w:ind w:left="199" w:right="23"/>
      </w:pPr>
      <w:r>
        <w:rPr/>
        <w:t>The instructor-initiated advanced research course involves student participation in research activities under the instructor’s direction and supervision. Opportunities are provided for students to engage in hands-on research activities which contribute to a faculty member’s program of research. See specific course descriptions offered each semester in the course schedule. (Prerequisite: SOWK 670)</w:t>
      </w:r>
    </w:p>
    <w:p>
      <w:pPr>
        <w:pStyle w:val="BodyText"/>
        <w:spacing w:before="182"/>
        <w:ind w:left="199"/>
      </w:pPr>
      <w:r>
        <w:rPr/>
        <w:t>Offered: 202002.</w:t>
      </w:r>
    </w:p>
    <w:p>
      <w:pPr>
        <w:pStyle w:val="Heading6"/>
        <w:ind w:left="199"/>
      </w:pPr>
      <w:r>
        <w:rPr/>
        <w:t>SOWK 790 - (1 TO 6)</w:t>
      </w:r>
    </w:p>
    <w:p>
      <w:pPr>
        <w:pStyle w:val="BodyText"/>
        <w:spacing w:line="249" w:lineRule="auto" w:before="193"/>
        <w:ind w:left="199" w:right="84"/>
      </w:pPr>
      <w:r>
        <w:rPr/>
        <w:t>The student-initiated independent research course</w:t>
      </w:r>
      <w:r>
        <w:rPr>
          <w:spacing w:val="-28"/>
        </w:rPr>
        <w:t> </w:t>
      </w:r>
      <w:r>
        <w:rPr/>
        <w:t>provides an opportunity for students </w:t>
      </w:r>
      <w:r>
        <w:rPr>
          <w:spacing w:val="-3"/>
        </w:rPr>
        <w:t>with </w:t>
      </w:r>
      <w:r>
        <w:rPr/>
        <w:t>advanced research abilities to pursue a research topic </w:t>
      </w:r>
      <w:r>
        <w:rPr>
          <w:spacing w:val="-3"/>
        </w:rPr>
        <w:t>of </w:t>
      </w:r>
      <w:r>
        <w:rPr/>
        <w:t>personal interest that cannot </w:t>
      </w:r>
      <w:r>
        <w:rPr>
          <w:spacing w:val="-3"/>
        </w:rPr>
        <w:t>be </w:t>
      </w:r>
      <w:r>
        <w:rPr/>
        <w:t>addressed in the existing MSW curriculum.</w:t>
      </w:r>
      <w:r>
        <w:rPr>
          <w:spacing w:val="-8"/>
        </w:rPr>
        <w:t> </w:t>
      </w:r>
      <w:r>
        <w:rPr/>
        <w:t>This</w:t>
      </w:r>
    </w:p>
    <w:p>
      <w:pPr>
        <w:pStyle w:val="BodyText"/>
        <w:spacing w:line="249" w:lineRule="auto" w:before="96"/>
        <w:ind w:left="199" w:right="612"/>
      </w:pPr>
      <w:r>
        <w:rPr/>
        <w:br w:type="column"/>
      </w:r>
      <w:r>
        <w:rPr/>
        <w:t>course requires a faculty mentor and a written proposal that is </w:t>
      </w:r>
      <w:r>
        <w:rPr>
          <w:spacing w:val="-3"/>
        </w:rPr>
        <w:t>approved </w:t>
      </w:r>
      <w:r>
        <w:rPr/>
        <w:t>by the research sequence as methodically sound. It must also </w:t>
      </w:r>
      <w:r>
        <w:rPr>
          <w:spacing w:val="-3"/>
        </w:rPr>
        <w:t>be </w:t>
      </w:r>
      <w:r>
        <w:rPr/>
        <w:t>approved by the chair </w:t>
      </w:r>
      <w:r>
        <w:rPr>
          <w:spacing w:val="-3"/>
        </w:rPr>
        <w:t>of </w:t>
      </w:r>
      <w:r>
        <w:rPr/>
        <w:t>the student’s concentration and specialization. To </w:t>
      </w:r>
      <w:r>
        <w:rPr>
          <w:spacing w:val="-3"/>
        </w:rPr>
        <w:t>be </w:t>
      </w:r>
      <w:r>
        <w:rPr/>
        <w:t>eligible  to propose an independent research course, the student must have earned a grade </w:t>
      </w:r>
      <w:r>
        <w:rPr>
          <w:spacing w:val="-3"/>
        </w:rPr>
        <w:t>of </w:t>
      </w:r>
      <w:r>
        <w:rPr/>
        <w:t>A in SOWK 670, and must have some hands-on research experience. Approval submission deadlines are: </w:t>
      </w:r>
      <w:r>
        <w:rPr>
          <w:spacing w:val="-3"/>
        </w:rPr>
        <w:t>March </w:t>
      </w:r>
      <w:r>
        <w:rPr/>
        <w:t>1st </w:t>
      </w:r>
      <w:r>
        <w:rPr>
          <w:spacing w:val="-4"/>
        </w:rPr>
        <w:t>for </w:t>
      </w:r>
      <w:r>
        <w:rPr/>
        <w:t>fall semester; </w:t>
      </w:r>
      <w:r>
        <w:rPr>
          <w:spacing w:val="-3"/>
        </w:rPr>
        <w:t>October </w:t>
      </w:r>
      <w:r>
        <w:rPr/>
        <w:t>1st </w:t>
      </w:r>
      <w:r>
        <w:rPr>
          <w:spacing w:val="-4"/>
        </w:rPr>
        <w:t>for </w:t>
      </w:r>
      <w:r>
        <w:rPr/>
        <w:t>spring semester. (Prerequisite: SOWK</w:t>
      </w:r>
      <w:r>
        <w:rPr>
          <w:spacing w:val="21"/>
        </w:rPr>
        <w:t> </w:t>
      </w:r>
      <w:r>
        <w:rPr/>
        <w:t>670)</w:t>
      </w:r>
    </w:p>
    <w:p>
      <w:pPr>
        <w:pStyle w:val="BodyText"/>
        <w:spacing w:before="184"/>
        <w:ind w:left="199"/>
      </w:pPr>
      <w:r>
        <w:rPr/>
        <w:t>Offered: 202002.</w:t>
      </w:r>
    </w:p>
    <w:p>
      <w:pPr>
        <w:pStyle w:val="Heading6"/>
        <w:ind w:left="199"/>
      </w:pPr>
      <w:r>
        <w:rPr/>
        <w:t>SOWK 798 - (1 TO 3)</w:t>
      </w:r>
    </w:p>
    <w:p>
      <w:pPr>
        <w:pStyle w:val="BodyText"/>
        <w:spacing w:line="249" w:lineRule="auto" w:before="192"/>
        <w:ind w:left="199" w:right="684"/>
      </w:pPr>
      <w:r>
        <w:rPr/>
        <w:t>A student-selected topic is studied under the guidance of a faculty member.</w:t>
      </w:r>
    </w:p>
    <w:p>
      <w:pPr>
        <w:pStyle w:val="BodyText"/>
        <w:spacing w:before="180"/>
        <w:ind w:left="199"/>
      </w:pPr>
      <w:r>
        <w:rPr/>
        <w:t>Offered: 202002.</w:t>
      </w:r>
    </w:p>
    <w:p>
      <w:pPr>
        <w:pStyle w:val="Heading6"/>
        <w:ind w:left="199"/>
      </w:pPr>
      <w:r>
        <w:rPr/>
        <w:t>SOWK 799 - (1 TO 6)</w:t>
      </w:r>
    </w:p>
    <w:p>
      <w:pPr>
        <w:pStyle w:val="BodyText"/>
        <w:spacing w:before="192"/>
        <w:ind w:left="199"/>
      </w:pPr>
      <w:r>
        <w:rPr/>
        <w:t>Offered: 202002.</w:t>
      </w:r>
    </w:p>
    <w:p>
      <w:pPr>
        <w:pStyle w:val="BodyText"/>
        <w:spacing w:before="5"/>
        <w:ind w:left="0"/>
        <w:rPr>
          <w:sz w:val="17"/>
        </w:rPr>
      </w:pPr>
    </w:p>
    <w:p>
      <w:pPr>
        <w:pStyle w:val="Heading2"/>
      </w:pPr>
      <w:bookmarkStart w:name="THAN" w:id="151"/>
      <w:bookmarkEnd w:id="151"/>
      <w:r>
        <w:rPr/>
      </w:r>
      <w:bookmarkStart w:name="_bookmark75" w:id="152"/>
      <w:bookmarkEnd w:id="152"/>
      <w:r>
        <w:rPr/>
      </w:r>
      <w:r>
        <w:rPr/>
        <w:t>THAN</w:t>
      </w:r>
    </w:p>
    <w:p>
      <w:pPr>
        <w:pStyle w:val="Heading6"/>
        <w:spacing w:line="249" w:lineRule="auto" w:before="128"/>
        <w:ind w:right="825"/>
      </w:pPr>
      <w:r>
        <w:rPr/>
        <w:t>THAN 604 - DEATH AND DYING: ETHICAL AND LEGAL CONSIDERATIONS (3)</w:t>
      </w:r>
    </w:p>
    <w:p>
      <w:pPr>
        <w:pStyle w:val="BodyText"/>
        <w:spacing w:line="249" w:lineRule="auto" w:before="179"/>
        <w:ind w:right="686"/>
      </w:pPr>
      <w:r>
        <w:rPr/>
        <w:t>This course provides participants </w:t>
      </w:r>
      <w:r>
        <w:rPr>
          <w:spacing w:val="-3"/>
        </w:rPr>
        <w:t>with </w:t>
      </w:r>
      <w:r>
        <w:rPr/>
        <w:t>the information and skills needed to address ethical and legal concerns related to palliative and end-of-life care. Participants will learn the theoretical foundations </w:t>
      </w:r>
      <w:r>
        <w:rPr>
          <w:spacing w:val="-3"/>
        </w:rPr>
        <w:t>of </w:t>
      </w:r>
      <w:r>
        <w:rPr/>
        <w:t>health care ethics, including the Hippocratic Oath, ethical principles, virtue ethics, deontology, utilitarianism, and care-based ethics. The relationship </w:t>
      </w:r>
      <w:r>
        <w:rPr>
          <w:spacing w:val="-3"/>
        </w:rPr>
        <w:t>between </w:t>
      </w:r>
      <w:r>
        <w:rPr/>
        <w:t>law and ethics will </w:t>
      </w:r>
      <w:r>
        <w:rPr>
          <w:spacing w:val="-3"/>
        </w:rPr>
        <w:t>be </w:t>
      </w:r>
      <w:r>
        <w:rPr/>
        <w:t>clarified. The focus of society and medicine in delaying death and addressing human suffering will </w:t>
      </w:r>
      <w:r>
        <w:rPr>
          <w:spacing w:val="-3"/>
        </w:rPr>
        <w:t>be </w:t>
      </w:r>
      <w:r>
        <w:rPr/>
        <w:t>discussed. Emphasis will </w:t>
      </w:r>
      <w:r>
        <w:rPr>
          <w:spacing w:val="-3"/>
        </w:rPr>
        <w:t>be </w:t>
      </w:r>
      <w:r>
        <w:rPr/>
        <w:t>placed </w:t>
      </w:r>
      <w:r>
        <w:rPr>
          <w:spacing w:val="-3"/>
        </w:rPr>
        <w:t>on </w:t>
      </w:r>
      <w:r>
        <w:rPr/>
        <w:t>developing a knowledge base of key concepts and strategies that </w:t>
      </w:r>
      <w:r>
        <w:rPr>
          <w:spacing w:val="-3"/>
        </w:rPr>
        <w:t>can be </w:t>
      </w:r>
      <w:r>
        <w:rPr/>
        <w:t>used to prevent and resolve problems that are specific to palliative and </w:t>
      </w:r>
      <w:r>
        <w:rPr>
          <w:spacing w:val="-3"/>
        </w:rPr>
        <w:t>end-of- </w:t>
      </w:r>
      <w:r>
        <w:rPr/>
        <w:t>life care, including advance directives, cardiopulmonary resuscitation, suffering, withholding and withdrawing </w:t>
      </w:r>
      <w:r>
        <w:rPr>
          <w:spacing w:val="-3"/>
        </w:rPr>
        <w:t>life- </w:t>
      </w:r>
      <w:r>
        <w:rPr/>
        <w:t>sustaining treatments, organ donation, and assisted suicide.</w:t>
      </w:r>
    </w:p>
    <w:p>
      <w:pPr>
        <w:pStyle w:val="Heading6"/>
        <w:spacing w:before="132"/>
      </w:pPr>
      <w:r>
        <w:rPr/>
        <w:t>THAN 605 - PALLIATIVE CARE (3)</w:t>
      </w:r>
    </w:p>
    <w:p>
      <w:pPr>
        <w:pStyle w:val="BodyText"/>
        <w:spacing w:line="249" w:lineRule="auto" w:before="192"/>
        <w:ind w:right="738"/>
      </w:pPr>
      <w:r>
        <w:rPr/>
        <w:t>In this course on end-of-life care, participants will learn practical skills to assist people who are facing incurable illnesses, such as cancer, severe cardiovascular disease, and progressive neurodegenerative diseases. Palliative care focuses on symptom control and amelioration of suffering, which are often underemphasized in conventional healthcare training. Topics will include pain and symptom management strategies, both conventional and complementary, determination of terminal prognosis,</w:t>
      </w:r>
    </w:p>
    <w:p>
      <w:pPr>
        <w:spacing w:after="0" w:line="249" w:lineRule="auto"/>
        <w:sectPr>
          <w:pgSz w:w="12240" w:h="15840"/>
          <w:pgMar w:header="746" w:footer="0" w:top="1320" w:bottom="280" w:left="880" w:right="300"/>
          <w:cols w:num="2" w:equalWidth="0">
            <w:col w:w="4997" w:space="489"/>
            <w:col w:w="5574"/>
          </w:cols>
        </w:sectPr>
      </w:pPr>
    </w:p>
    <w:p>
      <w:pPr>
        <w:pStyle w:val="BodyText"/>
        <w:spacing w:line="249" w:lineRule="auto" w:before="100"/>
        <w:ind w:right="22"/>
      </w:pPr>
      <w:r>
        <w:rPr/>
        <w:t>hospice care, palliative care emergencies, and discussion of advance directives. Participants will enjoy creative and thoughtful reflection activities that allow them to deeply engage in the topics covered in this course.</w:t>
      </w:r>
    </w:p>
    <w:p>
      <w:pPr>
        <w:pStyle w:val="Heading6"/>
        <w:spacing w:before="123"/>
      </w:pPr>
      <w:r>
        <w:rPr/>
        <w:t>THAN 606 - CARING FOR THE BEREAVED (3)</w:t>
      </w:r>
    </w:p>
    <w:p>
      <w:pPr>
        <w:pStyle w:val="BodyText"/>
        <w:spacing w:line="249" w:lineRule="auto" w:before="187"/>
        <w:ind w:left="199" w:right="45"/>
      </w:pPr>
      <w:r>
        <w:rPr/>
        <w:t>In this second Fall course, participants will learn the prominent theories of grieving and the grief reaction, as well as the empirically-based therapeutic interventions available to support and care for the bereaved. Participants will learn to distinguish between anticipatory grief, normal grief, and complicated grief and to identify factors that affect the grieving process. This course also explores reflective practice and self-care for the end-of-life care professional while learning to support those who are dying and those who are grieving.</w:t>
      </w:r>
    </w:p>
    <w:p>
      <w:pPr>
        <w:pStyle w:val="Heading6"/>
        <w:spacing w:before="128"/>
        <w:ind w:left="199"/>
      </w:pPr>
      <w:r>
        <w:rPr/>
        <w:t>THAN 609 - PERSPECTIVES IN AGING (3)</w:t>
      </w:r>
    </w:p>
    <w:p>
      <w:pPr>
        <w:pStyle w:val="BodyText"/>
        <w:spacing w:line="249" w:lineRule="auto" w:before="192"/>
        <w:ind w:left="199" w:right="94"/>
      </w:pPr>
      <w:r>
        <w:rPr/>
        <w:t>This course explores the psychological and social aspects of adult development within the context of the ongoing process of aging. Upon completion of this course, students will be able to describe the major psychological and sociological theories of aging and adult development; understand the physical, psychological, social, and health changes that occur during aging; evaluate the biological, psychological, intellectual, and social dimensions along which developmental changes occur in adult aging and their implications for the aging individual, family, and society; understand the importance of an individual?s cultural context while progressing through the life course; and identify current research trends and theories regarding several aspects of the aging process (e.g. death and dying, mental health, positive affect, personality, chronic disease, and social roles).</w:t>
      </w:r>
    </w:p>
    <w:p>
      <w:pPr>
        <w:pStyle w:val="BodyText"/>
        <w:spacing w:before="4"/>
        <w:ind w:left="0"/>
        <w:rPr>
          <w:sz w:val="17"/>
        </w:rPr>
      </w:pPr>
    </w:p>
    <w:p>
      <w:pPr>
        <w:pStyle w:val="Heading2"/>
      </w:pPr>
      <w:bookmarkStart w:name="TOXI" w:id="153"/>
      <w:bookmarkEnd w:id="153"/>
      <w:r>
        <w:rPr/>
      </w:r>
      <w:bookmarkStart w:name="_bookmark76" w:id="154"/>
      <w:bookmarkEnd w:id="154"/>
      <w:r>
        <w:rPr/>
      </w:r>
      <w:r>
        <w:rPr/>
        <w:t>TOXI</w:t>
      </w:r>
    </w:p>
    <w:p>
      <w:pPr>
        <w:pStyle w:val="Heading6"/>
        <w:spacing w:before="129"/>
      </w:pPr>
      <w:r>
        <w:rPr/>
        <w:t>TOXI 601 - ADVANCED TOXICOLOGY I (3)</w:t>
      </w:r>
    </w:p>
    <w:p>
      <w:pPr>
        <w:pStyle w:val="BodyText"/>
        <w:spacing w:line="249" w:lineRule="auto" w:before="187"/>
        <w:ind w:right="122"/>
      </w:pPr>
      <w:r>
        <w:rPr/>
        <w:t>The first semester of a two-semester course that includes lectures and discussions covering basic principles of toxicology and mechanisms by which chemicals cause diseases and environmental damage. Topics include target organ toxicity, major classes of toxic agents, and mechanisms of cell injury and cell death. Offered in sequence in fall and spring semesters.</w:t>
      </w:r>
    </w:p>
    <w:p>
      <w:pPr>
        <w:pStyle w:val="Heading6"/>
        <w:spacing w:before="125"/>
      </w:pPr>
      <w:r>
        <w:rPr/>
        <w:t>TOXI 602 - ADVANCED TOXICOLOGY II (3)</w:t>
      </w:r>
    </w:p>
    <w:p>
      <w:pPr>
        <w:pStyle w:val="BodyText"/>
        <w:spacing w:line="249" w:lineRule="auto" w:before="193"/>
        <w:ind w:left="199" w:right="95"/>
      </w:pPr>
      <w:r>
        <w:rPr/>
        <w:t>The second semester of a two-semester course that includes lectures and discussions covering basic principles of toxicology and mechanisms by which chemicals cause diseases and environmental damage. Topics include target</w:t>
      </w:r>
    </w:p>
    <w:p>
      <w:pPr>
        <w:pStyle w:val="BodyText"/>
        <w:spacing w:line="249" w:lineRule="auto" w:before="99"/>
        <w:ind w:left="199" w:right="1195"/>
      </w:pPr>
      <w:r>
        <w:rPr/>
        <w:br w:type="column"/>
      </w:r>
      <w:r>
        <w:rPr/>
        <w:t>organ toxicity, major classes of toxic agents, and mechanisms of cell injury and cell death. Offered in sequence in fall and spring semesters.</w:t>
      </w:r>
    </w:p>
    <w:p>
      <w:pPr>
        <w:pStyle w:val="Heading6"/>
        <w:spacing w:before="122"/>
        <w:ind w:left="199"/>
      </w:pPr>
      <w:r>
        <w:rPr/>
        <w:t>TOXI 607 - FORENSIC TOXICOLOGY (3)</w:t>
      </w:r>
    </w:p>
    <w:p>
      <w:pPr>
        <w:pStyle w:val="BodyText"/>
        <w:spacing w:line="249" w:lineRule="auto" w:before="188"/>
        <w:ind w:left="199" w:right="834"/>
      </w:pPr>
      <w:r>
        <w:rPr/>
        <w:t>Lectures include discussion of principles underlying forensic and clinical toxicology, mechanism of action of drugs and other poisons, methods of detection and quantitation of drugs and poisons in tissues and body fluids, and interpretation of analytical procedures for the detection and estimation of drugs and chemicals in biological samples. Offered fall semester in even- numbered years.</w:t>
      </w:r>
    </w:p>
    <w:p>
      <w:pPr>
        <w:pStyle w:val="Heading6"/>
        <w:spacing w:before="126"/>
        <w:ind w:left="199"/>
      </w:pPr>
      <w:r>
        <w:rPr/>
        <w:t>TOXI 608 - RESEARCH IN TOXICOLOGY (2 TO 4)</w:t>
      </w:r>
    </w:p>
    <w:p>
      <w:pPr>
        <w:pStyle w:val="BodyText"/>
        <w:spacing w:line="249" w:lineRule="auto" w:before="192"/>
        <w:ind w:left="199" w:right="624"/>
      </w:pPr>
      <w:r>
        <w:rPr/>
        <w:t>Designed </w:t>
      </w:r>
      <w:r>
        <w:rPr>
          <w:spacing w:val="-4"/>
        </w:rPr>
        <w:t>for </w:t>
      </w:r>
      <w:r>
        <w:rPr/>
        <w:t>students without previous research experience, this course provides training in how to design and conduct research studies, beginning </w:t>
      </w:r>
      <w:r>
        <w:rPr>
          <w:spacing w:val="-3"/>
        </w:rPr>
        <w:t>with </w:t>
      </w:r>
      <w:r>
        <w:rPr/>
        <w:t>a </w:t>
      </w:r>
      <w:r>
        <w:rPr>
          <w:spacing w:val="-3"/>
        </w:rPr>
        <w:t>two-week </w:t>
      </w:r>
      <w:r>
        <w:rPr/>
        <w:t>classroom based introduction to hypothesis-driven research and experimental approaches used in mechanistic studies in toxicology. For the remainder </w:t>
      </w:r>
      <w:r>
        <w:rPr>
          <w:spacing w:val="-3"/>
        </w:rPr>
        <w:t>of </w:t>
      </w:r>
      <w:r>
        <w:rPr/>
        <w:t>the semester, </w:t>
      </w:r>
      <w:r>
        <w:rPr>
          <w:spacing w:val="-3"/>
        </w:rPr>
        <w:t>each </w:t>
      </w:r>
      <w:r>
        <w:rPr/>
        <w:t>student works individually with a faculty mentor to develop and complete a small lab-based </w:t>
      </w:r>
      <w:r>
        <w:rPr>
          <w:spacing w:val="-3"/>
        </w:rPr>
        <w:t>or </w:t>
      </w:r>
      <w:r>
        <w:rPr/>
        <w:t>epidemiology research project. A written report is generated and results of the project presented at the end </w:t>
      </w:r>
      <w:r>
        <w:rPr>
          <w:spacing w:val="-3"/>
        </w:rPr>
        <w:t>of </w:t>
      </w:r>
      <w:r>
        <w:rPr/>
        <w:t>the semester</w:t>
      </w:r>
      <w:r>
        <w:rPr>
          <w:spacing w:val="-13"/>
        </w:rPr>
        <w:t> </w:t>
      </w:r>
      <w:r>
        <w:rPr/>
        <w:t>seminar.</w:t>
      </w:r>
    </w:p>
    <w:p>
      <w:pPr>
        <w:pStyle w:val="Heading6"/>
        <w:spacing w:before="127"/>
        <w:ind w:left="199"/>
      </w:pPr>
      <w:r>
        <w:rPr/>
        <w:t>TOXI 609 - METHODS IN TOXICOLOGY (1 TO 3)</w:t>
      </w:r>
    </w:p>
    <w:p>
      <w:pPr>
        <w:pStyle w:val="BodyText"/>
        <w:spacing w:line="249" w:lineRule="auto" w:before="188"/>
        <w:ind w:left="199" w:right="678"/>
      </w:pPr>
      <w:r>
        <w:rPr/>
        <w:t>Permission and credit arranged individually. Students become familiar with laboratory methods used by faculty members to study the effect of toxins and environmental pollutants on living systems. May be taken for credit more than once.</w:t>
      </w:r>
    </w:p>
    <w:p>
      <w:pPr>
        <w:pStyle w:val="Heading6"/>
        <w:spacing w:line="249" w:lineRule="auto" w:before="124"/>
        <w:ind w:left="199" w:right="1360"/>
      </w:pPr>
      <w:r>
        <w:rPr/>
        <w:t>TOXI 611 - EXPOSURE, RISK AND PUBLIC HEALTH (2)</w:t>
      </w:r>
    </w:p>
    <w:p>
      <w:pPr>
        <w:pStyle w:val="BodyText"/>
        <w:spacing w:line="249" w:lineRule="auto" w:before="184"/>
        <w:ind w:left="199" w:right="651"/>
      </w:pPr>
      <w:r>
        <w:rPr/>
        <w:t>This course focuses on the challenges in determining human health risks related to complex environmental problems. Beginning with a discussion of the principles of chemical risk assessment, this course examines how risk analysis is used in the development and implementation of regulatory policies to protect public health. Lectures address how to evaluate strengths and weaknesses of the risk assessment process, with an emphasis on characterizing exposure and evaluating toxicological data within the public health context. Case studies are used to demonstrate different approaches to these problems.</w:t>
      </w:r>
    </w:p>
    <w:p>
      <w:pPr>
        <w:pStyle w:val="Heading6"/>
        <w:spacing w:before="128"/>
        <w:ind w:left="199"/>
      </w:pPr>
      <w:r>
        <w:rPr/>
        <w:t>TOXI 618 - SEMINAR IN TOXICOLOGY (1)</w:t>
      </w:r>
    </w:p>
    <w:p>
      <w:pPr>
        <w:pStyle w:val="BodyText"/>
        <w:spacing w:line="249" w:lineRule="auto" w:before="187"/>
        <w:ind w:left="199" w:right="728"/>
      </w:pPr>
      <w:r>
        <w:rPr/>
        <w:t>Students, guests, and faculty members review and discuss original research and recent advances in toxicology.</w:t>
      </w:r>
    </w:p>
    <w:p>
      <w:pPr>
        <w:spacing w:after="0" w:line="249" w:lineRule="auto"/>
        <w:sectPr>
          <w:pgSz w:w="12240" w:h="15840"/>
          <w:pgMar w:header="746" w:footer="0" w:top="1320" w:bottom="280" w:left="880" w:right="300"/>
          <w:cols w:num="2" w:equalWidth="0">
            <w:col w:w="5002" w:space="484"/>
            <w:col w:w="5574"/>
          </w:cols>
        </w:sectPr>
      </w:pPr>
    </w:p>
    <w:p>
      <w:pPr>
        <w:pStyle w:val="Heading6"/>
        <w:spacing w:line="249" w:lineRule="auto" w:before="100"/>
        <w:ind w:right="7467"/>
      </w:pPr>
      <w:r>
        <w:rPr/>
        <w:t>TOXI 621 - RISK ASSESSMENT AND MANAGEMENT (3)</w:t>
      </w:r>
    </w:p>
    <w:p>
      <w:pPr>
        <w:pStyle w:val="BodyText"/>
        <w:spacing w:line="249" w:lineRule="auto" w:before="179"/>
        <w:ind w:right="6136"/>
      </w:pPr>
      <w:r>
        <w:rPr/>
        <w:t>This course is designed to teach students the basic principles that apply to risk assessment of the environmental and human health effects of hazardous chemicals. The course features both lectures and case studies to introduce students to environmental regulations that impact the use, environmental release and clean up of chemical contaminants. Student will learn how to evaluate relationships between exposure to chemicals and health outcomes and how regulations are developed to protect human health. Crosslisted: ELS Risk Assessment and Management in a Regulatory Context (School of Law)</w:t>
      </w:r>
    </w:p>
    <w:p>
      <w:pPr>
        <w:pStyle w:val="Heading6"/>
        <w:spacing w:before="128"/>
      </w:pPr>
      <w:r>
        <w:rPr/>
        <w:t>TOXI 625 - AQUATIC TOXICOLOGY (3)</w:t>
      </w:r>
    </w:p>
    <w:p>
      <w:pPr>
        <w:pStyle w:val="BodyText"/>
        <w:spacing w:line="249" w:lineRule="auto" w:before="192"/>
        <w:ind w:right="6160"/>
      </w:pPr>
      <w:r>
        <w:rPr/>
        <w:t>This course is designed to provide students </w:t>
      </w:r>
      <w:r>
        <w:rPr>
          <w:spacing w:val="-3"/>
        </w:rPr>
        <w:t>with </w:t>
      </w:r>
      <w:r>
        <w:rPr/>
        <w:t>a broad perspective </w:t>
      </w:r>
      <w:r>
        <w:rPr>
          <w:spacing w:val="-3"/>
        </w:rPr>
        <w:t>on </w:t>
      </w:r>
      <w:r>
        <w:rPr/>
        <w:t>the subject of aquatic toxicology. It is a comprehensive course in </w:t>
      </w:r>
      <w:r>
        <w:rPr>
          <w:spacing w:val="-3"/>
        </w:rPr>
        <w:t>which </w:t>
      </w:r>
      <w:r>
        <w:rPr/>
        <w:t>a definitive description </w:t>
      </w:r>
      <w:r>
        <w:rPr>
          <w:spacing w:val="-3"/>
        </w:rPr>
        <w:t>of </w:t>
      </w:r>
      <w:r>
        <w:rPr/>
        <w:t>basic concepts and principles, laboratory testing, and field situations, as </w:t>
      </w:r>
      <w:r>
        <w:rPr>
          <w:spacing w:val="-3"/>
        </w:rPr>
        <w:t>well </w:t>
      </w:r>
      <w:r>
        <w:rPr/>
        <w:t>as examples </w:t>
      </w:r>
      <w:r>
        <w:rPr>
          <w:spacing w:val="-3"/>
        </w:rPr>
        <w:t>of </w:t>
      </w:r>
      <w:r>
        <w:rPr/>
        <w:t>typical data and their interpretation and use by industry and </w:t>
      </w:r>
      <w:r>
        <w:rPr>
          <w:spacing w:val="-3"/>
        </w:rPr>
        <w:t>water </w:t>
      </w:r>
      <w:r>
        <w:rPr/>
        <w:t>resource managers, are discussed. The toxicological action and fate of environmental pollutants are examined in aquatic ecosystems, whole organisms and at the cellular, biochemical, and molecular levels. Attention is </w:t>
      </w:r>
      <w:r>
        <w:rPr>
          <w:spacing w:val="-3"/>
        </w:rPr>
        <w:t>given </w:t>
      </w:r>
      <w:r>
        <w:rPr/>
        <w:t>to the impact </w:t>
      </w:r>
      <w:r>
        <w:rPr>
          <w:spacing w:val="-3"/>
        </w:rPr>
        <w:t>of </w:t>
      </w:r>
      <w:r>
        <w:rPr/>
        <w:t>specific chemical pollutants (e.g. trace metals, nutrients, pesticides, and PCB's and PAH's). The field </w:t>
      </w:r>
      <w:r>
        <w:rPr>
          <w:spacing w:val="-3"/>
        </w:rPr>
        <w:t>of </w:t>
      </w:r>
      <w:r>
        <w:rPr/>
        <w:t>biomonitoring, including the detailed description of a range </w:t>
      </w:r>
      <w:r>
        <w:rPr>
          <w:spacing w:val="-3"/>
        </w:rPr>
        <w:t>of </w:t>
      </w:r>
      <w:r>
        <w:rPr/>
        <w:t>commonly employed biomarkers, is discussed. Classes consist </w:t>
      </w:r>
      <w:r>
        <w:rPr>
          <w:spacing w:val="-3"/>
        </w:rPr>
        <w:t>of </w:t>
      </w:r>
      <w:r>
        <w:rPr/>
        <w:t>lectures by the instructor together </w:t>
      </w:r>
      <w:r>
        <w:rPr>
          <w:spacing w:val="-3"/>
        </w:rPr>
        <w:t>with </w:t>
      </w:r>
      <w:r>
        <w:rPr/>
        <w:t>some guest speakers in addition to group discussions. Crosslisted: MEES 743 Aquatic</w:t>
      </w:r>
      <w:r>
        <w:rPr>
          <w:spacing w:val="-16"/>
        </w:rPr>
        <w:t> </w:t>
      </w:r>
      <w:r>
        <w:rPr/>
        <w:t>Toxicology</w:t>
      </w:r>
    </w:p>
    <w:p>
      <w:pPr>
        <w:pStyle w:val="Heading6"/>
        <w:spacing w:line="249" w:lineRule="auto" w:before="133"/>
        <w:ind w:right="6255"/>
      </w:pPr>
      <w:r>
        <w:rPr/>
        <w:t>TOXI 799 - MASTER?S THESIS RESEARCH (1 TO 6)</w:t>
      </w:r>
    </w:p>
    <w:p>
      <w:pPr>
        <w:pStyle w:val="BodyText"/>
        <w:spacing w:line="249" w:lineRule="auto" w:before="179"/>
        <w:ind w:right="6530"/>
      </w:pPr>
      <w:r>
        <w:rPr/>
        <w:t>Required enrollment for students engaged in master?s thesis studies.</w:t>
      </w:r>
    </w:p>
    <w:p>
      <w:pPr>
        <w:pStyle w:val="Heading6"/>
        <w:spacing w:before="121"/>
      </w:pPr>
      <w:r>
        <w:rPr/>
        <w:t>TOXI 898 - PRE-CANDIDACY RESEARCH (1 TO 8)</w:t>
      </w:r>
    </w:p>
    <w:p>
      <w:pPr>
        <w:pStyle w:val="BodyText"/>
        <w:spacing w:line="249" w:lineRule="auto" w:before="193"/>
        <w:ind w:right="6163"/>
      </w:pPr>
      <w:r>
        <w:rPr/>
        <w:t>Required enrollment for students engaged in doctoral dissertation studies prior to their admission to candidacy.</w:t>
      </w:r>
    </w:p>
    <w:p>
      <w:pPr>
        <w:pStyle w:val="Heading6"/>
        <w:spacing w:line="249" w:lineRule="auto" w:before="121"/>
        <w:ind w:right="7094"/>
      </w:pPr>
      <w:r>
        <w:rPr/>
        <w:t>TOXI 899 - DOCTORAL DISSERTATION RESEARCH (1 TO 12)</w:t>
      </w:r>
    </w:p>
    <w:p>
      <w:pPr>
        <w:pStyle w:val="BodyText"/>
        <w:spacing w:line="249" w:lineRule="auto" w:before="179"/>
        <w:ind w:right="6574"/>
      </w:pPr>
      <w:r>
        <w:rPr/>
        <w:t>Required enrollment for students engaged in doctoral dissertation studies.</w:t>
      </w:r>
    </w:p>
    <w:p>
      <w:pPr>
        <w:spacing w:after="0" w:line="249" w:lineRule="auto"/>
        <w:sectPr>
          <w:pgSz w:w="12240" w:h="15840"/>
          <w:pgMar w:header="746" w:footer="0" w:top="1320" w:bottom="280" w:left="880" w:right="300"/>
        </w:sectPr>
      </w:pPr>
    </w:p>
    <w:p>
      <w:pPr>
        <w:pStyle w:val="Heading1"/>
      </w:pPr>
      <w:bookmarkStart w:name="Administration" w:id="155"/>
      <w:bookmarkEnd w:id="155"/>
      <w:r>
        <w:rPr>
          <w:b w:val="0"/>
        </w:rPr>
      </w:r>
      <w:bookmarkStart w:name="_bookmark77" w:id="156"/>
      <w:bookmarkEnd w:id="156"/>
      <w:r>
        <w:rPr>
          <w:b w:val="0"/>
        </w:rPr>
      </w:r>
      <w:r>
        <w:rPr/>
        <w:t>Administration</w:t>
      </w:r>
    </w:p>
    <w:p>
      <w:pPr>
        <w:pStyle w:val="Heading4"/>
        <w:spacing w:before="315"/>
      </w:pPr>
      <w:r>
        <w:rPr/>
        <w:t>Graduate School</w:t>
      </w:r>
    </w:p>
    <w:p>
      <w:pPr>
        <w:pStyle w:val="Heading6"/>
        <w:spacing w:before="183"/>
        <w:rPr>
          <w:b w:val="0"/>
        </w:rPr>
      </w:pPr>
      <w:r>
        <w:rPr/>
        <w:t>Roger J. Ward, EdD, JD, MPA, </w:t>
      </w:r>
      <w:r>
        <w:rPr>
          <w:b w:val="0"/>
        </w:rPr>
        <w:t>Dean</w:t>
      </w:r>
    </w:p>
    <w:p>
      <w:pPr>
        <w:spacing w:before="192"/>
        <w:ind w:left="199" w:right="0" w:firstLine="0"/>
        <w:jc w:val="left"/>
        <w:rPr>
          <w:sz w:val="20"/>
        </w:rPr>
      </w:pPr>
      <w:r>
        <w:rPr>
          <w:b/>
          <w:sz w:val="20"/>
        </w:rPr>
        <w:t>Flavius Lilly, PhD, MA, MPH, </w:t>
      </w:r>
      <w:r>
        <w:rPr>
          <w:sz w:val="20"/>
        </w:rPr>
        <w:t>Vice Dean</w:t>
      </w:r>
    </w:p>
    <w:p>
      <w:pPr>
        <w:spacing w:before="188"/>
        <w:ind w:left="199" w:right="0" w:firstLine="0"/>
        <w:jc w:val="left"/>
        <w:rPr>
          <w:sz w:val="20"/>
        </w:rPr>
      </w:pPr>
      <w:r>
        <w:rPr>
          <w:b/>
          <w:sz w:val="20"/>
        </w:rPr>
        <w:t>Erin Golembewski, PhD, </w:t>
      </w:r>
      <w:r>
        <w:rPr>
          <w:sz w:val="20"/>
        </w:rPr>
        <w:t>Senior Associate Dean</w:t>
      </w:r>
    </w:p>
    <w:p>
      <w:pPr>
        <w:spacing w:before="192"/>
        <w:ind w:left="199" w:right="0" w:firstLine="0"/>
        <w:jc w:val="left"/>
        <w:rPr>
          <w:sz w:val="20"/>
        </w:rPr>
      </w:pPr>
      <w:r>
        <w:rPr>
          <w:b/>
          <w:sz w:val="20"/>
        </w:rPr>
        <w:t>Jenny Owens, ScD, MS, </w:t>
      </w:r>
      <w:r>
        <w:rPr>
          <w:sz w:val="20"/>
        </w:rPr>
        <w:t>Assistant</w:t>
      </w:r>
      <w:r>
        <w:rPr>
          <w:spacing w:val="-5"/>
          <w:sz w:val="20"/>
        </w:rPr>
        <w:t> </w:t>
      </w:r>
      <w:r>
        <w:rPr>
          <w:spacing w:val="-3"/>
          <w:sz w:val="20"/>
        </w:rPr>
        <w:t>Dean</w:t>
      </w:r>
    </w:p>
    <w:p>
      <w:pPr>
        <w:spacing w:before="188"/>
        <w:ind w:left="199" w:right="0" w:firstLine="0"/>
        <w:jc w:val="left"/>
        <w:rPr>
          <w:sz w:val="20"/>
        </w:rPr>
      </w:pPr>
      <w:r>
        <w:rPr>
          <w:b/>
          <w:sz w:val="20"/>
        </w:rPr>
        <w:t>Keith </w:t>
      </w:r>
      <w:r>
        <w:rPr>
          <w:b/>
          <w:spacing w:val="-3"/>
          <w:sz w:val="20"/>
        </w:rPr>
        <w:t>T. </w:t>
      </w:r>
      <w:r>
        <w:rPr>
          <w:b/>
          <w:sz w:val="20"/>
        </w:rPr>
        <w:t>Brooks, MEd,  </w:t>
      </w:r>
      <w:r>
        <w:rPr>
          <w:sz w:val="20"/>
        </w:rPr>
        <w:t>Assistant</w:t>
      </w:r>
      <w:r>
        <w:rPr>
          <w:spacing w:val="4"/>
          <w:sz w:val="20"/>
        </w:rPr>
        <w:t> </w:t>
      </w:r>
      <w:r>
        <w:rPr>
          <w:spacing w:val="-3"/>
          <w:sz w:val="20"/>
        </w:rPr>
        <w:t>Dean</w:t>
      </w:r>
    </w:p>
    <w:p>
      <w:pPr>
        <w:pStyle w:val="Heading6"/>
        <w:spacing w:before="192"/>
        <w:ind w:left="199"/>
      </w:pPr>
      <w:r>
        <w:rPr/>
        <w:t>Cherilyn (Cheri) Hendrix, DHEd, PA-C, DFAAPA,</w:t>
      </w:r>
    </w:p>
    <w:p>
      <w:pPr>
        <w:pStyle w:val="BodyText"/>
        <w:spacing w:before="10"/>
        <w:ind w:left="199"/>
      </w:pPr>
      <w:r>
        <w:rPr/>
        <w:t>Director, Physician Assistant Program</w:t>
      </w:r>
    </w:p>
    <w:p>
      <w:pPr>
        <w:spacing w:line="249" w:lineRule="auto" w:before="187"/>
        <w:ind w:left="199" w:right="0" w:firstLine="0"/>
        <w:jc w:val="left"/>
        <w:rPr>
          <w:sz w:val="20"/>
        </w:rPr>
      </w:pPr>
      <w:r>
        <w:rPr>
          <w:b/>
          <w:sz w:val="20"/>
        </w:rPr>
        <w:t>Diane Martin, PhD, MA, </w:t>
      </w:r>
      <w:r>
        <w:rPr>
          <w:sz w:val="20"/>
        </w:rPr>
        <w:t>Director, Geriatrics and Gerontology Education and Research Program</w:t>
      </w:r>
    </w:p>
    <w:p>
      <w:pPr>
        <w:spacing w:before="184"/>
        <w:ind w:left="199" w:right="0" w:firstLine="0"/>
        <w:jc w:val="left"/>
        <w:rPr>
          <w:sz w:val="20"/>
        </w:rPr>
      </w:pPr>
      <w:r>
        <w:rPr>
          <w:b/>
          <w:sz w:val="20"/>
        </w:rPr>
        <w:t>Kyle Locke, MS, </w:t>
      </w:r>
      <w:r>
        <w:rPr>
          <w:sz w:val="20"/>
        </w:rPr>
        <w:t>Development Officer</w:t>
      </w:r>
    </w:p>
    <w:p>
      <w:pPr>
        <w:spacing w:before="188"/>
        <w:ind w:left="199" w:right="0" w:firstLine="0"/>
        <w:jc w:val="left"/>
        <w:rPr>
          <w:sz w:val="20"/>
        </w:rPr>
      </w:pPr>
      <w:r>
        <w:rPr>
          <w:b/>
          <w:sz w:val="20"/>
        </w:rPr>
        <w:t>Megan Bruce-Bojo, </w:t>
      </w:r>
      <w:r>
        <w:rPr>
          <w:sz w:val="20"/>
        </w:rPr>
        <w:t>Program Manager</w:t>
      </w:r>
    </w:p>
    <w:p>
      <w:pPr>
        <w:spacing w:line="249" w:lineRule="auto" w:before="192"/>
        <w:ind w:left="199" w:right="0" w:firstLine="0"/>
        <w:jc w:val="left"/>
        <w:rPr>
          <w:sz w:val="20"/>
        </w:rPr>
      </w:pPr>
      <w:r>
        <w:rPr>
          <w:b/>
          <w:sz w:val="20"/>
        </w:rPr>
        <w:t>Thomas Wise, </w:t>
      </w:r>
      <w:r>
        <w:rPr>
          <w:sz w:val="20"/>
        </w:rPr>
        <w:t>Senior Marketing and Recruitment Specialist</w:t>
      </w:r>
    </w:p>
    <w:p>
      <w:pPr>
        <w:spacing w:before="179"/>
        <w:ind w:left="199" w:right="0" w:firstLine="0"/>
        <w:jc w:val="left"/>
        <w:rPr>
          <w:sz w:val="20"/>
        </w:rPr>
      </w:pPr>
      <w:r>
        <w:rPr>
          <w:b/>
          <w:sz w:val="20"/>
        </w:rPr>
        <w:t>Jade Grant, </w:t>
      </w:r>
      <w:r>
        <w:rPr>
          <w:sz w:val="20"/>
        </w:rPr>
        <w:t>Enrollment Manager</w:t>
      </w:r>
    </w:p>
    <w:p>
      <w:pPr>
        <w:spacing w:line="249" w:lineRule="auto" w:before="193"/>
        <w:ind w:left="199" w:right="0" w:firstLine="0"/>
        <w:jc w:val="left"/>
        <w:rPr>
          <w:sz w:val="20"/>
        </w:rPr>
      </w:pPr>
      <w:r>
        <w:rPr>
          <w:b/>
          <w:sz w:val="20"/>
        </w:rPr>
        <w:t>Nyasha Williams, </w:t>
      </w:r>
      <w:r>
        <w:rPr>
          <w:sz w:val="20"/>
        </w:rPr>
        <w:t>Assistant Director, Admissions and Student Enrollment</w:t>
      </w:r>
    </w:p>
    <w:p>
      <w:pPr>
        <w:spacing w:line="249" w:lineRule="auto" w:before="179"/>
        <w:ind w:left="199" w:right="586" w:firstLine="0"/>
        <w:jc w:val="left"/>
        <w:rPr>
          <w:sz w:val="20"/>
        </w:rPr>
      </w:pPr>
      <w:r>
        <w:rPr>
          <w:b/>
          <w:sz w:val="20"/>
        </w:rPr>
        <w:t>Theresa Murray, </w:t>
      </w:r>
      <w:r>
        <w:rPr>
          <w:sz w:val="20"/>
        </w:rPr>
        <w:t>Assistant Director of Enrollment Services</w:t>
      </w:r>
    </w:p>
    <w:p>
      <w:pPr>
        <w:spacing w:line="429" w:lineRule="auto" w:before="184"/>
        <w:ind w:left="199" w:right="961" w:firstLine="0"/>
        <w:jc w:val="left"/>
        <w:rPr>
          <w:sz w:val="20"/>
        </w:rPr>
      </w:pPr>
      <w:r>
        <w:rPr>
          <w:b/>
          <w:sz w:val="20"/>
        </w:rPr>
        <w:t>Jamila Savage, </w:t>
      </w:r>
      <w:r>
        <w:rPr>
          <w:sz w:val="20"/>
        </w:rPr>
        <w:t>Academic Coordinator </w:t>
      </w:r>
      <w:r>
        <w:rPr>
          <w:b/>
          <w:sz w:val="20"/>
        </w:rPr>
        <w:t>Alaysia Corley, </w:t>
      </w:r>
      <w:r>
        <w:rPr>
          <w:sz w:val="20"/>
        </w:rPr>
        <w:t>Academic Program Specialist </w:t>
      </w:r>
      <w:r>
        <w:rPr>
          <w:b/>
          <w:sz w:val="20"/>
        </w:rPr>
        <w:t>Joann A. Boughman, </w:t>
      </w:r>
      <w:r>
        <w:rPr>
          <w:sz w:val="20"/>
        </w:rPr>
        <w:t>Dean Emeritus </w:t>
      </w:r>
      <w:r>
        <w:rPr>
          <w:b/>
          <w:sz w:val="20"/>
        </w:rPr>
        <w:t>Malinda B. Orlin,  </w:t>
      </w:r>
      <w:r>
        <w:rPr>
          <w:spacing w:val="-3"/>
          <w:sz w:val="20"/>
        </w:rPr>
        <w:t>Dean </w:t>
      </w:r>
      <w:r>
        <w:rPr>
          <w:sz w:val="20"/>
        </w:rPr>
        <w:t>Emeritus </w:t>
      </w:r>
      <w:r>
        <w:rPr>
          <w:b/>
          <w:sz w:val="22"/>
        </w:rPr>
        <w:t>University of Maryland, Baltimore </w:t>
      </w:r>
      <w:r>
        <w:rPr>
          <w:b/>
          <w:sz w:val="20"/>
        </w:rPr>
        <w:t>Bruce </w:t>
      </w:r>
      <w:r>
        <w:rPr>
          <w:b/>
          <w:spacing w:val="-3"/>
          <w:sz w:val="20"/>
        </w:rPr>
        <w:t>E. </w:t>
      </w:r>
      <w:r>
        <w:rPr>
          <w:b/>
          <w:sz w:val="20"/>
        </w:rPr>
        <w:t>Jarrell, MD, FACS,</w:t>
      </w:r>
      <w:r>
        <w:rPr>
          <w:b/>
          <w:spacing w:val="6"/>
          <w:sz w:val="20"/>
        </w:rPr>
        <w:t> </w:t>
      </w:r>
      <w:r>
        <w:rPr>
          <w:sz w:val="20"/>
        </w:rPr>
        <w:t>President</w:t>
      </w:r>
    </w:p>
    <w:p>
      <w:pPr>
        <w:spacing w:line="249" w:lineRule="auto" w:before="10"/>
        <w:ind w:left="200" w:right="0" w:firstLine="0"/>
        <w:jc w:val="left"/>
        <w:rPr>
          <w:sz w:val="20"/>
        </w:rPr>
      </w:pPr>
      <w:r>
        <w:rPr>
          <w:b/>
          <w:sz w:val="20"/>
        </w:rPr>
        <w:t>Stephen </w:t>
      </w:r>
      <w:r>
        <w:rPr>
          <w:b/>
          <w:spacing w:val="-4"/>
          <w:sz w:val="20"/>
        </w:rPr>
        <w:t>N. </w:t>
      </w:r>
      <w:r>
        <w:rPr>
          <w:b/>
          <w:sz w:val="20"/>
        </w:rPr>
        <w:t>Davis, MBBS, </w:t>
      </w:r>
      <w:r>
        <w:rPr>
          <w:b/>
          <w:spacing w:val="-3"/>
          <w:sz w:val="20"/>
        </w:rPr>
        <w:t>FRCP, </w:t>
      </w:r>
      <w:r>
        <w:rPr>
          <w:b/>
          <w:sz w:val="20"/>
        </w:rPr>
        <w:t>FACE, MACP, </w:t>
      </w:r>
      <w:r>
        <w:rPr>
          <w:sz w:val="20"/>
        </w:rPr>
        <w:t>Vice President, Clinical Translational Science</w:t>
      </w:r>
    </w:p>
    <w:p>
      <w:pPr>
        <w:spacing w:before="179"/>
        <w:ind w:left="200" w:right="0" w:firstLine="0"/>
        <w:jc w:val="left"/>
        <w:rPr>
          <w:sz w:val="20"/>
        </w:rPr>
      </w:pPr>
      <w:r>
        <w:rPr>
          <w:b/>
          <w:sz w:val="20"/>
        </w:rPr>
        <w:t>Susan Gillette, JD, </w:t>
      </w:r>
      <w:r>
        <w:rPr>
          <w:sz w:val="20"/>
        </w:rPr>
        <w:t>General Counsel and Vice President</w:t>
      </w:r>
    </w:p>
    <w:p>
      <w:pPr>
        <w:pStyle w:val="BodyText"/>
        <w:spacing w:line="249" w:lineRule="auto" w:before="192"/>
        <w:ind w:left="199" w:right="38"/>
        <w:jc w:val="both"/>
      </w:pPr>
      <w:r>
        <w:rPr>
          <w:b/>
        </w:rPr>
        <w:t>James L. Hughes, MBA, </w:t>
      </w:r>
      <w:r>
        <w:rPr/>
        <w:t>Chief Enterprise and Economic Development Officer, Interim Chief Philanthropy Officer, and Senior Vice President</w:t>
      </w:r>
    </w:p>
    <w:p>
      <w:pPr>
        <w:spacing w:before="180"/>
        <w:ind w:left="199" w:right="0" w:firstLine="0"/>
        <w:jc w:val="left"/>
        <w:rPr>
          <w:sz w:val="20"/>
        </w:rPr>
      </w:pPr>
      <w:r>
        <w:rPr>
          <w:b/>
          <w:sz w:val="20"/>
        </w:rPr>
        <w:t>Kevin P. Kelly, JD, </w:t>
      </w:r>
      <w:r>
        <w:rPr>
          <w:sz w:val="20"/>
        </w:rPr>
        <w:t>Chief Government Affairs Officer</w:t>
      </w:r>
    </w:p>
    <w:p>
      <w:pPr>
        <w:pStyle w:val="BodyText"/>
        <w:spacing w:before="0"/>
        <w:ind w:left="0"/>
        <w:rPr>
          <w:sz w:val="22"/>
        </w:rPr>
      </w:pPr>
      <w:r>
        <w:rPr/>
        <w:br w:type="column"/>
      </w:r>
      <w:r>
        <w:rPr>
          <w:sz w:val="22"/>
        </w:rPr>
      </w:r>
    </w:p>
    <w:p>
      <w:pPr>
        <w:pStyle w:val="BodyText"/>
        <w:spacing w:before="0"/>
        <w:ind w:left="0"/>
        <w:rPr>
          <w:sz w:val="22"/>
        </w:rPr>
      </w:pPr>
    </w:p>
    <w:p>
      <w:pPr>
        <w:pStyle w:val="BodyText"/>
        <w:spacing w:before="2"/>
        <w:ind w:left="0"/>
        <w:rPr>
          <w:sz w:val="25"/>
        </w:rPr>
      </w:pPr>
    </w:p>
    <w:p>
      <w:pPr>
        <w:pStyle w:val="BodyText"/>
        <w:spacing w:before="0"/>
        <w:ind w:left="199"/>
      </w:pPr>
      <w:r>
        <w:rPr/>
        <w:t>and Associate Vice President</w:t>
      </w:r>
    </w:p>
    <w:p>
      <w:pPr>
        <w:spacing w:line="249" w:lineRule="auto" w:before="192"/>
        <w:ind w:left="199" w:right="817" w:firstLine="0"/>
        <w:jc w:val="left"/>
        <w:rPr>
          <w:sz w:val="20"/>
        </w:rPr>
      </w:pPr>
      <w:r>
        <w:rPr>
          <w:b/>
          <w:sz w:val="20"/>
        </w:rPr>
        <w:t>Jennifer B. Litchman, MA, </w:t>
      </w:r>
      <w:r>
        <w:rPr>
          <w:sz w:val="20"/>
        </w:rPr>
        <w:t>Senior Vice President for External Relations and Special Assistant to the President</w:t>
      </w:r>
    </w:p>
    <w:p>
      <w:pPr>
        <w:spacing w:line="249" w:lineRule="auto" w:before="179"/>
        <w:ind w:left="199" w:right="807" w:firstLine="0"/>
        <w:jc w:val="left"/>
        <w:rPr>
          <w:sz w:val="20"/>
        </w:rPr>
      </w:pPr>
      <w:r>
        <w:rPr>
          <w:b/>
          <w:sz w:val="20"/>
        </w:rPr>
        <w:t>Peter J. Murray, PhD, </w:t>
      </w:r>
      <w:r>
        <w:rPr>
          <w:sz w:val="20"/>
        </w:rPr>
        <w:t>Chief Information Officer and Vice President</w:t>
      </w:r>
    </w:p>
    <w:p>
      <w:pPr>
        <w:spacing w:line="249" w:lineRule="auto" w:before="184"/>
        <w:ind w:left="199" w:right="807" w:firstLine="0"/>
        <w:jc w:val="left"/>
        <w:rPr>
          <w:sz w:val="20"/>
        </w:rPr>
      </w:pPr>
      <w:r>
        <w:rPr>
          <w:b/>
          <w:sz w:val="20"/>
        </w:rPr>
        <w:t>E. Albert Reece, MD, PhD, MBA, </w:t>
      </w:r>
      <w:r>
        <w:rPr>
          <w:sz w:val="20"/>
        </w:rPr>
        <w:t>Executive Vice President for Medical Affairs</w:t>
      </w:r>
    </w:p>
    <w:p>
      <w:pPr>
        <w:spacing w:line="249" w:lineRule="auto" w:before="179"/>
        <w:ind w:left="199" w:right="807" w:firstLine="0"/>
        <w:jc w:val="left"/>
        <w:rPr>
          <w:sz w:val="20"/>
        </w:rPr>
      </w:pPr>
      <w:r>
        <w:rPr>
          <w:b/>
          <w:sz w:val="20"/>
        </w:rPr>
        <w:t>Dawn M. Rhodes, MBA, </w:t>
      </w:r>
      <w:r>
        <w:rPr>
          <w:sz w:val="20"/>
        </w:rPr>
        <w:t>Chief Business and Finance Officer and Vice</w:t>
      </w:r>
      <w:r>
        <w:rPr>
          <w:spacing w:val="3"/>
          <w:sz w:val="20"/>
        </w:rPr>
        <w:t> </w:t>
      </w:r>
      <w:r>
        <w:rPr>
          <w:sz w:val="20"/>
        </w:rPr>
        <w:t>President</w:t>
      </w:r>
    </w:p>
    <w:p>
      <w:pPr>
        <w:spacing w:line="249" w:lineRule="auto" w:before="184"/>
        <w:ind w:left="199" w:right="807" w:firstLine="0"/>
        <w:jc w:val="left"/>
        <w:rPr>
          <w:sz w:val="20"/>
        </w:rPr>
      </w:pPr>
      <w:r>
        <w:rPr>
          <w:b/>
          <w:sz w:val="20"/>
        </w:rPr>
        <w:t>Thomas J. Sullivan, CFRE, MS, </w:t>
      </w:r>
      <w:r>
        <w:rPr>
          <w:sz w:val="20"/>
        </w:rPr>
        <w:t>Chief Philanthropy Officer and Vice</w:t>
      </w:r>
      <w:r>
        <w:rPr>
          <w:spacing w:val="3"/>
          <w:sz w:val="20"/>
        </w:rPr>
        <w:t> </w:t>
      </w:r>
      <w:r>
        <w:rPr>
          <w:sz w:val="20"/>
        </w:rPr>
        <w:t>President</w:t>
      </w:r>
    </w:p>
    <w:p>
      <w:pPr>
        <w:spacing w:line="249" w:lineRule="auto" w:before="179"/>
        <w:ind w:left="199" w:right="712" w:firstLine="0"/>
        <w:jc w:val="left"/>
        <w:rPr>
          <w:sz w:val="20"/>
        </w:rPr>
      </w:pPr>
      <w:r>
        <w:rPr>
          <w:b/>
          <w:sz w:val="20"/>
        </w:rPr>
        <w:t>Roger J. Ward, EdD, JD, MSL, MPA, </w:t>
      </w:r>
      <w:r>
        <w:rPr>
          <w:sz w:val="20"/>
        </w:rPr>
        <w:t>Interim Provost and Executive Vice President</w:t>
      </w:r>
    </w:p>
    <w:p>
      <w:pPr>
        <w:pStyle w:val="Heading4"/>
        <w:spacing w:before="167"/>
        <w:ind w:left="199"/>
      </w:pPr>
      <w:r>
        <w:rPr/>
        <w:t>School Deans</w:t>
      </w:r>
    </w:p>
    <w:p>
      <w:pPr>
        <w:spacing w:before="183"/>
        <w:ind w:left="199" w:right="0" w:firstLine="0"/>
        <w:jc w:val="left"/>
        <w:rPr>
          <w:sz w:val="20"/>
        </w:rPr>
      </w:pPr>
      <w:r>
        <w:rPr>
          <w:b/>
          <w:sz w:val="20"/>
        </w:rPr>
        <w:t>Mark A. Reynolds, DDS, PhD, MA,  </w:t>
      </w:r>
      <w:r>
        <w:rPr>
          <w:spacing w:val="-3"/>
          <w:sz w:val="20"/>
        </w:rPr>
        <w:t>School </w:t>
      </w:r>
      <w:r>
        <w:rPr>
          <w:sz w:val="20"/>
        </w:rPr>
        <w:t>of</w:t>
      </w:r>
      <w:r>
        <w:rPr>
          <w:spacing w:val="6"/>
          <w:sz w:val="20"/>
        </w:rPr>
        <w:t> </w:t>
      </w:r>
      <w:r>
        <w:rPr>
          <w:sz w:val="20"/>
        </w:rPr>
        <w:t>Dentistry</w:t>
      </w:r>
    </w:p>
    <w:p>
      <w:pPr>
        <w:spacing w:before="193"/>
        <w:ind w:left="199" w:right="0" w:firstLine="0"/>
        <w:jc w:val="left"/>
        <w:rPr>
          <w:sz w:val="20"/>
        </w:rPr>
      </w:pPr>
      <w:r>
        <w:rPr>
          <w:b/>
          <w:sz w:val="20"/>
        </w:rPr>
        <w:t>Donald B. Tobin, </w:t>
      </w:r>
      <w:r>
        <w:rPr>
          <w:b/>
          <w:spacing w:val="-3"/>
          <w:sz w:val="20"/>
        </w:rPr>
        <w:t>JD,  </w:t>
      </w:r>
      <w:r>
        <w:rPr>
          <w:sz w:val="20"/>
        </w:rPr>
        <w:t>Francis King Carey School of</w:t>
      </w:r>
      <w:r>
        <w:rPr>
          <w:spacing w:val="-3"/>
          <w:sz w:val="20"/>
        </w:rPr>
        <w:t> </w:t>
      </w:r>
      <w:r>
        <w:rPr>
          <w:sz w:val="20"/>
        </w:rPr>
        <w:t>Law</w:t>
      </w:r>
    </w:p>
    <w:p>
      <w:pPr>
        <w:spacing w:before="187"/>
        <w:ind w:left="199" w:right="0" w:firstLine="0"/>
        <w:jc w:val="left"/>
        <w:rPr>
          <w:sz w:val="20"/>
        </w:rPr>
      </w:pPr>
      <w:r>
        <w:rPr>
          <w:b/>
          <w:sz w:val="20"/>
        </w:rPr>
        <w:t>E. Albert Reece, MD, PhD, MBA, </w:t>
      </w:r>
      <w:r>
        <w:rPr>
          <w:sz w:val="20"/>
        </w:rPr>
        <w:t>School of Medicine</w:t>
      </w:r>
    </w:p>
    <w:p>
      <w:pPr>
        <w:spacing w:line="249" w:lineRule="auto" w:before="192"/>
        <w:ind w:left="199" w:right="807" w:hanging="1"/>
        <w:jc w:val="left"/>
        <w:rPr>
          <w:sz w:val="20"/>
        </w:rPr>
      </w:pPr>
      <w:r>
        <w:rPr>
          <w:b/>
          <w:sz w:val="20"/>
        </w:rPr>
        <w:t>Jane M. Kirschling, PhD, RN, FAAN, </w:t>
      </w:r>
      <w:r>
        <w:rPr>
          <w:sz w:val="20"/>
        </w:rPr>
        <w:t>School of Nursing</w:t>
      </w:r>
    </w:p>
    <w:p>
      <w:pPr>
        <w:spacing w:line="249" w:lineRule="auto" w:before="180"/>
        <w:ind w:left="199" w:right="807" w:firstLine="0"/>
        <w:jc w:val="left"/>
        <w:rPr>
          <w:sz w:val="20"/>
        </w:rPr>
      </w:pPr>
      <w:r>
        <w:rPr>
          <w:b/>
          <w:sz w:val="20"/>
        </w:rPr>
        <w:t>Natalie D. Eddington, PhD, FAAPS, FCP, </w:t>
      </w:r>
      <w:r>
        <w:rPr>
          <w:sz w:val="20"/>
        </w:rPr>
        <w:t>School of Pharmacy</w:t>
      </w:r>
    </w:p>
    <w:p>
      <w:pPr>
        <w:spacing w:before="183"/>
        <w:ind w:left="199" w:right="0" w:firstLine="0"/>
        <w:jc w:val="left"/>
        <w:rPr>
          <w:sz w:val="20"/>
        </w:rPr>
      </w:pPr>
      <w:r>
        <w:rPr>
          <w:b/>
          <w:sz w:val="20"/>
        </w:rPr>
        <w:t>Judy L. Postmus, PhD, MSW, </w:t>
      </w:r>
      <w:r>
        <w:rPr>
          <w:sz w:val="20"/>
        </w:rPr>
        <w:t>School of Social Work</w:t>
      </w:r>
    </w:p>
    <w:p>
      <w:pPr>
        <w:pStyle w:val="Heading4"/>
        <w:spacing w:before="170"/>
        <w:ind w:left="199"/>
      </w:pPr>
      <w:r>
        <w:rPr/>
        <w:t>University System of Maryland (USM)</w:t>
      </w:r>
    </w:p>
    <w:p>
      <w:pPr>
        <w:spacing w:before="188"/>
        <w:ind w:left="199" w:right="0" w:firstLine="0"/>
        <w:jc w:val="left"/>
        <w:rPr>
          <w:sz w:val="20"/>
        </w:rPr>
      </w:pPr>
      <w:r>
        <w:rPr>
          <w:b/>
          <w:sz w:val="20"/>
        </w:rPr>
        <w:t>Jay A. Perman, </w:t>
      </w:r>
      <w:r>
        <w:rPr>
          <w:sz w:val="20"/>
        </w:rPr>
        <w:t>Chancellor</w:t>
      </w:r>
    </w:p>
    <w:p>
      <w:pPr>
        <w:spacing w:line="249" w:lineRule="auto" w:before="188"/>
        <w:ind w:left="199" w:right="712" w:firstLine="0"/>
        <w:jc w:val="left"/>
        <w:rPr>
          <w:sz w:val="20"/>
        </w:rPr>
      </w:pPr>
      <w:r>
        <w:rPr>
          <w:b/>
          <w:sz w:val="20"/>
        </w:rPr>
        <w:t>Tim McDonough, </w:t>
      </w:r>
      <w:r>
        <w:rPr>
          <w:sz w:val="20"/>
        </w:rPr>
        <w:t>Vice Chancellor for Communications and Marketing</w:t>
      </w:r>
    </w:p>
    <w:p>
      <w:pPr>
        <w:spacing w:line="249" w:lineRule="auto" w:before="183"/>
        <w:ind w:left="199" w:right="605" w:firstLine="0"/>
        <w:jc w:val="left"/>
        <w:rPr>
          <w:sz w:val="20"/>
        </w:rPr>
      </w:pPr>
      <w:r>
        <w:rPr>
          <w:b/>
          <w:sz w:val="20"/>
        </w:rPr>
        <w:t>Joann Boughman, </w:t>
      </w:r>
      <w:r>
        <w:rPr>
          <w:sz w:val="20"/>
        </w:rPr>
        <w:t>Senior Vice Chancellor for Academic and Student Affairs</w:t>
      </w:r>
    </w:p>
    <w:p>
      <w:pPr>
        <w:spacing w:before="179"/>
        <w:ind w:left="199" w:right="0" w:firstLine="0"/>
        <w:jc w:val="left"/>
        <w:rPr>
          <w:sz w:val="20"/>
        </w:rPr>
      </w:pPr>
      <w:r>
        <w:rPr>
          <w:b/>
          <w:sz w:val="20"/>
        </w:rPr>
        <w:t>David Mosca, </w:t>
      </w:r>
      <w:r>
        <w:rPr>
          <w:sz w:val="20"/>
        </w:rPr>
        <w:t>Director of Internal Audit</w:t>
      </w:r>
    </w:p>
    <w:p>
      <w:pPr>
        <w:spacing w:line="249" w:lineRule="auto" w:before="193"/>
        <w:ind w:left="199" w:right="807" w:firstLine="0"/>
        <w:jc w:val="left"/>
        <w:rPr>
          <w:sz w:val="20"/>
        </w:rPr>
      </w:pPr>
      <w:r>
        <w:rPr>
          <w:b/>
          <w:sz w:val="20"/>
        </w:rPr>
        <w:t>Ellen Herbst, </w:t>
      </w:r>
      <w:r>
        <w:rPr>
          <w:sz w:val="20"/>
        </w:rPr>
        <w:t>Vice Chancellor for Administration and Finance</w:t>
      </w:r>
    </w:p>
    <w:p>
      <w:pPr>
        <w:spacing w:line="249" w:lineRule="auto" w:before="179"/>
        <w:ind w:left="199" w:right="807" w:firstLine="0"/>
        <w:jc w:val="left"/>
        <w:rPr>
          <w:sz w:val="20"/>
        </w:rPr>
      </w:pPr>
      <w:r>
        <w:rPr>
          <w:b/>
          <w:sz w:val="20"/>
        </w:rPr>
        <w:t>Peter Goodwin, </w:t>
      </w:r>
      <w:r>
        <w:rPr>
          <w:sz w:val="20"/>
        </w:rPr>
        <w:t>Vice Chancellor for Environmental Sustainability</w:t>
      </w:r>
    </w:p>
    <w:p>
      <w:pPr>
        <w:spacing w:before="184"/>
        <w:ind w:left="199" w:right="0" w:firstLine="0"/>
        <w:jc w:val="left"/>
        <w:rPr>
          <w:sz w:val="20"/>
        </w:rPr>
      </w:pPr>
      <w:r>
        <w:rPr>
          <w:b/>
          <w:sz w:val="20"/>
        </w:rPr>
        <w:t>Leonard Raley, </w:t>
      </w:r>
      <w:r>
        <w:rPr>
          <w:sz w:val="20"/>
        </w:rPr>
        <w:t>Vice Chancellor for Advancement</w:t>
      </w:r>
    </w:p>
    <w:p>
      <w:pPr>
        <w:spacing w:after="0"/>
        <w:jc w:val="left"/>
        <w:rPr>
          <w:sz w:val="20"/>
        </w:rPr>
        <w:sectPr>
          <w:headerReference w:type="even" r:id="rId110"/>
          <w:headerReference w:type="default" r:id="rId111"/>
          <w:pgSz w:w="12240" w:h="15840"/>
          <w:pgMar w:header="746" w:footer="0" w:top="1320" w:bottom="280" w:left="880" w:right="300"/>
          <w:cols w:num="2" w:equalWidth="0">
            <w:col w:w="4938" w:space="548"/>
            <w:col w:w="5574"/>
          </w:cols>
        </w:sectPr>
      </w:pPr>
    </w:p>
    <w:p>
      <w:pPr>
        <w:spacing w:line="249" w:lineRule="auto" w:before="100"/>
        <w:ind w:left="199" w:right="6163" w:firstLine="0"/>
        <w:jc w:val="left"/>
        <w:rPr>
          <w:sz w:val="20"/>
        </w:rPr>
      </w:pPr>
      <w:r>
        <w:rPr>
          <w:b/>
          <w:sz w:val="20"/>
        </w:rPr>
        <w:t>Patrick J. Hogan, </w:t>
      </w:r>
      <w:r>
        <w:rPr>
          <w:sz w:val="20"/>
        </w:rPr>
        <w:t>Vice Chancellor for Government Relations</w:t>
      </w:r>
    </w:p>
    <w:p>
      <w:pPr>
        <w:spacing w:line="249" w:lineRule="auto" w:before="179"/>
        <w:ind w:left="199" w:right="6163" w:firstLine="0"/>
        <w:jc w:val="left"/>
        <w:rPr>
          <w:sz w:val="20"/>
        </w:rPr>
      </w:pPr>
      <w:r>
        <w:rPr>
          <w:b/>
          <w:sz w:val="20"/>
        </w:rPr>
        <w:t>J. Thomas Sadowski, </w:t>
      </w:r>
      <w:r>
        <w:rPr>
          <w:sz w:val="20"/>
        </w:rPr>
        <w:t>Vice Chancellor for Economic Development</w:t>
      </w:r>
    </w:p>
    <w:p>
      <w:pPr>
        <w:spacing w:line="429" w:lineRule="auto" w:before="165"/>
        <w:ind w:left="200" w:right="8352" w:firstLine="0"/>
        <w:jc w:val="left"/>
        <w:rPr>
          <w:sz w:val="20"/>
        </w:rPr>
      </w:pPr>
      <w:r>
        <w:rPr>
          <w:b/>
          <w:sz w:val="22"/>
        </w:rPr>
        <w:t>USM Board of Regents </w:t>
      </w:r>
      <w:r>
        <w:rPr>
          <w:b/>
          <w:sz w:val="20"/>
        </w:rPr>
        <w:t>Linda R. Gooden, </w:t>
      </w:r>
      <w:r>
        <w:rPr>
          <w:sz w:val="20"/>
        </w:rPr>
        <w:t>Chair </w:t>
      </w:r>
      <w:r>
        <w:rPr>
          <w:b/>
          <w:sz w:val="20"/>
        </w:rPr>
        <w:t>Barry P. Gossett, </w:t>
      </w:r>
      <w:r>
        <w:rPr>
          <w:sz w:val="20"/>
        </w:rPr>
        <w:t>Vice Chair </w:t>
      </w:r>
      <w:r>
        <w:rPr>
          <w:b/>
          <w:sz w:val="20"/>
        </w:rPr>
        <w:t>Gary L. Attman, </w:t>
      </w:r>
      <w:r>
        <w:rPr>
          <w:sz w:val="20"/>
        </w:rPr>
        <w:t>Treasurer</w:t>
      </w:r>
    </w:p>
    <w:p>
      <w:pPr>
        <w:spacing w:line="439" w:lineRule="auto" w:before="11"/>
        <w:ind w:left="200" w:right="7467" w:firstLine="0"/>
        <w:jc w:val="left"/>
        <w:rPr>
          <w:b/>
          <w:sz w:val="20"/>
        </w:rPr>
      </w:pPr>
      <w:r>
        <w:rPr>
          <w:b/>
          <w:sz w:val="20"/>
        </w:rPr>
        <w:t>Michelle A. Gourdine, </w:t>
      </w:r>
      <w:r>
        <w:rPr>
          <w:sz w:val="20"/>
        </w:rPr>
        <w:t>MD, Secretary </w:t>
      </w:r>
      <w:r>
        <w:rPr>
          <w:b/>
          <w:sz w:val="20"/>
        </w:rPr>
        <w:t>Robert D. Rauch, </w:t>
      </w:r>
      <w:r>
        <w:rPr>
          <w:sz w:val="20"/>
        </w:rPr>
        <w:t>Assistant Secretary </w:t>
      </w:r>
      <w:r>
        <w:rPr>
          <w:b/>
          <w:sz w:val="20"/>
        </w:rPr>
        <w:t>Joseph Bartenfelder</w:t>
      </w:r>
    </w:p>
    <w:p>
      <w:pPr>
        <w:pStyle w:val="Heading6"/>
        <w:spacing w:line="439" w:lineRule="auto" w:before="0"/>
        <w:ind w:right="9448"/>
      </w:pPr>
      <w:r>
        <w:rPr/>
        <w:t>Ellen Fish James </w:t>
      </w:r>
      <w:r>
        <w:rPr>
          <w:spacing w:val="-3"/>
        </w:rPr>
        <w:t>Holzapfel </w:t>
      </w:r>
      <w:r>
        <w:rPr/>
        <w:t>D’Ana</w:t>
      </w:r>
      <w:r>
        <w:rPr>
          <w:spacing w:val="11"/>
        </w:rPr>
        <w:t> </w:t>
      </w:r>
      <w:r>
        <w:rPr>
          <w:spacing w:val="-3"/>
        </w:rPr>
        <w:t>Johnson</w:t>
      </w:r>
    </w:p>
    <w:p>
      <w:pPr>
        <w:pStyle w:val="Heading6"/>
        <w:spacing w:line="439" w:lineRule="auto" w:before="0"/>
        <w:ind w:right="9262"/>
      </w:pPr>
      <w:r>
        <w:rPr/>
        <w:t>Isiah (Ike) Leggett Robert R. Neall Louis Pope</w:t>
      </w:r>
    </w:p>
    <w:p>
      <w:pPr>
        <w:pStyle w:val="Heading6"/>
        <w:spacing w:line="441" w:lineRule="auto" w:before="0"/>
        <w:ind w:right="9268"/>
      </w:pPr>
      <w:r>
        <w:rPr/>
        <w:t>Kelly M. Schulz Robert L. Wallace</w:t>
      </w:r>
    </w:p>
    <w:p>
      <w:pPr>
        <w:pStyle w:val="Heading6"/>
        <w:spacing w:line="224" w:lineRule="exact" w:before="0"/>
      </w:pPr>
      <w:r>
        <w:rPr/>
        <w:t>William T. “Bill” Wood</w:t>
      </w:r>
    </w:p>
    <w:p>
      <w:pPr>
        <w:pStyle w:val="Heading6"/>
        <w:spacing w:line="249" w:lineRule="auto" w:before="182"/>
        <w:ind w:right="6157"/>
      </w:pPr>
      <w:r>
        <w:rPr/>
        <w:t>Drew M. Needham, Student Regent (term expires June 30, 2021)</w:t>
      </w:r>
    </w:p>
    <w:p>
      <w:pPr>
        <w:spacing w:after="0" w:line="249" w:lineRule="auto"/>
        <w:sectPr>
          <w:pgSz w:w="12240" w:h="15840"/>
          <w:pgMar w:header="746" w:footer="0" w:top="1320" w:bottom="280" w:left="880" w:right="300"/>
        </w:sectPr>
      </w:pPr>
    </w:p>
    <w:p>
      <w:pPr>
        <w:pStyle w:val="Heading1"/>
      </w:pPr>
      <w:bookmarkStart w:name="Faculty" w:id="157"/>
      <w:bookmarkEnd w:id="157"/>
      <w:r>
        <w:rPr>
          <w:b w:val="0"/>
        </w:rPr>
      </w:r>
      <w:bookmarkStart w:name="_bookmark78" w:id="158"/>
      <w:bookmarkEnd w:id="158"/>
      <w:r>
        <w:rPr>
          <w:b w:val="0"/>
        </w:rPr>
      </w:r>
      <w:r>
        <w:rPr/>
        <w:t>Faculty</w:t>
      </w:r>
    </w:p>
    <w:p>
      <w:pPr>
        <w:pStyle w:val="BodyText"/>
        <w:spacing w:before="6"/>
        <w:ind w:left="0"/>
        <w:rPr>
          <w:b/>
        </w:rPr>
      </w:pPr>
    </w:p>
    <w:p>
      <w:pPr>
        <w:spacing w:after="0"/>
        <w:sectPr>
          <w:headerReference w:type="even" r:id="rId112"/>
          <w:headerReference w:type="default" r:id="rId113"/>
          <w:pgSz w:w="12240" w:h="15840"/>
          <w:pgMar w:header="746" w:footer="0" w:top="1320" w:bottom="280" w:left="880" w:right="300"/>
        </w:sectPr>
      </w:pPr>
    </w:p>
    <w:p>
      <w:pPr>
        <w:pStyle w:val="BodyText"/>
        <w:spacing w:line="249" w:lineRule="auto" w:before="97"/>
        <w:ind w:right="447"/>
      </w:pPr>
      <w:r>
        <w:rPr>
          <w:color w:val="0B0B0B"/>
        </w:rPr>
        <w:t>The Graduate Faculty directory includes Regular (R), Associate (A), and Special (S) members.</w:t>
      </w:r>
    </w:p>
    <w:p>
      <w:pPr>
        <w:pStyle w:val="BodyText"/>
        <w:spacing w:line="249" w:lineRule="auto" w:before="179"/>
        <w:ind w:right="152"/>
      </w:pPr>
      <w:r>
        <w:rPr>
          <w:b/>
          <w:color w:val="0B0B0B"/>
        </w:rPr>
        <w:t>Abrams, Thomas</w:t>
      </w:r>
      <w:r>
        <w:rPr>
          <w:color w:val="0B0B0B"/>
        </w:rPr>
        <w:t>, (R), Associate Professor, Pharmacology and Experimental Therapeutics, School of Medicine. PhD, University of Washington, 1981; BA, Carleton College, 1972.</w:t>
      </w:r>
    </w:p>
    <w:p>
      <w:pPr>
        <w:pStyle w:val="BodyText"/>
        <w:spacing w:line="249" w:lineRule="auto" w:before="186"/>
        <w:ind w:left="199" w:right="274"/>
      </w:pPr>
      <w:r>
        <w:rPr>
          <w:b/>
          <w:color w:val="0B0B0B"/>
        </w:rPr>
        <w:t>Abulseoud, Osama</w:t>
      </w:r>
      <w:r>
        <w:rPr>
          <w:color w:val="0B0B0B"/>
        </w:rPr>
        <w:t>, (S), Staff Scientist, Chemistry and Drug Metabolism, School of Medicine. MSc, Cairo University, 1996; MD, Cairo University, 1991.</w:t>
      </w:r>
    </w:p>
    <w:p>
      <w:pPr>
        <w:pStyle w:val="BodyText"/>
        <w:spacing w:line="249" w:lineRule="auto" w:before="179"/>
        <w:ind w:right="29"/>
      </w:pPr>
      <w:r>
        <w:rPr>
          <w:b/>
          <w:color w:val="0B0B0B"/>
        </w:rPr>
        <w:t>Acheson, David</w:t>
      </w:r>
      <w:r>
        <w:rPr>
          <w:color w:val="0B0B0B"/>
        </w:rPr>
        <w:t>, (A), Associate Professor, Epidemiology and Public Medicine, School of Medicine. MD, University of London, 1988; BS, University of London, 1977.</w:t>
      </w:r>
    </w:p>
    <w:p>
      <w:pPr>
        <w:pStyle w:val="BodyText"/>
        <w:spacing w:line="249" w:lineRule="auto"/>
        <w:ind w:right="152"/>
      </w:pPr>
      <w:r>
        <w:rPr>
          <w:b/>
          <w:color w:val="0B0B0B"/>
        </w:rPr>
        <w:t>Addison, Odessa</w:t>
      </w:r>
      <w:r>
        <w:rPr>
          <w:color w:val="0B0B0B"/>
        </w:rPr>
        <w:t>, (A), Assistant Professor, Physical Therapy and Rehabilitation Science. PhD, University of Utah, 2012; DPT, University of Utah, 2005; BS, University of Utah, 2003.</w:t>
      </w:r>
    </w:p>
    <w:p>
      <w:pPr>
        <w:pStyle w:val="BodyText"/>
        <w:spacing w:line="249" w:lineRule="auto" w:before="181"/>
        <w:ind w:right="46"/>
      </w:pPr>
      <w:r>
        <w:rPr>
          <w:b/>
          <w:color w:val="0B0B0B"/>
        </w:rPr>
        <w:t>Adebamowo, Clement</w:t>
      </w:r>
      <w:r>
        <w:rPr>
          <w:color w:val="0B0B0B"/>
        </w:rPr>
        <w:t>, (R), Professor, Epidemiology and Public Health, School of Medicine. DSc, Harvard University, 2004; MD, University of Jos, 1984.</w:t>
      </w:r>
    </w:p>
    <w:p>
      <w:pPr>
        <w:pStyle w:val="BodyText"/>
        <w:spacing w:line="249" w:lineRule="auto" w:before="184"/>
        <w:ind w:right="551"/>
      </w:pPr>
      <w:r>
        <w:rPr>
          <w:b/>
          <w:color w:val="0B0B0B"/>
        </w:rPr>
        <w:t>Adebamowo, Sally</w:t>
      </w:r>
      <w:r>
        <w:rPr>
          <w:color w:val="0B0B0B"/>
        </w:rPr>
        <w:t>, (A), Assistant Professor, Epidemiology and Public Health, DSc., Harvard University, 2014; MS., University of London, 2011; MBBS, University of Ibadan, 2007.</w:t>
      </w:r>
    </w:p>
    <w:p>
      <w:pPr>
        <w:pStyle w:val="BodyText"/>
        <w:spacing w:line="249" w:lineRule="auto" w:before="181"/>
        <w:ind w:right="152"/>
      </w:pPr>
      <w:r>
        <w:rPr>
          <w:b/>
          <w:color w:val="0B0B0B"/>
        </w:rPr>
        <w:t>Ahmed, Zubair</w:t>
      </w:r>
      <w:r>
        <w:rPr>
          <w:color w:val="0B0B0B"/>
        </w:rPr>
        <w:t>, (R), Professor, Otorhinolaryngology- Head and Neck Surgery, School of Medicine.</w:t>
      </w:r>
    </w:p>
    <w:p>
      <w:pPr>
        <w:pStyle w:val="BodyText"/>
        <w:spacing w:line="249" w:lineRule="auto" w:before="184"/>
        <w:ind w:right="23"/>
      </w:pPr>
      <w:r>
        <w:rPr>
          <w:b/>
          <w:color w:val="0B0B0B"/>
        </w:rPr>
        <w:t>Ahn, Haksoon</w:t>
      </w:r>
      <w:r>
        <w:rPr>
          <w:color w:val="0B0B0B"/>
        </w:rPr>
        <w:t>, (A), Associate Professor, School of Social Work. PhD, Brandeis University, 2009; MA, Brandeis University, 2004; MA, Yonsei University, 1995.</w:t>
      </w:r>
    </w:p>
    <w:p>
      <w:pPr>
        <w:pStyle w:val="BodyText"/>
        <w:spacing w:line="249" w:lineRule="auto" w:before="179"/>
        <w:ind w:right="285"/>
      </w:pPr>
      <w:r>
        <w:rPr>
          <w:b/>
          <w:color w:val="0B0B0B"/>
        </w:rPr>
        <w:t>Ahuja, Bhoomika</w:t>
      </w:r>
      <w:r>
        <w:rPr>
          <w:color w:val="0B0B0B"/>
        </w:rPr>
        <w:t>, (A), Clinical Assistant Professor, School of Dentistry. PhD, University of California, Los Angeles, 2011; BDS, Bhavnagar University, 2005.</w:t>
      </w:r>
    </w:p>
    <w:p>
      <w:pPr>
        <w:pStyle w:val="BodyText"/>
        <w:spacing w:line="249" w:lineRule="auto"/>
        <w:ind w:right="112"/>
      </w:pPr>
      <w:r>
        <w:rPr>
          <w:b/>
          <w:color w:val="0B0B0B"/>
        </w:rPr>
        <w:t>Aichelmann-Reidy</w:t>
      </w:r>
      <w:r>
        <w:rPr>
          <w:color w:val="0B0B0B"/>
        </w:rPr>
        <w:t>, Mary Beth, (R), Assistant Professor, Biomedical Sciences, School of Dentistry. Certificate of Periodontics, University of Pittsburgh, 1989; DDS, Stony Brook University, 1987; BS, Georgetown University, 1983.</w:t>
      </w:r>
    </w:p>
    <w:p>
      <w:pPr>
        <w:pStyle w:val="BodyText"/>
        <w:spacing w:line="249" w:lineRule="auto" w:before="181"/>
        <w:ind w:right="112"/>
      </w:pPr>
      <w:r>
        <w:rPr>
          <w:b/>
          <w:color w:val="0B0B0B"/>
        </w:rPr>
        <w:t>Akintade, Bimbola</w:t>
      </w:r>
      <w:r>
        <w:rPr>
          <w:color w:val="0B0B0B"/>
        </w:rPr>
        <w:t>, (A), Assistant Professor, Organizational Systems and Adult Health, School of Nursing. MBA, University of Maryland University College, 2012; PhD, University of Maryland, 2011; BSN, University of Maryland, 2003.</w:t>
      </w:r>
    </w:p>
    <w:p>
      <w:pPr>
        <w:pStyle w:val="BodyText"/>
        <w:spacing w:line="249" w:lineRule="auto" w:before="94"/>
        <w:ind w:right="759"/>
      </w:pPr>
      <w:r>
        <w:rPr/>
        <w:br w:type="column"/>
      </w:r>
      <w:r>
        <w:rPr>
          <w:b/>
          <w:color w:val="0B0B0B"/>
        </w:rPr>
        <w:t>Albrecht, Eugene</w:t>
      </w:r>
      <w:r>
        <w:rPr>
          <w:color w:val="0B0B0B"/>
        </w:rPr>
        <w:t>, (R), Professor, Obstetrics and Gynecology, School of Medicine. PhD, Rutgers University, 1972; MS, University of Vermont, 1967; BA, University of Vermont, 1965.</w:t>
      </w:r>
    </w:p>
    <w:p>
      <w:pPr>
        <w:pStyle w:val="BodyText"/>
        <w:spacing w:line="249" w:lineRule="auto" w:before="180"/>
        <w:ind w:right="826"/>
      </w:pPr>
      <w:r>
        <w:rPr>
          <w:b/>
          <w:color w:val="0B0B0B"/>
        </w:rPr>
        <w:t>Albrecht, Jennifer</w:t>
      </w:r>
      <w:r>
        <w:rPr>
          <w:color w:val="0B0B0B"/>
        </w:rPr>
        <w:t>, (A), Assistant Professor, Epidemiology and Public Health, School of Medicine. PhD, University of Maryland School of Medicine, 2012; BA, State University of New York at Buffalo, 1987.</w:t>
      </w:r>
    </w:p>
    <w:p>
      <w:pPr>
        <w:pStyle w:val="BodyText"/>
        <w:spacing w:line="249" w:lineRule="auto"/>
        <w:ind w:right="777"/>
      </w:pPr>
      <w:r>
        <w:rPr>
          <w:b/>
          <w:color w:val="0B0B0B"/>
        </w:rPr>
        <w:t>Albuquerque, Edson</w:t>
      </w:r>
      <w:r>
        <w:rPr>
          <w:color w:val="0B0B0B"/>
        </w:rPr>
        <w:t>, (R), Professor and Chair, Pharmacology and Experimental Therapeutics, School of Medicine. PhD, Escola Paulista de Medicina, 1962; MD, University Federal of Pernambuco, 1959; BS, Salesiano College, 1953.</w:t>
      </w:r>
    </w:p>
    <w:p>
      <w:pPr>
        <w:pStyle w:val="BodyText"/>
        <w:spacing w:line="249" w:lineRule="auto" w:before="182"/>
        <w:ind w:right="743"/>
      </w:pPr>
      <w:r>
        <w:rPr>
          <w:b/>
          <w:color w:val="0B0B0B"/>
        </w:rPr>
        <w:t>Aldrich, Jane</w:t>
      </w:r>
      <w:r>
        <w:rPr>
          <w:color w:val="0B0B0B"/>
        </w:rPr>
        <w:t>, (R), Professor, Pharmaceutical Sciences, School of Pharmacy. PhD, University of Michigan, 1983; BS, Michigan State University, 1976.</w:t>
      </w:r>
    </w:p>
    <w:p>
      <w:pPr>
        <w:pStyle w:val="BodyText"/>
        <w:spacing w:line="249" w:lineRule="auto" w:before="184"/>
        <w:ind w:right="665"/>
      </w:pPr>
      <w:r>
        <w:rPr>
          <w:b/>
          <w:color w:val="0B0B0B"/>
        </w:rPr>
        <w:t>Alger, Bradley</w:t>
      </w:r>
      <w:r>
        <w:rPr>
          <w:color w:val="0B0B0B"/>
        </w:rPr>
        <w:t>, (R), Professor, Physiology, School of Medicine. PhD, Harvard University, 1977; BA, University of California, Berkeley, 1972.</w:t>
      </w:r>
    </w:p>
    <w:p>
      <w:pPr>
        <w:pStyle w:val="BodyText"/>
        <w:spacing w:line="249" w:lineRule="auto" w:before="180"/>
        <w:ind w:right="777"/>
      </w:pPr>
      <w:r>
        <w:rPr>
          <w:b/>
          <w:color w:val="0B0B0B"/>
        </w:rPr>
        <w:t>Alkondon, Manickavasagom</w:t>
      </w:r>
      <w:r>
        <w:rPr>
          <w:color w:val="0B0B0B"/>
        </w:rPr>
        <w:t>, (A), Assistant Professor, Pharmacology and Experimental Therapeutics, School of Medicine. PhD, University of Delhi; MSc, University of Madras, 1976.</w:t>
      </w:r>
    </w:p>
    <w:p>
      <w:pPr>
        <w:pStyle w:val="BodyText"/>
        <w:spacing w:line="249" w:lineRule="auto"/>
        <w:ind w:right="721"/>
      </w:pPr>
      <w:r>
        <w:rPr>
          <w:b/>
          <w:color w:val="0B0B0B"/>
        </w:rPr>
        <w:t>Alley, Dawn</w:t>
      </w:r>
      <w:r>
        <w:rPr>
          <w:color w:val="0B0B0B"/>
        </w:rPr>
        <w:t>, (A), Assistant Professor, Epidemiology and Public Health, School of Medicine. PhD, University of Southern California, 2006; BS, University of Southern California, 2002.</w:t>
      </w:r>
    </w:p>
    <w:p>
      <w:pPr>
        <w:pStyle w:val="BodyText"/>
        <w:spacing w:line="249" w:lineRule="auto" w:before="181"/>
        <w:ind w:right="687"/>
      </w:pPr>
      <w:r>
        <w:rPr>
          <w:b/>
          <w:color w:val="0B0B0B"/>
        </w:rPr>
        <w:t>Alon, Gad</w:t>
      </w:r>
      <w:r>
        <w:rPr>
          <w:color w:val="0B0B0B"/>
        </w:rPr>
        <w:t>, (R), Associate Professor Emeritus, Physical Therapy and Rehabilitation Science, School of Medicine. PhD, University of Maryland, 1979; MS, Medical College of Virginia, 1975; BS, University of Maryland, 1972.</w:t>
      </w:r>
    </w:p>
    <w:p>
      <w:pPr>
        <w:pStyle w:val="BodyText"/>
        <w:spacing w:line="249" w:lineRule="auto"/>
        <w:ind w:right="654"/>
      </w:pPr>
      <w:r>
        <w:rPr>
          <w:b/>
          <w:color w:val="0B0B0B"/>
        </w:rPr>
        <w:t>Ambalavanar, Ranjinidevi</w:t>
      </w:r>
      <w:r>
        <w:rPr>
          <w:color w:val="0B0B0B"/>
        </w:rPr>
        <w:t>, (A), Research Assistant Professor, Biomedical Sciences, School of Dentistry. PhD, University of Liverpool, 1992; BVSc, University of Peradeniya, 1984.</w:t>
      </w:r>
    </w:p>
    <w:p>
      <w:pPr>
        <w:pStyle w:val="BodyText"/>
        <w:spacing w:line="249" w:lineRule="auto" w:before="181"/>
        <w:ind w:right="648"/>
      </w:pPr>
      <w:r>
        <w:rPr>
          <w:b/>
          <w:color w:val="0B0B0B"/>
        </w:rPr>
        <w:t>Ambulos Jr., Nicholas</w:t>
      </w:r>
      <w:r>
        <w:rPr>
          <w:color w:val="0B0B0B"/>
        </w:rPr>
        <w:t>, (A), Assistant Professor, Microbiology and Immunology, School of Medicine. PhD, University of Maryland, 1987; BS, University of Rochester, 1982.</w:t>
      </w:r>
    </w:p>
    <w:p>
      <w:pPr>
        <w:pStyle w:val="BodyText"/>
        <w:spacing w:line="249" w:lineRule="auto"/>
        <w:ind w:right="699"/>
      </w:pPr>
      <w:r>
        <w:rPr>
          <w:b/>
          <w:color w:val="0B0B0B"/>
        </w:rPr>
        <w:t>Amelung, Pamela</w:t>
      </w:r>
      <w:r>
        <w:rPr>
          <w:color w:val="0B0B0B"/>
        </w:rPr>
        <w:t>, (A), Assistant Professor, Organized Research Center for the Genetics of Asthma and Complex Diseases, School of Medicine, MD, University of</w:t>
      </w:r>
    </w:p>
    <w:p>
      <w:pPr>
        <w:spacing w:after="0" w:line="249" w:lineRule="auto"/>
        <w:sectPr>
          <w:type w:val="continuous"/>
          <w:pgSz w:w="12240" w:h="15840"/>
          <w:pgMar w:top="1500" w:bottom="280" w:left="880" w:right="300"/>
          <w:cols w:num="2" w:equalWidth="0">
            <w:col w:w="4949" w:space="537"/>
            <w:col w:w="5574"/>
          </w:cols>
        </w:sectPr>
      </w:pPr>
    </w:p>
    <w:p>
      <w:pPr>
        <w:pStyle w:val="BodyText"/>
        <w:spacing w:before="100"/>
      </w:pPr>
      <w:r>
        <w:rPr>
          <w:color w:val="0B0B0B"/>
        </w:rPr>
        <w:t>Maryland, 1987, BA, University of Maryland, 1982</w:t>
      </w:r>
    </w:p>
    <w:p>
      <w:pPr>
        <w:pStyle w:val="BodyText"/>
        <w:spacing w:line="249" w:lineRule="auto" w:before="187"/>
        <w:ind w:left="199" w:right="348"/>
      </w:pPr>
      <w:r>
        <w:rPr>
          <w:b/>
          <w:color w:val="0B0B0B"/>
        </w:rPr>
        <w:t>Ament, Seth</w:t>
      </w:r>
      <w:r>
        <w:rPr>
          <w:color w:val="0B0B0B"/>
        </w:rPr>
        <w:t>, (A), Assistant Professor, Anatomy and Neurobiology, School of Medicine. PhD, University of Illinois, 2010; AB, Harvard University, 2003.</w:t>
      </w:r>
    </w:p>
    <w:p>
      <w:pPr>
        <w:pStyle w:val="BodyText"/>
        <w:spacing w:line="249" w:lineRule="auto"/>
        <w:ind w:left="199" w:right="47"/>
      </w:pPr>
      <w:r>
        <w:rPr>
          <w:b/>
          <w:color w:val="0B0B0B"/>
        </w:rPr>
        <w:t>Amos, Veronica</w:t>
      </w:r>
      <w:r>
        <w:rPr>
          <w:color w:val="0B0B0B"/>
        </w:rPr>
        <w:t>, (A), Assistant Professor and Assistant Director of Nurse Anesthesia, Organizational Systems and Adult Health, School of Nursing. MS, University of Maryland, 2007; MS, University of Maryland, 2000; BSN, University of Maryland, 1999.</w:t>
      </w:r>
    </w:p>
    <w:p>
      <w:pPr>
        <w:pStyle w:val="BodyText"/>
        <w:spacing w:line="249" w:lineRule="auto" w:before="181"/>
        <w:ind w:left="199" w:right="47"/>
      </w:pPr>
      <w:r>
        <w:rPr>
          <w:b/>
          <w:color w:val="0B0B0B"/>
        </w:rPr>
        <w:t>Amr, Sania</w:t>
      </w:r>
      <w:r>
        <w:rPr>
          <w:color w:val="0B0B0B"/>
        </w:rPr>
        <w:t>, (R), Professor Emeritus, Epidemiology and Public Health, School of Medicine. MS, University of Maryland, 1997; MD, University Paul Sabatier, 1977; MS, University Paul Sabatier, 1976.</w:t>
      </w:r>
    </w:p>
    <w:p>
      <w:pPr>
        <w:pStyle w:val="BodyText"/>
        <w:spacing w:line="249" w:lineRule="auto"/>
        <w:ind w:left="199" w:right="852"/>
      </w:pPr>
      <w:r>
        <w:rPr>
          <w:b/>
          <w:color w:val="0B0B0B"/>
        </w:rPr>
        <w:t>An, Songon</w:t>
      </w:r>
      <w:r>
        <w:rPr>
          <w:color w:val="0B0B0B"/>
        </w:rPr>
        <w:t>, Assistant Professor, Chemistry and Biochemistry</w:t>
      </w:r>
    </w:p>
    <w:p>
      <w:pPr>
        <w:pStyle w:val="BodyText"/>
        <w:spacing w:line="249" w:lineRule="auto" w:before="180"/>
        <w:ind w:left="199" w:right="131"/>
      </w:pPr>
      <w:r>
        <w:rPr>
          <w:b/>
          <w:color w:val="0B0B0B"/>
        </w:rPr>
        <w:t>Anseloni, Vanessa C. Zilli</w:t>
      </w:r>
      <w:r>
        <w:rPr>
          <w:color w:val="0B0B0B"/>
        </w:rPr>
        <w:t>, (A), Research Assistant Professor, Biomedical Science, School of Dentistry. PhD, University of Sao Paulo, 1997; BS, University of Sao Paulo, 1994.</w:t>
      </w:r>
    </w:p>
    <w:p>
      <w:pPr>
        <w:pStyle w:val="BodyText"/>
        <w:spacing w:line="249" w:lineRule="auto"/>
        <w:ind w:left="199" w:right="181"/>
      </w:pPr>
      <w:r>
        <w:rPr>
          <w:b/>
          <w:color w:val="0B0B0B"/>
        </w:rPr>
        <w:t>Antalis, Toni M.</w:t>
      </w:r>
      <w:r>
        <w:rPr>
          <w:color w:val="0B0B0B"/>
        </w:rPr>
        <w:t>, (R), Professor, Physiology, School of Medicine. PhD, Rice University, 1981; BS, Furman University, 1975.</w:t>
      </w:r>
    </w:p>
    <w:p>
      <w:pPr>
        <w:pStyle w:val="BodyText"/>
        <w:spacing w:line="249" w:lineRule="auto" w:before="180"/>
        <w:ind w:left="199" w:right="197"/>
      </w:pPr>
      <w:r>
        <w:rPr>
          <w:b/>
          <w:color w:val="0B0B0B"/>
        </w:rPr>
        <w:t>Anthony, Bruno</w:t>
      </w:r>
      <w:r>
        <w:rPr>
          <w:color w:val="0B0B0B"/>
        </w:rPr>
        <w:t>, (R), Associate Professor, Psychiatry, School of Medicine. MA, MPhil, PhD, Columbia University, 1981; BA, University of Pennsylvania, 1973.</w:t>
      </w:r>
    </w:p>
    <w:p>
      <w:pPr>
        <w:pStyle w:val="BodyText"/>
        <w:spacing w:line="249" w:lineRule="auto" w:before="184"/>
        <w:ind w:right="86" w:hanging="1"/>
      </w:pPr>
      <w:r>
        <w:rPr>
          <w:b/>
          <w:color w:val="0B0B0B"/>
        </w:rPr>
        <w:t>Antony, Paul, </w:t>
      </w:r>
      <w:r>
        <w:rPr>
          <w:color w:val="0B0B0B"/>
        </w:rPr>
        <w:t>(R), Assistant Professor, Microbiology and Immunology, School of Medicine. MD, University of Michigan 2000; BS, University of Michigan, 1994.</w:t>
      </w:r>
    </w:p>
    <w:p>
      <w:pPr>
        <w:pStyle w:val="BodyText"/>
        <w:spacing w:line="249" w:lineRule="auto" w:before="180"/>
        <w:ind w:right="63"/>
      </w:pPr>
      <w:r>
        <w:rPr>
          <w:b/>
          <w:color w:val="0B0B0B"/>
        </w:rPr>
        <w:t>Archibald, Sarah N, </w:t>
      </w:r>
      <w:r>
        <w:rPr>
          <w:color w:val="0B0B0B"/>
        </w:rPr>
        <w:t>(A), Adjunct Faculty, Graduate School. BS, SUNY College at Buffalo, 1999; MA, George Mason University, 2003; PhD, University of Maryland, Baltimore County, 2012; MS, University of Maryland, Baltimore, 2016</w:t>
      </w:r>
    </w:p>
    <w:p>
      <w:pPr>
        <w:pStyle w:val="BodyText"/>
        <w:spacing w:line="249" w:lineRule="auto" w:before="186"/>
        <w:ind w:right="41"/>
      </w:pPr>
      <w:r>
        <w:rPr>
          <w:b/>
          <w:color w:val="0B0B0B"/>
        </w:rPr>
        <w:t>Atamas, Sergei</w:t>
      </w:r>
      <w:r>
        <w:rPr>
          <w:color w:val="0B0B0B"/>
        </w:rPr>
        <w:t>, (A), Assistant Professor, Microbiology and Immunology, School of Medicine. PhD, First Moscow Medical Institute, 1989; MD, Crimea State Medical Institute, 1984.</w:t>
      </w:r>
    </w:p>
    <w:p>
      <w:pPr>
        <w:pStyle w:val="BodyText"/>
        <w:spacing w:line="249" w:lineRule="auto" w:before="181"/>
        <w:ind w:right="18"/>
      </w:pPr>
      <w:r>
        <w:rPr>
          <w:b/>
          <w:color w:val="0B0B0B"/>
        </w:rPr>
        <w:t>Aurelian, Laure, </w:t>
      </w:r>
      <w:r>
        <w:rPr>
          <w:color w:val="0B0B0B"/>
        </w:rPr>
        <w:t>(R), Professor, Pharmacology and Experimental Therapeutics, School of Medicine. PhD, Johns Hopkins University, 1966; MS, Tel Aviv University, 1962.</w:t>
      </w:r>
    </w:p>
    <w:p>
      <w:pPr>
        <w:pStyle w:val="BodyText"/>
        <w:spacing w:line="249" w:lineRule="auto"/>
        <w:ind w:right="302"/>
      </w:pPr>
      <w:r>
        <w:rPr>
          <w:b/>
          <w:color w:val="0B0B0B"/>
        </w:rPr>
        <w:t>Azad, Abdu</w:t>
      </w:r>
      <w:r>
        <w:rPr>
          <w:color w:val="0B0B0B"/>
        </w:rPr>
        <w:t>, (R), Professor, Microbiology and Immunology, School of Medicine. PhD, Johns Hopkins University, 1976; MPH, University of Tehran, 1970;</w:t>
      </w:r>
    </w:p>
    <w:p>
      <w:pPr>
        <w:pStyle w:val="BodyText"/>
        <w:spacing w:before="96"/>
      </w:pPr>
      <w:r>
        <w:rPr/>
        <w:br w:type="column"/>
      </w:r>
      <w:r>
        <w:rPr>
          <w:color w:val="0B0B0B"/>
        </w:rPr>
        <w:t>DPharm, University of Tehran, 1966.</w:t>
      </w:r>
    </w:p>
    <w:p>
      <w:pPr>
        <w:pStyle w:val="BodyText"/>
        <w:spacing w:line="249" w:lineRule="auto" w:before="187"/>
        <w:ind w:right="736"/>
      </w:pPr>
      <w:r>
        <w:rPr>
          <w:b/>
          <w:color w:val="0B0B0B"/>
        </w:rPr>
        <w:t>Azimzadeh, Agnes</w:t>
      </w:r>
      <w:r>
        <w:rPr>
          <w:color w:val="0B0B0B"/>
        </w:rPr>
        <w:t>, (R), Associate Professor, Surgery, School of Medicine. PhD, Institute of Molecular and Cellular Biology of the Center for National Scientific Research, 1992; MS, University Louis Pasteur, 1986; BS, University Louis Pasteur, 1984.</w:t>
      </w:r>
    </w:p>
    <w:p>
      <w:pPr>
        <w:pStyle w:val="BodyText"/>
        <w:spacing w:line="249" w:lineRule="auto" w:before="187"/>
        <w:ind w:right="681"/>
      </w:pPr>
      <w:r>
        <w:rPr>
          <w:b/>
          <w:color w:val="0B0B0B"/>
        </w:rPr>
        <w:t>Bachur, Nicholas</w:t>
      </w:r>
      <w:r>
        <w:rPr>
          <w:color w:val="0B0B0B"/>
        </w:rPr>
        <w:t>, (R), Professor, Greenebaum Cancer Center, School of Medicine. MD, University of Maryland, 1961; PhD, University of Maryland, 1961; AB, Johns Hopkins University, 1954.</w:t>
      </w:r>
    </w:p>
    <w:p>
      <w:pPr>
        <w:pStyle w:val="BodyText"/>
        <w:spacing w:line="249" w:lineRule="auto" w:before="180"/>
        <w:ind w:right="619"/>
      </w:pPr>
      <w:r>
        <w:rPr>
          <w:b/>
          <w:color w:val="0B0B0B"/>
        </w:rPr>
        <w:t>Baer, Maria R.</w:t>
      </w:r>
      <w:r>
        <w:rPr>
          <w:color w:val="0B0B0B"/>
        </w:rPr>
        <w:t>, (R), Professor, Molecular Medicine, School of Medicine. MD, Johns Hopkins University, 1979; BA, Harvard University, 1973.</w:t>
      </w:r>
    </w:p>
    <w:p>
      <w:pPr>
        <w:pStyle w:val="BodyText"/>
        <w:spacing w:line="249" w:lineRule="auto"/>
        <w:ind w:right="903"/>
      </w:pPr>
      <w:r>
        <w:rPr>
          <w:b/>
          <w:color w:val="0B0B0B"/>
        </w:rPr>
        <w:t>Bai, Guang</w:t>
      </w:r>
      <w:r>
        <w:rPr>
          <w:color w:val="0B0B0B"/>
        </w:rPr>
        <w:t>, (A), Assistant Professor, Oral and Craniofacial Biological Sciences, School of Dentistry. PhD, University of Ulm, 1988; MS, Fourth Military Medical College, 1983; MD, Fourth Military Medical College, 1978.</w:t>
      </w:r>
    </w:p>
    <w:p>
      <w:pPr>
        <w:pStyle w:val="BodyText"/>
        <w:spacing w:line="249" w:lineRule="auto" w:before="181"/>
        <w:ind w:right="625"/>
      </w:pPr>
      <w:r>
        <w:rPr>
          <w:b/>
          <w:color w:val="0B0B0B"/>
        </w:rPr>
        <w:t>Bailey, TaShara, </w:t>
      </w:r>
      <w:r>
        <w:rPr>
          <w:color w:val="0B0B0B"/>
        </w:rPr>
        <w:t>(A), Adjunct Faculty, Graduate School. BS, North Carolina Agricultural and Technical State University; MS, University of Michigan, 2000; PhD, 2014.</w:t>
      </w:r>
    </w:p>
    <w:p>
      <w:pPr>
        <w:pStyle w:val="BodyText"/>
        <w:spacing w:line="249" w:lineRule="auto" w:before="184"/>
        <w:ind w:right="659" w:hanging="1"/>
      </w:pPr>
      <w:r>
        <w:rPr>
          <w:b/>
          <w:color w:val="0B0B0B"/>
        </w:rPr>
        <w:t>Balcer-Kubiczek</w:t>
      </w:r>
      <w:r>
        <w:rPr>
          <w:color w:val="0B0B0B"/>
        </w:rPr>
        <w:t>, Elizabeth, (A), Associate Professor, Radiation Oncology, School of Medicine. PhD, University of Maryland, 1981; MS, University of Warsaw, 1967.</w:t>
      </w:r>
    </w:p>
    <w:p>
      <w:pPr>
        <w:pStyle w:val="BodyText"/>
        <w:spacing w:line="249" w:lineRule="auto" w:before="180"/>
        <w:ind w:right="628"/>
      </w:pPr>
      <w:r>
        <w:rPr>
          <w:b/>
          <w:color w:val="0B0B0B"/>
        </w:rPr>
        <w:t>Bambrick, Linda</w:t>
      </w:r>
      <w:r>
        <w:rPr>
          <w:color w:val="0B0B0B"/>
        </w:rPr>
        <w:t>, (A), Assistant Professor, Anesthesiology, School of Medicine. PhD, University of Alberta, 2002; PhD, University of Alberta, 1986; BS, University of Toronto, 1981.</w:t>
      </w:r>
    </w:p>
    <w:p>
      <w:pPr>
        <w:pStyle w:val="BodyText"/>
        <w:spacing w:line="249" w:lineRule="auto" w:before="186"/>
        <w:ind w:right="864"/>
      </w:pPr>
      <w:r>
        <w:rPr>
          <w:b/>
          <w:color w:val="0B0B0B"/>
        </w:rPr>
        <w:t>Banerjee, Arnob</w:t>
      </w:r>
      <w:r>
        <w:rPr>
          <w:color w:val="0B0B0B"/>
        </w:rPr>
        <w:t>, (R), Assistant, Microbiology and Immunology, School of Medicine. MD, Columbia University, 2002; PhD, Columbia University, 2002; BS, Brown University, 1993.</w:t>
      </w:r>
    </w:p>
    <w:p>
      <w:pPr>
        <w:pStyle w:val="BodyText"/>
        <w:spacing w:line="249" w:lineRule="auto" w:before="180"/>
        <w:ind w:right="647"/>
      </w:pPr>
      <w:r>
        <w:rPr>
          <w:b/>
          <w:color w:val="0B0B0B"/>
        </w:rPr>
        <w:t>Barnes, Douglas</w:t>
      </w:r>
      <w:r>
        <w:rPr>
          <w:color w:val="0B0B0B"/>
        </w:rPr>
        <w:t>, (A), Associate Professor, Oral Health Care Delivery, School of Dentistry. MS, University of Maryland, 1992; DDS, University of Maryland, 1983; BA, Western Maryland College, 1979.</w:t>
      </w:r>
    </w:p>
    <w:p>
      <w:pPr>
        <w:pStyle w:val="BodyText"/>
        <w:spacing w:line="249" w:lineRule="auto"/>
        <w:ind w:right="670"/>
      </w:pPr>
      <w:r>
        <w:rPr>
          <w:b/>
          <w:color w:val="0B0B0B"/>
        </w:rPr>
        <w:t>Barry, Eileen M.</w:t>
      </w:r>
      <w:r>
        <w:rPr>
          <w:color w:val="0B0B0B"/>
        </w:rPr>
        <w:t>, (R), Associate Professor, Microbiology and Immunology, School of Medicine. PhD, Medical College of Virginia; BA, University of Delaware, 1985.</w:t>
      </w:r>
    </w:p>
    <w:p>
      <w:pPr>
        <w:pStyle w:val="BodyText"/>
        <w:spacing w:line="249" w:lineRule="auto" w:before="180"/>
        <w:ind w:right="758"/>
      </w:pPr>
      <w:r>
        <w:rPr>
          <w:b/>
          <w:color w:val="0B0B0B"/>
        </w:rPr>
        <w:t>Barry, Kathryn</w:t>
      </w:r>
      <w:r>
        <w:rPr>
          <w:color w:val="0B0B0B"/>
        </w:rPr>
        <w:t>, (A), Assistant Professor, Epidemiology and Public Health. PhD, Yale University, 2011; MPH, Yale University, 2005; BS, Tufts University, 2003.</w:t>
      </w:r>
    </w:p>
    <w:p>
      <w:pPr>
        <w:pStyle w:val="BodyText"/>
        <w:spacing w:line="249" w:lineRule="auto"/>
        <w:ind w:right="731"/>
      </w:pPr>
      <w:r>
        <w:rPr>
          <w:b/>
          <w:color w:val="0B0B0B"/>
        </w:rPr>
        <w:t>Barth, Richard</w:t>
      </w:r>
      <w:r>
        <w:rPr>
          <w:color w:val="0B0B0B"/>
        </w:rPr>
        <w:t>, (R), Dean, School of Social Work. PhD, University of California, Berkeley, 1982; MSW,</w:t>
      </w:r>
    </w:p>
    <w:p>
      <w:pPr>
        <w:spacing w:after="0" w:line="249" w:lineRule="auto"/>
        <w:sectPr>
          <w:pgSz w:w="12240" w:h="15840"/>
          <w:pgMar w:header="746" w:footer="0" w:top="1320" w:bottom="280" w:left="880" w:right="300"/>
          <w:cols w:num="2" w:equalWidth="0">
            <w:col w:w="4972" w:space="515"/>
            <w:col w:w="5573"/>
          </w:cols>
        </w:sectPr>
      </w:pPr>
    </w:p>
    <w:p>
      <w:pPr>
        <w:pStyle w:val="BodyText"/>
        <w:spacing w:line="249" w:lineRule="auto" w:before="100"/>
      </w:pPr>
      <w:r>
        <w:rPr>
          <w:color w:val="0B0B0B"/>
        </w:rPr>
        <w:t>University of California, Berkeley, 1979; AB, Brown University, 1975.</w:t>
      </w:r>
    </w:p>
    <w:p>
      <w:pPr>
        <w:pStyle w:val="BodyText"/>
        <w:spacing w:line="249" w:lineRule="auto" w:before="179"/>
        <w:ind w:right="275"/>
      </w:pPr>
      <w:r>
        <w:rPr>
          <w:b/>
          <w:color w:val="0B0B0B"/>
        </w:rPr>
        <w:t>Bartlett, Stephen</w:t>
      </w:r>
      <w:r>
        <w:rPr>
          <w:color w:val="0B0B0B"/>
        </w:rPr>
        <w:t>, (R), Professor, Surgery, School of Medicine. MD, University of Chicago, 1979; BA, Johns Hopkins University, 1975.</w:t>
      </w:r>
    </w:p>
    <w:p>
      <w:pPr>
        <w:pStyle w:val="BodyText"/>
        <w:spacing w:line="249" w:lineRule="auto" w:before="184"/>
        <w:ind w:right="204"/>
      </w:pPr>
      <w:r>
        <w:rPr>
          <w:b/>
          <w:color w:val="0B0B0B"/>
        </w:rPr>
        <w:t>Barton, Joseph</w:t>
      </w:r>
      <w:r>
        <w:rPr>
          <w:color w:val="0B0B0B"/>
        </w:rPr>
        <w:t>, (A), Assistant Professor, Neurology, School of Medicine. PhD, University of California, Berkeley, 2004; MBA, Massachusetts Institute of Technology, 1984; MS, Rensselaer Polytechnic Institute, 1977.</w:t>
      </w:r>
    </w:p>
    <w:p>
      <w:pPr>
        <w:pStyle w:val="BodyText"/>
        <w:spacing w:line="249" w:lineRule="auto" w:before="182"/>
        <w:ind w:right="120"/>
      </w:pPr>
      <w:r>
        <w:rPr>
          <w:b/>
          <w:color w:val="0B0B0B"/>
        </w:rPr>
        <w:t>Bashirelahi, Nasir</w:t>
      </w:r>
      <w:r>
        <w:rPr>
          <w:color w:val="0B0B0B"/>
        </w:rPr>
        <w:t>, (R), Professor, Oral and Craniofacial Biological Sciences, School of Dentistry. PhD, University of Louisville, 1968; MS, University of Louisville, 1965; PharmD, Tehran University, 1962.</w:t>
      </w:r>
    </w:p>
    <w:p>
      <w:pPr>
        <w:pStyle w:val="BodyText"/>
        <w:spacing w:line="249" w:lineRule="auto"/>
        <w:ind w:right="70"/>
      </w:pPr>
      <w:r>
        <w:rPr>
          <w:b/>
          <w:color w:val="0B0B0B"/>
        </w:rPr>
        <w:t>Basile, John</w:t>
      </w:r>
      <w:r>
        <w:rPr>
          <w:color w:val="0B0B0B"/>
        </w:rPr>
        <w:t>, (R), Assistant Professor, Oral and Experimental Pathology, School of Dentistry, MA, DMSc, Harvard School of Dental Medicine, 2002, DDS, State University of New York, 1993, BA, Cornell University, 1989</w:t>
      </w:r>
    </w:p>
    <w:p>
      <w:pPr>
        <w:pStyle w:val="BodyText"/>
        <w:spacing w:line="249" w:lineRule="auto" w:before="181"/>
        <w:ind w:right="59"/>
      </w:pPr>
      <w:r>
        <w:rPr>
          <w:b/>
          <w:color w:val="0B0B0B"/>
        </w:rPr>
        <w:t>Baskakov, Ilia V.</w:t>
      </w:r>
      <w:r>
        <w:rPr>
          <w:color w:val="0B0B0B"/>
        </w:rPr>
        <w:t>, (A), Associate Professor, Anatomy and Neurobiology, </w:t>
      </w:r>
      <w:r>
        <w:rPr>
          <w:color w:val="0B0B0B"/>
          <w:spacing w:val="-2"/>
        </w:rPr>
        <w:t>School </w:t>
      </w:r>
      <w:r>
        <w:rPr>
          <w:color w:val="0B0B0B"/>
        </w:rPr>
        <w:t>of Medicine. </w:t>
      </w:r>
      <w:r>
        <w:rPr>
          <w:color w:val="0B0B0B"/>
          <w:spacing w:val="-3"/>
        </w:rPr>
        <w:t>PhD, </w:t>
      </w:r>
      <w:r>
        <w:rPr>
          <w:color w:val="0B0B0B"/>
        </w:rPr>
        <w:t>Shemyakin- Ovchinnikiv Institute Russia, 1996; MS, Lomonosov Moscow University, 1992; </w:t>
      </w:r>
      <w:r>
        <w:rPr>
          <w:color w:val="0B0B0B"/>
          <w:spacing w:val="-3"/>
        </w:rPr>
        <w:t>BS, </w:t>
      </w:r>
      <w:r>
        <w:rPr>
          <w:color w:val="0B0B0B"/>
        </w:rPr>
        <w:t>Lomonosov Moscow University,</w:t>
      </w:r>
      <w:r>
        <w:rPr>
          <w:color w:val="0B0B0B"/>
          <w:spacing w:val="4"/>
        </w:rPr>
        <w:t> </w:t>
      </w:r>
      <w:r>
        <w:rPr>
          <w:color w:val="0B0B0B"/>
        </w:rPr>
        <w:t>1990.</w:t>
      </w:r>
    </w:p>
    <w:p>
      <w:pPr>
        <w:pStyle w:val="BodyText"/>
        <w:spacing w:line="249" w:lineRule="auto" w:before="186"/>
        <w:ind w:right="74"/>
      </w:pPr>
      <w:r>
        <w:rPr>
          <w:b/>
          <w:color w:val="0B0B0B"/>
        </w:rPr>
        <w:t>Bastian, Amy</w:t>
      </w:r>
      <w:r>
        <w:rPr>
          <w:color w:val="0B0B0B"/>
        </w:rPr>
        <w:t>, (S), Assistant Professor, </w:t>
      </w:r>
      <w:r>
        <w:rPr>
          <w:color w:val="0B0B0B"/>
          <w:spacing w:val="-3"/>
        </w:rPr>
        <w:t>Neurology. </w:t>
      </w:r>
      <w:r>
        <w:rPr>
          <w:color w:val="0B0B0B"/>
        </w:rPr>
        <w:t>PhD, Washington University, 1995; </w:t>
      </w:r>
      <w:r>
        <w:rPr>
          <w:color w:val="0B0B0B"/>
          <w:spacing w:val="-3"/>
        </w:rPr>
        <w:t>BS, </w:t>
      </w:r>
      <w:r>
        <w:rPr>
          <w:color w:val="0B0B0B"/>
        </w:rPr>
        <w:t>University of Oklahoma,</w:t>
      </w:r>
      <w:r>
        <w:rPr>
          <w:color w:val="0B0B0B"/>
          <w:spacing w:val="-1"/>
        </w:rPr>
        <w:t> </w:t>
      </w:r>
      <w:r>
        <w:rPr>
          <w:color w:val="0B0B0B"/>
        </w:rPr>
        <w:t>1990.</w:t>
      </w:r>
    </w:p>
    <w:p>
      <w:pPr>
        <w:pStyle w:val="BodyText"/>
        <w:spacing w:line="249" w:lineRule="auto" w:before="180"/>
        <w:ind w:right="59"/>
      </w:pPr>
      <w:r>
        <w:rPr>
          <w:b/>
          <w:color w:val="0B0B0B"/>
        </w:rPr>
        <w:t>Battani, Kathryn</w:t>
      </w:r>
      <w:r>
        <w:rPr>
          <w:color w:val="0B0B0B"/>
        </w:rPr>
        <w:t>, (A), Program Director, </w:t>
      </w:r>
      <w:r>
        <w:rPr>
          <w:color w:val="0B0B0B"/>
          <w:spacing w:val="-3"/>
        </w:rPr>
        <w:t>Health </w:t>
      </w:r>
      <w:r>
        <w:rPr>
          <w:color w:val="0B0B0B"/>
        </w:rPr>
        <w:t>Promotion and </w:t>
      </w:r>
      <w:r>
        <w:rPr>
          <w:color w:val="0B0B0B"/>
          <w:spacing w:val="-3"/>
        </w:rPr>
        <w:t>Policy, </w:t>
      </w:r>
      <w:r>
        <w:rPr>
          <w:color w:val="0B0B0B"/>
          <w:spacing w:val="-2"/>
        </w:rPr>
        <w:t>School </w:t>
      </w:r>
      <w:r>
        <w:rPr>
          <w:color w:val="0B0B0B"/>
        </w:rPr>
        <w:t>of Dentistry. MS, University of Maryland, Baltimore, 2008; </w:t>
      </w:r>
      <w:r>
        <w:rPr>
          <w:color w:val="0B0B0B"/>
          <w:spacing w:val="-3"/>
        </w:rPr>
        <w:t>BS, </w:t>
      </w:r>
      <w:r>
        <w:rPr>
          <w:color w:val="0B0B0B"/>
        </w:rPr>
        <w:t>University </w:t>
      </w:r>
      <w:r>
        <w:rPr>
          <w:color w:val="0B0B0B"/>
          <w:spacing w:val="-5"/>
        </w:rPr>
        <w:t>of </w:t>
      </w:r>
      <w:r>
        <w:rPr>
          <w:color w:val="0B0B0B"/>
        </w:rPr>
        <w:t>Maryland, Baltimore,</w:t>
      </w:r>
      <w:r>
        <w:rPr>
          <w:color w:val="0B0B0B"/>
          <w:spacing w:val="4"/>
        </w:rPr>
        <w:t> </w:t>
      </w:r>
      <w:r>
        <w:rPr>
          <w:color w:val="0B0B0B"/>
        </w:rPr>
        <w:t>2002.</w:t>
      </w:r>
    </w:p>
    <w:p>
      <w:pPr>
        <w:pStyle w:val="BodyText"/>
        <w:spacing w:line="249" w:lineRule="auto"/>
        <w:ind w:right="315"/>
      </w:pPr>
      <w:r>
        <w:rPr>
          <w:b/>
          <w:color w:val="0B0B0B"/>
        </w:rPr>
        <w:t>Baulch, Janet E.</w:t>
      </w:r>
      <w:r>
        <w:rPr>
          <w:color w:val="0B0B0B"/>
        </w:rPr>
        <w:t>, (A), Assistant Professor, Molecular Medicine. PhD, California State University, 2000; BSc, California State University, 1992.</w:t>
      </w:r>
    </w:p>
    <w:p>
      <w:pPr>
        <w:pStyle w:val="BodyText"/>
        <w:spacing w:line="249" w:lineRule="auto" w:before="180"/>
        <w:ind w:right="325"/>
      </w:pPr>
      <w:r>
        <w:rPr>
          <w:b/>
          <w:color w:val="0B0B0B"/>
        </w:rPr>
        <w:t>Baumgarten, Mona</w:t>
      </w:r>
      <w:r>
        <w:rPr>
          <w:color w:val="0B0B0B"/>
        </w:rPr>
        <w:t>, (R), Adjunct Professor, Epidemiology and Public Health, School of Medicine. PhD, McGill University, 1990; MS, McGill University, 1981; BS, Concordia University, 1978.</w:t>
      </w:r>
    </w:p>
    <w:p>
      <w:pPr>
        <w:pStyle w:val="BodyText"/>
        <w:spacing w:line="249" w:lineRule="auto" w:before="186"/>
        <w:ind w:right="216"/>
      </w:pPr>
      <w:r>
        <w:rPr>
          <w:b/>
          <w:color w:val="0B0B0B"/>
        </w:rPr>
        <w:t>Bavoil, Patrik</w:t>
      </w:r>
      <w:r>
        <w:rPr>
          <w:color w:val="0B0B0B"/>
        </w:rPr>
        <w:t>, (R), Associate Professor, Oral and Craniofacial Biological Sciences, School of Dentistry. PhD, University of California, Berkeley, 1982.</w:t>
      </w:r>
    </w:p>
    <w:p>
      <w:pPr>
        <w:pStyle w:val="BodyText"/>
        <w:spacing w:line="249" w:lineRule="auto" w:before="179"/>
        <w:ind w:right="473"/>
        <w:jc w:val="both"/>
      </w:pPr>
      <w:r>
        <w:rPr>
          <w:b/>
          <w:color w:val="0B0B0B"/>
        </w:rPr>
        <w:t>Beardsley, Robert S.</w:t>
      </w:r>
      <w:r>
        <w:rPr>
          <w:color w:val="0B0B0B"/>
        </w:rPr>
        <w:t>, (R), Professor, Pharmaceutical Health Services Research, School of Pharmacy. PhD, University of Minnesota, 1977; MS, University of</w:t>
      </w:r>
    </w:p>
    <w:p>
      <w:pPr>
        <w:pStyle w:val="BodyText"/>
        <w:spacing w:before="96"/>
      </w:pPr>
      <w:r>
        <w:rPr/>
        <w:br w:type="column"/>
      </w:r>
      <w:r>
        <w:rPr>
          <w:color w:val="0B0B0B"/>
        </w:rPr>
        <w:t>Minnesota, 1974; BSP, Oregon State University, 1972.</w:t>
      </w:r>
    </w:p>
    <w:p>
      <w:pPr>
        <w:pStyle w:val="BodyText"/>
        <w:spacing w:line="249" w:lineRule="auto" w:before="187"/>
        <w:ind w:right="654"/>
      </w:pPr>
      <w:r>
        <w:rPr>
          <w:b/>
          <w:color w:val="0B0B0B"/>
        </w:rPr>
        <w:t>Bechtel, Roy</w:t>
      </w:r>
      <w:r>
        <w:rPr>
          <w:color w:val="0B0B0B"/>
        </w:rPr>
        <w:t>, (A), Assistant Professor, Physical Therapy and Rehabilitation Science, School of Medicine. PhD, University of Maryland, 1998; MA, New York University, 1982, BS; University of Maryland, 1979.</w:t>
      </w:r>
    </w:p>
    <w:p>
      <w:pPr>
        <w:pStyle w:val="BodyText"/>
        <w:spacing w:line="249" w:lineRule="auto" w:before="186"/>
        <w:ind w:right="799"/>
      </w:pPr>
      <w:r>
        <w:rPr>
          <w:b/>
          <w:color w:val="0B0B0B"/>
        </w:rPr>
        <w:t>Beitelshees, Amber</w:t>
      </w:r>
      <w:r>
        <w:rPr>
          <w:color w:val="0B0B0B"/>
        </w:rPr>
        <w:t>, (A), Assistant Professor, Medicine. PharmD, University of Florida, 2001;</w:t>
      </w:r>
    </w:p>
    <w:p>
      <w:pPr>
        <w:pStyle w:val="BodyText"/>
        <w:spacing w:line="249" w:lineRule="auto" w:before="179"/>
        <w:ind w:right="909"/>
      </w:pPr>
      <w:r>
        <w:rPr>
          <w:b/>
          <w:color w:val="0B0B0B"/>
        </w:rPr>
        <w:t>Belcher, John</w:t>
      </w:r>
      <w:r>
        <w:rPr>
          <w:color w:val="0B0B0B"/>
        </w:rPr>
        <w:t>, (R), Professor, School of Social Work. PhD, Ohio State University, 1987; MSW, University of Kentucky, 1981; BS, George Mason University, 1976.</w:t>
      </w:r>
    </w:p>
    <w:p>
      <w:pPr>
        <w:pStyle w:val="BodyText"/>
        <w:spacing w:line="249" w:lineRule="auto" w:before="184"/>
        <w:ind w:right="926"/>
      </w:pPr>
      <w:r>
        <w:rPr>
          <w:b/>
          <w:color w:val="0B0B0B"/>
        </w:rPr>
        <w:t>Belkin, Alexey</w:t>
      </w:r>
      <w:r>
        <w:rPr>
          <w:color w:val="0B0B0B"/>
        </w:rPr>
        <w:t>, (A), Assistant Professor, Biochemistry and Molecular Biology, School of Medicine, PhD, Moscow State University, 1989; MS, Moscow State University, 1983.</w:t>
      </w:r>
    </w:p>
    <w:p>
      <w:pPr>
        <w:pStyle w:val="BodyText"/>
        <w:spacing w:line="249" w:lineRule="auto" w:before="181"/>
        <w:ind w:right="615"/>
      </w:pPr>
      <w:r>
        <w:rPr>
          <w:b/>
          <w:color w:val="0B0B0B"/>
        </w:rPr>
        <w:t>Belkoff, Stephen</w:t>
      </w:r>
      <w:r>
        <w:rPr>
          <w:color w:val="0B0B0B"/>
        </w:rPr>
        <w:t>, (R), Assistant Professor, </w:t>
      </w:r>
      <w:r>
        <w:rPr>
          <w:color w:val="0B0B0B"/>
          <w:spacing w:val="-3"/>
        </w:rPr>
        <w:t>Surgery, </w:t>
      </w:r>
      <w:r>
        <w:rPr>
          <w:color w:val="0B0B0B"/>
          <w:spacing w:val="-2"/>
        </w:rPr>
        <w:t>School </w:t>
      </w:r>
      <w:r>
        <w:rPr>
          <w:color w:val="0B0B0B"/>
        </w:rPr>
        <w:t>of Medicine. PhD, Michigan State University, 1990; MS, Michigan State University, 1986; </w:t>
      </w:r>
      <w:r>
        <w:rPr>
          <w:color w:val="0B0B0B"/>
          <w:spacing w:val="-3"/>
        </w:rPr>
        <w:t>BA, </w:t>
      </w:r>
      <w:r>
        <w:rPr>
          <w:color w:val="0B0B0B"/>
        </w:rPr>
        <w:t>Michigan State University,</w:t>
      </w:r>
      <w:r>
        <w:rPr>
          <w:color w:val="0B0B0B"/>
          <w:spacing w:val="3"/>
        </w:rPr>
        <w:t> </w:t>
      </w:r>
      <w:r>
        <w:rPr>
          <w:color w:val="0B0B0B"/>
        </w:rPr>
        <w:t>1985.</w:t>
      </w:r>
    </w:p>
    <w:p>
      <w:pPr>
        <w:pStyle w:val="BodyText"/>
        <w:spacing w:line="249" w:lineRule="auto"/>
        <w:ind w:right="826"/>
      </w:pPr>
      <w:r>
        <w:rPr>
          <w:b/>
          <w:color w:val="0B0B0B"/>
        </w:rPr>
        <w:t>Bellin, Melissa H.</w:t>
      </w:r>
      <w:r>
        <w:rPr>
          <w:color w:val="0B0B0B"/>
        </w:rPr>
        <w:t>, (R), Associate Professor, School of Social Work. PhD, Virginia Commonwealth University, 2006; MSW, Virginia Commonwealth University, 1998; BA, Stanford University, 1995.</w:t>
      </w:r>
    </w:p>
    <w:p>
      <w:pPr>
        <w:pStyle w:val="BodyText"/>
        <w:spacing w:line="249" w:lineRule="auto" w:before="181"/>
        <w:ind w:right="665"/>
      </w:pPr>
      <w:r>
        <w:rPr>
          <w:b/>
          <w:color w:val="0B0B0B"/>
        </w:rPr>
        <w:t>Benavent, Vanessa</w:t>
      </w:r>
      <w:r>
        <w:rPr>
          <w:color w:val="0B0B0B"/>
        </w:rPr>
        <w:t>, (A), Clinical Assistant Professor, Neural and Pain Sciences, School of Dentistry. MS, New Jersey School of Dentistry, 2012; DDS, University of Maryland, Baltimore, 2009; BS, University of Puerto Rico at Mayaguez, 2005.</w:t>
      </w:r>
    </w:p>
    <w:p>
      <w:pPr>
        <w:pStyle w:val="BodyText"/>
        <w:spacing w:line="249" w:lineRule="auto" w:before="186"/>
        <w:ind w:right="807"/>
      </w:pPr>
      <w:r>
        <w:rPr>
          <w:b/>
          <w:color w:val="0B0B0B"/>
        </w:rPr>
        <w:t>Benavides, David</w:t>
      </w:r>
      <w:r>
        <w:rPr>
          <w:color w:val="0B0B0B"/>
        </w:rPr>
        <w:t>, (A), Assistant Professor, Neurology. MD, University of Texas Southwestern, 2010; PhD, University of Texas Southwestern, 2010; BS, St. Mary’s University, 2000.</w:t>
      </w:r>
    </w:p>
    <w:p>
      <w:pPr>
        <w:pStyle w:val="BodyText"/>
        <w:spacing w:line="249" w:lineRule="auto" w:before="180"/>
        <w:ind w:right="704"/>
      </w:pPr>
      <w:r>
        <w:rPr>
          <w:b/>
          <w:color w:val="0B0B0B"/>
        </w:rPr>
        <w:t>Benevento, Louis</w:t>
      </w:r>
      <w:r>
        <w:rPr>
          <w:color w:val="0B0B0B"/>
        </w:rPr>
        <w:t>, (R), Professor, Oral and Craniofacial Biological Sciences, School of Dentistry. PhD, University of Maryland, 1967; MS, Rensselaer Polytechnic Institute, 1964; BS, Rensselaer Polytechnic Institute, 1962.</w:t>
      </w:r>
    </w:p>
    <w:p>
      <w:pPr>
        <w:pStyle w:val="BodyText"/>
        <w:spacing w:line="249" w:lineRule="auto" w:before="186"/>
        <w:ind w:right="976"/>
      </w:pPr>
      <w:r>
        <w:rPr>
          <w:b/>
          <w:color w:val="0B0B0B"/>
        </w:rPr>
        <w:t>Bennett, Robert</w:t>
      </w:r>
      <w:r>
        <w:rPr>
          <w:color w:val="0B0B0B"/>
        </w:rPr>
        <w:t>, (A), Assistant Professor, Oral and Craniofacial Biological Sciences, School of Dentistry. PhD, University of Nebraska, 1967; MS, University of Nebraska, 1962; BA, Carleton College, 1960.</w:t>
      </w:r>
    </w:p>
    <w:p>
      <w:pPr>
        <w:pStyle w:val="BodyText"/>
        <w:spacing w:line="249" w:lineRule="auto" w:before="180"/>
        <w:ind w:right="710"/>
      </w:pPr>
      <w:r>
        <w:rPr>
          <w:b/>
          <w:color w:val="0B0B0B"/>
        </w:rPr>
        <w:t>Bentzen, Soren</w:t>
      </w:r>
      <w:r>
        <w:rPr>
          <w:color w:val="0B0B0B"/>
        </w:rPr>
        <w:t>, (R), Professor, Epidemiology and Public Heath, School of Medicine. MSci, University of Aarhus, 1994; PhD, University of Aarhus, 1986; MSc, University of Aarhus, 1981.</w:t>
      </w:r>
    </w:p>
    <w:p>
      <w:pPr>
        <w:spacing w:before="186"/>
        <w:ind w:left="200" w:right="0" w:firstLine="0"/>
        <w:jc w:val="left"/>
        <w:rPr>
          <w:sz w:val="20"/>
        </w:rPr>
      </w:pPr>
      <w:r>
        <w:rPr>
          <w:b/>
          <w:color w:val="0B0B0B"/>
          <w:sz w:val="20"/>
        </w:rPr>
        <w:t>Bergey, Gregory</w:t>
      </w:r>
      <w:r>
        <w:rPr>
          <w:color w:val="0B0B0B"/>
          <w:sz w:val="20"/>
        </w:rPr>
        <w:t>, (A), Professor, Neurology, School of</w:t>
      </w:r>
    </w:p>
    <w:p>
      <w:pPr>
        <w:spacing w:after="0"/>
        <w:jc w:val="left"/>
        <w:rPr>
          <w:sz w:val="20"/>
        </w:rPr>
        <w:sectPr>
          <w:headerReference w:type="default" r:id="rId114"/>
          <w:headerReference w:type="even" r:id="rId115"/>
          <w:pgSz w:w="12240" w:h="15840"/>
          <w:pgMar w:header="746" w:footer="0" w:top="1320" w:bottom="280" w:left="880" w:right="300"/>
          <w:pgNumType w:start="173"/>
          <w:cols w:num="2" w:equalWidth="0">
            <w:col w:w="4990" w:space="496"/>
            <w:col w:w="5574"/>
          </w:cols>
        </w:sectPr>
      </w:pPr>
    </w:p>
    <w:p>
      <w:pPr>
        <w:pStyle w:val="BodyText"/>
        <w:spacing w:line="249" w:lineRule="auto" w:before="100"/>
        <w:ind w:right="390"/>
      </w:pPr>
      <w:r>
        <w:rPr>
          <w:color w:val="0B0B0B"/>
        </w:rPr>
        <w:t>Medicine. MD, University of Pennsylvania, 1975; AB, Princeton University, 1971.</w:t>
      </w:r>
    </w:p>
    <w:p>
      <w:pPr>
        <w:pStyle w:val="BodyText"/>
        <w:spacing w:line="249" w:lineRule="auto" w:before="179"/>
        <w:ind w:right="125"/>
      </w:pPr>
      <w:r>
        <w:rPr>
          <w:b/>
          <w:color w:val="0B0B0B"/>
        </w:rPr>
        <w:t>Bergman, Stewart</w:t>
      </w:r>
      <w:r>
        <w:rPr>
          <w:color w:val="0B0B0B"/>
        </w:rPr>
        <w:t>, (A), Professor, Oral Surgery, School of Dentistry. MS, University of Maryland, 1986; DDS, State University of New York, 1968; BA, Brooklyn College, 1964.</w:t>
      </w:r>
    </w:p>
    <w:p>
      <w:pPr>
        <w:pStyle w:val="BodyText"/>
        <w:spacing w:line="249" w:lineRule="auto"/>
        <w:ind w:right="18"/>
      </w:pPr>
      <w:r>
        <w:rPr>
          <w:b/>
          <w:color w:val="0B0B0B"/>
        </w:rPr>
        <w:t>Berlin, Lisa</w:t>
      </w:r>
      <w:r>
        <w:rPr>
          <w:color w:val="0B0B0B"/>
        </w:rPr>
        <w:t>, (R), Assistant Professor, School of Social Work. PhD, Pennsylvania State University, 1994; MS, Pennsylvania State University, 1990; BA, Barnard College, 1986.</w:t>
      </w:r>
    </w:p>
    <w:p>
      <w:pPr>
        <w:pStyle w:val="BodyText"/>
        <w:spacing w:line="249" w:lineRule="auto" w:before="181"/>
        <w:ind w:right="362"/>
      </w:pPr>
      <w:r>
        <w:rPr>
          <w:b/>
          <w:color w:val="0B0B0B"/>
        </w:rPr>
        <w:t>Berndt, Rita</w:t>
      </w:r>
      <w:r>
        <w:rPr>
          <w:color w:val="0B0B0B"/>
        </w:rPr>
        <w:t>, (R), Professor, Neurology, School of Medicine. PhD, SUNY-Downstate, 1977; MA, SUNY- Downstate, 1975; BA, University of Maryland, 1971.</w:t>
      </w:r>
    </w:p>
    <w:p>
      <w:pPr>
        <w:pStyle w:val="BodyText"/>
        <w:spacing w:line="249" w:lineRule="auto" w:before="184"/>
        <w:ind w:right="61"/>
      </w:pPr>
      <w:r>
        <w:rPr>
          <w:b/>
          <w:color w:val="0B0B0B"/>
        </w:rPr>
        <w:t>Bernstein, Steven L.</w:t>
      </w:r>
      <w:r>
        <w:rPr>
          <w:color w:val="0B0B0B"/>
        </w:rPr>
        <w:t>, (R), Associate Professor, Neuroscience, School </w:t>
      </w:r>
      <w:r>
        <w:rPr>
          <w:color w:val="0B0B0B"/>
          <w:spacing w:val="-3"/>
        </w:rPr>
        <w:t>of </w:t>
      </w:r>
      <w:r>
        <w:rPr>
          <w:color w:val="0B0B0B"/>
        </w:rPr>
        <w:t>Medicine. </w:t>
      </w:r>
      <w:r>
        <w:rPr>
          <w:color w:val="0B0B0B"/>
          <w:spacing w:val="-3"/>
        </w:rPr>
        <w:t>MD, </w:t>
      </w:r>
      <w:r>
        <w:rPr>
          <w:color w:val="0B0B0B"/>
        </w:rPr>
        <w:t>Pennsylvania State University, 1985; </w:t>
      </w:r>
      <w:r>
        <w:rPr>
          <w:color w:val="0B0B0B"/>
          <w:spacing w:val="-3"/>
        </w:rPr>
        <w:t>PhD, </w:t>
      </w:r>
      <w:r>
        <w:rPr>
          <w:color w:val="0B0B0B"/>
        </w:rPr>
        <w:t>Cornell University, 1982; </w:t>
      </w:r>
      <w:r>
        <w:rPr>
          <w:color w:val="0B0B0B"/>
          <w:spacing w:val="-3"/>
        </w:rPr>
        <w:t>BSc, </w:t>
      </w:r>
      <w:r>
        <w:rPr>
          <w:color w:val="0B0B0B"/>
        </w:rPr>
        <w:t>Philadelphia College </w:t>
      </w:r>
      <w:r>
        <w:rPr>
          <w:color w:val="0B0B0B"/>
          <w:spacing w:val="-3"/>
        </w:rPr>
        <w:t>of </w:t>
      </w:r>
      <w:r>
        <w:rPr>
          <w:color w:val="0B0B0B"/>
        </w:rPr>
        <w:t>Pharmacy and Science,</w:t>
      </w:r>
      <w:r>
        <w:rPr>
          <w:color w:val="0B0B0B"/>
          <w:spacing w:val="8"/>
        </w:rPr>
        <w:t> </w:t>
      </w:r>
      <w:r>
        <w:rPr>
          <w:color w:val="0B0B0B"/>
        </w:rPr>
        <w:t>1975.</w:t>
      </w:r>
    </w:p>
    <w:p>
      <w:pPr>
        <w:pStyle w:val="BodyText"/>
        <w:spacing w:line="249" w:lineRule="auto" w:before="181"/>
        <w:ind w:left="199" w:right="663"/>
      </w:pPr>
      <w:r>
        <w:rPr>
          <w:b/>
          <w:color w:val="0B0B0B"/>
        </w:rPr>
        <w:t>Berry, Andrea Ahn-Yee</w:t>
      </w:r>
      <w:r>
        <w:rPr>
          <w:color w:val="0B0B0B"/>
        </w:rPr>
        <w:t>, (A), Assistant Professor, Pediatrics, School of Medicine. MD, University of Pennsylvania, 2003; BA, Columbia College, 1998.</w:t>
      </w:r>
    </w:p>
    <w:p>
      <w:pPr>
        <w:pStyle w:val="BodyText"/>
        <w:spacing w:line="249" w:lineRule="auto" w:before="184"/>
        <w:ind w:left="199" w:right="214"/>
      </w:pPr>
      <w:r>
        <w:rPr>
          <w:b/>
          <w:color w:val="0B0B0B"/>
        </w:rPr>
        <w:t>Bever Jr., Christopher</w:t>
      </w:r>
      <w:r>
        <w:rPr>
          <w:color w:val="0B0B0B"/>
        </w:rPr>
        <w:t>, (R), Professor, Neurology, School of Medicine. MD, University of Rochester, 1975; AB, Washington University, 1971.</w:t>
      </w:r>
    </w:p>
    <w:p>
      <w:pPr>
        <w:pStyle w:val="BodyText"/>
        <w:spacing w:line="249" w:lineRule="auto" w:before="180"/>
        <w:ind w:right="156"/>
      </w:pPr>
      <w:r>
        <w:rPr>
          <w:b/>
          <w:color w:val="0B0B0B"/>
        </w:rPr>
        <w:t>Bindon, Susan L.</w:t>
      </w:r>
      <w:r>
        <w:rPr>
          <w:color w:val="0B0B0B"/>
        </w:rPr>
        <w:t>, (A), Assistant Professor, Partnerships, Professional Education, and Practice, School of Nursing. DNP, University of Maryland, 2011; MS, University of Maryland, 2010; BSN, University of Pittsburgh, 1984.</w:t>
      </w:r>
    </w:p>
    <w:p>
      <w:pPr>
        <w:pStyle w:val="BodyText"/>
        <w:spacing w:line="249" w:lineRule="auto" w:before="186"/>
        <w:ind w:right="19"/>
      </w:pPr>
      <w:r>
        <w:rPr>
          <w:b/>
          <w:color w:val="0B0B0B"/>
        </w:rPr>
        <w:t>Birney, Kerry</w:t>
      </w:r>
      <w:r>
        <w:rPr>
          <w:color w:val="0B0B0B"/>
        </w:rPr>
        <w:t>, (A), Assistant Professor, Graduate School. BS, University of Maryland Baltimore County, 2004; MSHS, PA-C, George Washington University, 2011</w:t>
      </w:r>
    </w:p>
    <w:p>
      <w:pPr>
        <w:pStyle w:val="BodyText"/>
        <w:spacing w:line="249" w:lineRule="auto" w:before="179"/>
        <w:ind w:right="112"/>
      </w:pPr>
      <w:r>
        <w:rPr>
          <w:b/>
          <w:color w:val="0B0B0B"/>
        </w:rPr>
        <w:t>Bissonette, Bonita, </w:t>
      </w:r>
      <w:r>
        <w:rPr>
          <w:color w:val="0B0B0B"/>
        </w:rPr>
        <w:t>(A), Assistant Professor, Graduate School. BA, University of St. Thomas, 1985. MA, George Washington University, 1988; EdD, University of Minnesota, 2017.</w:t>
      </w:r>
    </w:p>
    <w:p>
      <w:pPr>
        <w:pStyle w:val="BodyText"/>
        <w:spacing w:line="249" w:lineRule="auto" w:before="186"/>
        <w:ind w:right="107"/>
      </w:pPr>
      <w:r>
        <w:rPr>
          <w:b/>
          <w:color w:val="0B0B0B"/>
        </w:rPr>
        <w:t>Bizzell, Kimberlee</w:t>
      </w:r>
      <w:r>
        <w:rPr>
          <w:color w:val="0B0B0B"/>
        </w:rPr>
        <w:t>, (A), Assistant Professor, Internal Medicine, School of Medicine. BS, Howard University, 1998; MS, Georgia State University, 2001; MD, The Ohio State University, 2006.</w:t>
      </w:r>
    </w:p>
    <w:p>
      <w:pPr>
        <w:pStyle w:val="BodyText"/>
        <w:spacing w:line="249" w:lineRule="auto" w:before="180"/>
        <w:ind w:right="340" w:hanging="1"/>
      </w:pPr>
      <w:r>
        <w:rPr>
          <w:b/>
          <w:color w:val="0B0B0B"/>
        </w:rPr>
        <w:t>Black, Lindsay</w:t>
      </w:r>
      <w:r>
        <w:rPr>
          <w:color w:val="0B0B0B"/>
        </w:rPr>
        <w:t>, (R), Professor, Biochemistry and Molecular Biology, School of Medicine. PhD, Stanford University, 1967; BS, University of Chicago, 1962.</w:t>
      </w:r>
    </w:p>
    <w:p>
      <w:pPr>
        <w:pStyle w:val="BodyText"/>
        <w:spacing w:line="249" w:lineRule="auto"/>
        <w:ind w:right="157"/>
      </w:pPr>
      <w:r>
        <w:rPr>
          <w:b/>
          <w:color w:val="0B0B0B"/>
        </w:rPr>
        <w:t>Black, Maureen</w:t>
      </w:r>
      <w:r>
        <w:rPr>
          <w:color w:val="0B0B0B"/>
        </w:rPr>
        <w:t>, (R), Professor, Pediatrics, School of Medicine. PhD, Emory University, 1978; MA, University of Southern California, 1973; BA, Pennsylvania State</w:t>
      </w:r>
    </w:p>
    <w:p>
      <w:pPr>
        <w:pStyle w:val="BodyText"/>
        <w:spacing w:before="96"/>
        <w:ind w:left="199"/>
      </w:pPr>
      <w:r>
        <w:rPr/>
        <w:br w:type="column"/>
      </w:r>
      <w:r>
        <w:rPr>
          <w:color w:val="0B0B0B"/>
        </w:rPr>
        <w:t>University, 1967.</w:t>
      </w:r>
    </w:p>
    <w:p>
      <w:pPr>
        <w:pStyle w:val="BodyText"/>
        <w:spacing w:line="249" w:lineRule="auto" w:before="187"/>
        <w:ind w:left="199" w:right="755"/>
      </w:pPr>
      <w:r>
        <w:rPr>
          <w:b/>
          <w:color w:val="0B0B0B"/>
        </w:rPr>
        <w:t>Blanchard, Thomas</w:t>
      </w:r>
      <w:r>
        <w:rPr>
          <w:color w:val="0B0B0B"/>
        </w:rPr>
        <w:t>, (R), Associate Professor, Microbiology and Immunology, School of Medicine. JD, Case Western Reserve University, 2002; PhD, University of Massachusetts, Amherst, 199; BS, University of Massachusetts, Lowell, 1985.</w:t>
      </w:r>
    </w:p>
    <w:p>
      <w:pPr>
        <w:pStyle w:val="BodyText"/>
        <w:spacing w:line="249" w:lineRule="auto" w:before="187"/>
        <w:ind w:left="199" w:right="671"/>
      </w:pPr>
      <w:r>
        <w:rPr>
          <w:b/>
          <w:color w:val="0B0B0B"/>
        </w:rPr>
        <w:t>Blanpied, Thomas A.</w:t>
      </w:r>
      <w:r>
        <w:rPr>
          <w:color w:val="0B0B0B"/>
        </w:rPr>
        <w:t>, (A), Assistant Professor, Physiology, School of Medicine. PhD, University of Pittsburgh, 1995; MS, University of Pittsburgh, 1991; BA, Yale University, 1987.</w:t>
      </w:r>
    </w:p>
    <w:p>
      <w:pPr>
        <w:pStyle w:val="BodyText"/>
        <w:spacing w:line="249" w:lineRule="auto" w:before="180"/>
        <w:ind w:left="199" w:right="905"/>
      </w:pPr>
      <w:r>
        <w:rPr>
          <w:b/>
          <w:color w:val="0B0B0B"/>
        </w:rPr>
        <w:t>Blattner, William</w:t>
      </w:r>
      <w:r>
        <w:rPr>
          <w:color w:val="0B0B0B"/>
        </w:rPr>
        <w:t>, (R), Professor, Medicine, School of Medicine. MD, Washington University, 1970; AB, Washington University, 1966.</w:t>
      </w:r>
    </w:p>
    <w:p>
      <w:pPr>
        <w:pStyle w:val="BodyText"/>
        <w:spacing w:line="249" w:lineRule="auto"/>
        <w:ind w:left="199" w:right="807"/>
      </w:pPr>
      <w:r>
        <w:rPr>
          <w:b/>
          <w:color w:val="0B0B0B"/>
        </w:rPr>
        <w:t>Blaustein, Mordecai</w:t>
      </w:r>
      <w:r>
        <w:rPr>
          <w:color w:val="0B0B0B"/>
        </w:rPr>
        <w:t>, (R), Professor and Chair, Physiology, School of Medicine. MD, Washington University, 1962, BA, Cornell University, 1957.</w:t>
      </w:r>
    </w:p>
    <w:p>
      <w:pPr>
        <w:pStyle w:val="BodyText"/>
        <w:spacing w:line="249" w:lineRule="auto" w:before="179"/>
        <w:ind w:left="199" w:right="999"/>
      </w:pPr>
      <w:r>
        <w:rPr>
          <w:b/>
          <w:color w:val="0B0B0B"/>
        </w:rPr>
        <w:t>Blitzer, Miriam</w:t>
      </w:r>
      <w:r>
        <w:rPr>
          <w:color w:val="0B0B0B"/>
        </w:rPr>
        <w:t>, (R), Professor and Interim Program Director, Human Genetics, School of Medicine. PhD, University of Pittsburgh, 1981; MS, University of Pittsburgh, 1980; BA, University of California, Irvine, 1974.</w:t>
      </w:r>
    </w:p>
    <w:p>
      <w:pPr>
        <w:pStyle w:val="BodyText"/>
        <w:spacing w:line="249" w:lineRule="auto" w:before="186"/>
        <w:ind w:left="199" w:right="722"/>
      </w:pPr>
      <w:r>
        <w:rPr>
          <w:b/>
          <w:color w:val="0B0B0B"/>
        </w:rPr>
        <w:t>Bloch, Robert</w:t>
      </w:r>
      <w:r>
        <w:rPr>
          <w:color w:val="0B0B0B"/>
        </w:rPr>
        <w:t>, (R), Professor, Physiology, School of Medicine. PhD, Harvard University, 1972; AB, Columbia University, 1967.</w:t>
      </w:r>
    </w:p>
    <w:p>
      <w:pPr>
        <w:pStyle w:val="BodyText"/>
        <w:spacing w:line="249" w:lineRule="auto" w:before="180"/>
        <w:ind w:left="199" w:right="788"/>
      </w:pPr>
      <w:r>
        <w:rPr>
          <w:b/>
          <w:color w:val="0B0B0B"/>
        </w:rPr>
        <w:t>Bode, Claire</w:t>
      </w:r>
      <w:r>
        <w:rPr>
          <w:color w:val="0B0B0B"/>
        </w:rPr>
        <w:t>, (A), Assistant Professor, Family and Community Health, School of Nursing. DNP, University of Maryland School of Nursing, 2015; MS, University of Maryland School of Nursing, 2010; BSN, Catholic University of America, 1980.</w:t>
      </w:r>
    </w:p>
    <w:p>
      <w:pPr>
        <w:pStyle w:val="BodyText"/>
        <w:spacing w:line="249" w:lineRule="auto" w:before="186"/>
        <w:ind w:left="199" w:right="849"/>
      </w:pPr>
      <w:r>
        <w:rPr>
          <w:b/>
          <w:color w:val="0B0B0B"/>
        </w:rPr>
        <w:t>Bondy, Mary Jo</w:t>
      </w:r>
      <w:r>
        <w:rPr>
          <w:color w:val="0B0B0B"/>
        </w:rPr>
        <w:t>, (A), Director of Graduate Studies, Graduate School. DHEd, AT Still University, 2011; PA, Duke University Medical School, 1993; MHS, Duke University Medical School, 1993.</w:t>
      </w:r>
    </w:p>
    <w:p>
      <w:pPr>
        <w:pStyle w:val="BodyText"/>
        <w:spacing w:line="249" w:lineRule="auto" w:before="181"/>
        <w:ind w:left="199" w:right="772"/>
      </w:pPr>
      <w:r>
        <w:rPr>
          <w:b/>
          <w:color w:val="0B0B0B"/>
        </w:rPr>
        <w:t>Born, Catherine</w:t>
      </w:r>
      <w:r>
        <w:rPr>
          <w:color w:val="0B0B0B"/>
        </w:rPr>
        <w:t>, (A), Associate Professor, School of Social Work. PhD, University of Maryland, 1982; MSW, University of Maryland, 1973; BA, University of Maryland, 1972.</w:t>
      </w:r>
    </w:p>
    <w:p>
      <w:pPr>
        <w:pStyle w:val="BodyText"/>
        <w:spacing w:line="249" w:lineRule="auto"/>
        <w:ind w:left="199" w:right="622"/>
      </w:pPr>
      <w:r>
        <w:rPr>
          <w:b/>
          <w:color w:val="0B0B0B"/>
        </w:rPr>
        <w:t>Boyman, Liron</w:t>
      </w:r>
      <w:r>
        <w:rPr>
          <w:color w:val="0B0B0B"/>
        </w:rPr>
        <w:t>, (A), Research Associate, Physiology, School of Medicine. PhD, Tel Aviv University, 2010; BSc, Tel Aviv University, 2004.</w:t>
      </w:r>
    </w:p>
    <w:p>
      <w:pPr>
        <w:pStyle w:val="BodyText"/>
        <w:spacing w:line="249" w:lineRule="auto" w:before="180"/>
        <w:ind w:left="199" w:right="761"/>
      </w:pPr>
      <w:r>
        <w:rPr>
          <w:b/>
          <w:color w:val="0B0B0B"/>
        </w:rPr>
        <w:t>Brandt, Nicole</w:t>
      </w:r>
      <w:r>
        <w:rPr>
          <w:color w:val="0B0B0B"/>
        </w:rPr>
        <w:t>, (A), Assistant Professor, Pharmaceutical Health Services Research, School of Pharmacy. PharmD, University of Maryland, 1997; BS, State University of New York, 1993.</w:t>
      </w:r>
    </w:p>
    <w:p>
      <w:pPr>
        <w:spacing w:after="0" w:line="249" w:lineRule="auto"/>
        <w:sectPr>
          <w:pgSz w:w="12240" w:h="15840"/>
          <w:pgMar w:header="746" w:footer="0" w:top="1320" w:bottom="280" w:left="880" w:right="300"/>
          <w:cols w:num="2" w:equalWidth="0">
            <w:col w:w="4999" w:space="487"/>
            <w:col w:w="5574"/>
          </w:cols>
        </w:sectPr>
      </w:pPr>
    </w:p>
    <w:p>
      <w:pPr>
        <w:pStyle w:val="BodyText"/>
        <w:spacing w:line="249" w:lineRule="auto" w:before="100"/>
        <w:ind w:right="86"/>
      </w:pPr>
      <w:r>
        <w:rPr>
          <w:b/>
          <w:color w:val="0B0B0B"/>
        </w:rPr>
        <w:t>Braver, Elisa R.</w:t>
      </w:r>
      <w:r>
        <w:rPr>
          <w:color w:val="0B0B0B"/>
        </w:rPr>
        <w:t>, (A), Associate Professor, Epidemiology and Public Health, School of Medicine. PhD, Johns Hopkins Bloomberg School of Public Health, 1990; MHS, Johns Hopkins Bloomberg School of Public Health, 1977; BA, Johns Hopkins University, 1975.</w:t>
      </w:r>
    </w:p>
    <w:p>
      <w:pPr>
        <w:pStyle w:val="BodyText"/>
        <w:spacing w:line="249" w:lineRule="auto" w:before="181"/>
        <w:ind w:left="199" w:right="26"/>
      </w:pPr>
      <w:r>
        <w:rPr>
          <w:b/>
          <w:color w:val="0B0B0B"/>
        </w:rPr>
        <w:t>Bress, Lisa</w:t>
      </w:r>
      <w:r>
        <w:rPr>
          <w:color w:val="0B0B0B"/>
        </w:rPr>
        <w:t>, (A), Assistant Clinical Professor, Health Promotion and Policy, School of Dentistry. MS, University of Maryland, 1994; BS, University of Maryland, 1993.</w:t>
      </w:r>
    </w:p>
    <w:p>
      <w:pPr>
        <w:pStyle w:val="BodyText"/>
        <w:spacing w:line="249" w:lineRule="auto"/>
        <w:ind w:left="199" w:right="182"/>
      </w:pPr>
      <w:r>
        <w:rPr>
          <w:b/>
          <w:color w:val="0B0B0B"/>
        </w:rPr>
        <w:t>Bright, Charlotte</w:t>
      </w:r>
      <w:r>
        <w:rPr>
          <w:color w:val="0B0B0B"/>
        </w:rPr>
        <w:t>, (R), Associate Professor, School of Social Work. PhD, Washington University, 2008; MSW, University of Iowa, 2000; BM, University of Iowa, 1998.</w:t>
      </w:r>
    </w:p>
    <w:p>
      <w:pPr>
        <w:pStyle w:val="BodyText"/>
        <w:spacing w:line="249" w:lineRule="auto" w:before="179"/>
        <w:ind w:left="199" w:right="38"/>
      </w:pPr>
      <w:r>
        <w:rPr>
          <w:b/>
          <w:color w:val="0B0B0B"/>
        </w:rPr>
        <w:t>Brindle, Timothy J.</w:t>
      </w:r>
      <w:r>
        <w:rPr>
          <w:color w:val="0B0B0B"/>
        </w:rPr>
        <w:t>, (S), Instructor, Physical Therapy and Rehabilitation Science, School of Medicine. PhD, University of Kentucky, 2001; MS, Beaver College, 1989; BS, SUNY, 1987.</w:t>
      </w:r>
    </w:p>
    <w:p>
      <w:pPr>
        <w:pStyle w:val="BodyText"/>
        <w:spacing w:line="249" w:lineRule="auto" w:before="186"/>
        <w:ind w:left="199" w:right="144"/>
      </w:pPr>
      <w:r>
        <w:rPr>
          <w:b/>
          <w:color w:val="0B0B0B"/>
        </w:rPr>
        <w:t>Bromberg, Jonathan</w:t>
      </w:r>
      <w:r>
        <w:rPr>
          <w:color w:val="0B0B0B"/>
        </w:rPr>
        <w:t>, (R), Professor, Surgery, School of Medicine. PhD, Harvard Graduate School of Arts and Sciences, 1983; MD, Harvard Medical School, 1983; AB, Harvard College, 1977.</w:t>
      </w:r>
    </w:p>
    <w:p>
      <w:pPr>
        <w:pStyle w:val="BodyText"/>
        <w:spacing w:line="249" w:lineRule="auto" w:before="180"/>
        <w:ind w:left="199" w:right="93"/>
        <w:jc w:val="both"/>
      </w:pPr>
      <w:r>
        <w:rPr>
          <w:b/>
          <w:color w:val="0B0B0B"/>
        </w:rPr>
        <w:t>Brookes, Neville</w:t>
      </w:r>
      <w:r>
        <w:rPr>
          <w:color w:val="0B0B0B"/>
        </w:rPr>
        <w:t>, (R), Associate Professor, Pharmacology and Experimental Therapeutics, School of Medicine. PhD, Leeds University, 1967; PharmS, Bath University, 1962.</w:t>
      </w:r>
    </w:p>
    <w:p>
      <w:pPr>
        <w:pStyle w:val="BodyText"/>
        <w:spacing w:line="249" w:lineRule="auto"/>
        <w:ind w:left="199" w:right="603"/>
      </w:pPr>
      <w:r>
        <w:rPr>
          <w:b/>
          <w:color w:val="0B0B0B"/>
        </w:rPr>
        <w:t>Brotemarkle, Rebecca</w:t>
      </w:r>
      <w:r>
        <w:rPr>
          <w:color w:val="0B0B0B"/>
        </w:rPr>
        <w:t>, (A), Assistant Professor, Organization Systems and Adult Health, School of Nursing. PhD, Johns Hopkins University, 2013; MSN/MBA, Johns Hopkins University, 2004; BSN, University of Maryland, Baltimore County, 1986.</w:t>
      </w:r>
    </w:p>
    <w:p>
      <w:pPr>
        <w:pStyle w:val="BodyText"/>
        <w:spacing w:line="249" w:lineRule="auto" w:before="181"/>
        <w:ind w:left="199" w:right="316"/>
      </w:pPr>
      <w:r>
        <w:rPr>
          <w:b/>
          <w:color w:val="0B0B0B"/>
        </w:rPr>
        <w:t>Brotman, Rebecca</w:t>
      </w:r>
      <w:r>
        <w:rPr>
          <w:color w:val="0B0B0B"/>
        </w:rPr>
        <w:t>, (A), Associate Professor, Epidemiology and Public Health, </w:t>
      </w:r>
      <w:r>
        <w:rPr>
          <w:color w:val="0B0B0B"/>
          <w:spacing w:val="-3"/>
        </w:rPr>
        <w:t>School </w:t>
      </w:r>
      <w:r>
        <w:rPr>
          <w:color w:val="0B0B0B"/>
        </w:rPr>
        <w:t>of Medicine. PhD, Johns Hopkins University, 2007; </w:t>
      </w:r>
      <w:r>
        <w:rPr>
          <w:color w:val="0B0B0B"/>
          <w:spacing w:val="-3"/>
        </w:rPr>
        <w:t>MPH, </w:t>
      </w:r>
      <w:r>
        <w:rPr>
          <w:color w:val="0B0B0B"/>
        </w:rPr>
        <w:t>Johns Hopkins University, 2001; </w:t>
      </w:r>
      <w:r>
        <w:rPr>
          <w:color w:val="0B0B0B"/>
          <w:spacing w:val="-3"/>
        </w:rPr>
        <w:t>BA, </w:t>
      </w:r>
      <w:r>
        <w:rPr>
          <w:color w:val="0B0B0B"/>
        </w:rPr>
        <w:t>Washington University, 1996.</w:t>
      </w:r>
    </w:p>
    <w:p>
      <w:pPr>
        <w:pStyle w:val="BodyText"/>
        <w:spacing w:line="249" w:lineRule="auto" w:before="186"/>
        <w:ind w:left="199" w:right="216"/>
      </w:pPr>
      <w:r>
        <w:rPr>
          <w:b/>
          <w:color w:val="0B0B0B"/>
        </w:rPr>
        <w:t>Brown, Blanche</w:t>
      </w:r>
      <w:r>
        <w:rPr>
          <w:color w:val="0B0B0B"/>
        </w:rPr>
        <w:t>, (A), Assistant Professor, Family and Community Health, </w:t>
      </w:r>
      <w:r>
        <w:rPr>
          <w:color w:val="0B0B0B"/>
          <w:spacing w:val="-2"/>
        </w:rPr>
        <w:t>School </w:t>
      </w:r>
      <w:r>
        <w:rPr>
          <w:color w:val="0B0B0B"/>
          <w:spacing w:val="-3"/>
        </w:rPr>
        <w:t>of </w:t>
      </w:r>
      <w:r>
        <w:rPr>
          <w:color w:val="0B0B0B"/>
        </w:rPr>
        <w:t>Nursing. </w:t>
      </w:r>
      <w:r>
        <w:rPr>
          <w:color w:val="0B0B0B"/>
          <w:spacing w:val="-3"/>
        </w:rPr>
        <w:t>DNP, </w:t>
      </w:r>
      <w:r>
        <w:rPr>
          <w:color w:val="0B0B0B"/>
        </w:rPr>
        <w:t>University of Maryland </w:t>
      </w:r>
      <w:r>
        <w:rPr>
          <w:color w:val="0B0B0B"/>
          <w:spacing w:val="-2"/>
        </w:rPr>
        <w:t>School </w:t>
      </w:r>
      <w:r>
        <w:rPr>
          <w:color w:val="0B0B0B"/>
          <w:spacing w:val="-3"/>
        </w:rPr>
        <w:t>of </w:t>
      </w:r>
      <w:r>
        <w:rPr>
          <w:color w:val="0B0B0B"/>
        </w:rPr>
        <w:t>Nursing, 2015; MSN, Catholic University of America, 1996; </w:t>
      </w:r>
      <w:r>
        <w:rPr>
          <w:color w:val="0B0B0B"/>
          <w:spacing w:val="-3"/>
        </w:rPr>
        <w:t>BSN, Widener </w:t>
      </w:r>
      <w:r>
        <w:rPr>
          <w:color w:val="0B0B0B"/>
        </w:rPr>
        <w:t>University, 1990.</w:t>
      </w:r>
    </w:p>
    <w:p>
      <w:pPr>
        <w:pStyle w:val="BodyText"/>
        <w:spacing w:line="249" w:lineRule="auto" w:before="181"/>
        <w:ind w:left="199" w:right="132"/>
      </w:pPr>
      <w:r>
        <w:rPr>
          <w:b/>
          <w:color w:val="0B0B0B"/>
        </w:rPr>
        <w:t>Brown, Clayton</w:t>
      </w:r>
      <w:r>
        <w:rPr>
          <w:color w:val="0B0B0B"/>
        </w:rPr>
        <w:t>, (R), Associate Professor, Epidemiology and Public Health, School of Medicine. PhD, Johns Hopkins University, 2001; MS, University of California, 1995; BS, University of Oregon, 1981.</w:t>
      </w:r>
    </w:p>
    <w:p>
      <w:pPr>
        <w:pStyle w:val="BodyText"/>
        <w:spacing w:line="249" w:lineRule="auto" w:before="186"/>
        <w:ind w:left="199" w:right="43"/>
      </w:pPr>
      <w:r>
        <w:rPr>
          <w:b/>
          <w:color w:val="0B0B0B"/>
        </w:rPr>
        <w:t>Brown, Jessica</w:t>
      </w:r>
      <w:r>
        <w:rPr>
          <w:color w:val="0B0B0B"/>
        </w:rPr>
        <w:t>, (A), Assistant Professor, Epidemiology and Public Health, School of Medicine. PhD, University of Maryland, Baltimore County, 2006; MA, University of Maryland, Baltimore County, 2004; BA, University of</w:t>
      </w:r>
    </w:p>
    <w:p>
      <w:pPr>
        <w:pStyle w:val="BodyText"/>
        <w:spacing w:before="96"/>
      </w:pPr>
      <w:r>
        <w:rPr/>
        <w:br w:type="column"/>
      </w:r>
      <w:r>
        <w:rPr>
          <w:color w:val="0B0B0B"/>
        </w:rPr>
        <w:t>New Hampshire, 1998.</w:t>
      </w:r>
    </w:p>
    <w:p>
      <w:pPr>
        <w:pStyle w:val="BodyText"/>
        <w:spacing w:line="249" w:lineRule="auto" w:before="187"/>
        <w:ind w:right="765"/>
      </w:pPr>
      <w:r>
        <w:rPr>
          <w:b/>
          <w:color w:val="0B0B0B"/>
        </w:rPr>
        <w:t>Bruno, Vincent</w:t>
      </w:r>
      <w:r>
        <w:rPr>
          <w:color w:val="0B0B0B"/>
        </w:rPr>
        <w:t>, (A), Assistant Professor, Microbiology and Immunology, School of Medicine. PhD, Columbia University, 2004; BS, Carnegie Mellon University, 1996.</w:t>
      </w:r>
    </w:p>
    <w:p>
      <w:pPr>
        <w:pStyle w:val="BodyText"/>
        <w:spacing w:line="249" w:lineRule="auto"/>
        <w:ind w:right="771"/>
      </w:pPr>
      <w:r>
        <w:rPr>
          <w:b/>
          <w:color w:val="0B0B0B"/>
        </w:rPr>
        <w:t>Bucci, Enrico, </w:t>
      </w:r>
      <w:r>
        <w:rPr>
          <w:color w:val="0B0B0B"/>
        </w:rPr>
        <w:t>(R), Professor, Biochemistry and Molecular Biology, School of Medicine. PhD, University of Rome, 1965; MD, University of Rome, 1956; MC, Liceo-Mamiani, 1950.</w:t>
      </w:r>
    </w:p>
    <w:p>
      <w:pPr>
        <w:pStyle w:val="BodyText"/>
        <w:spacing w:line="249" w:lineRule="auto" w:before="180"/>
        <w:ind w:right="737"/>
      </w:pPr>
      <w:r>
        <w:rPr>
          <w:b/>
          <w:color w:val="0B0B0B"/>
        </w:rPr>
        <w:t>Buchanan, Robert</w:t>
      </w:r>
      <w:r>
        <w:rPr>
          <w:color w:val="0B0B0B"/>
        </w:rPr>
        <w:t>, (A), Professor, Psychiatry, School of Medicine. MD, New Jersey Medical School, 1980; BS, Lehigh University, 1976.</w:t>
      </w:r>
    </w:p>
    <w:p>
      <w:pPr>
        <w:pStyle w:val="BodyText"/>
        <w:spacing w:line="249" w:lineRule="auto"/>
        <w:ind w:right="782"/>
      </w:pPr>
      <w:r>
        <w:rPr>
          <w:b/>
          <w:color w:val="0B0B0B"/>
        </w:rPr>
        <w:t>Buckley, Kathleen M.</w:t>
      </w:r>
      <w:r>
        <w:rPr>
          <w:color w:val="0B0B0B"/>
        </w:rPr>
        <w:t>, (R), Associate Professor, Family and Community Health, School of Nursing. PhD, University of Maryland, 1997; MS, University of Maryland, 1976; BS, University of Maryland, 1973.</w:t>
      </w:r>
    </w:p>
    <w:p>
      <w:pPr>
        <w:pStyle w:val="BodyText"/>
        <w:spacing w:line="249" w:lineRule="auto" w:before="180"/>
        <w:ind w:left="199" w:right="805"/>
      </w:pPr>
      <w:r>
        <w:rPr>
          <w:b/>
          <w:color w:val="0B0B0B"/>
        </w:rPr>
        <w:t>Bundy, Elaine</w:t>
      </w:r>
      <w:r>
        <w:rPr>
          <w:color w:val="0B0B0B"/>
        </w:rPr>
        <w:t>, (A), Assistant Professor, Family and Community Health, School of Nursing. DNP, University of Maryland, 2011; MS, University of Maryland, 2009; BSN, University of Maryland, 1979.</w:t>
      </w:r>
    </w:p>
    <w:p>
      <w:pPr>
        <w:pStyle w:val="BodyText"/>
        <w:spacing w:line="249" w:lineRule="auto" w:before="186"/>
        <w:ind w:left="199" w:right="744"/>
      </w:pPr>
      <w:r>
        <w:rPr>
          <w:b/>
          <w:color w:val="0B0B0B"/>
        </w:rPr>
        <w:t>Burda, Charon</w:t>
      </w:r>
      <w:r>
        <w:rPr>
          <w:color w:val="0B0B0B"/>
        </w:rPr>
        <w:t>, (A), Assistant Professor and Director, Family and Community Health, School of Nursing. DNP, University of Maryland, 2016; MSN, University of Maryland School of Nursing, 2003; BSN, Notre Dame College of Maryland, 1992.</w:t>
      </w:r>
    </w:p>
    <w:p>
      <w:pPr>
        <w:pStyle w:val="BodyText"/>
        <w:spacing w:line="249" w:lineRule="auto" w:before="181"/>
        <w:ind w:left="199" w:right="778"/>
      </w:pPr>
      <w:r>
        <w:rPr>
          <w:b/>
          <w:color w:val="0B0B0B"/>
        </w:rPr>
        <w:t>Burger, Angelika M., </w:t>
      </w:r>
      <w:r>
        <w:rPr>
          <w:color w:val="0B0B0B"/>
        </w:rPr>
        <w:t>(R), Associate Professor, Pharmacology and Experimental Therapeutics, School of Medicine. PhD, University of Bradford, 2004; MSc, Johannes Gutenberg University, 1993; PhD, Johannes Gutenberg University, 1992.</w:t>
      </w:r>
    </w:p>
    <w:p>
      <w:pPr>
        <w:pStyle w:val="BodyText"/>
        <w:spacing w:line="249" w:lineRule="auto" w:before="186"/>
        <w:ind w:left="199" w:right="807"/>
      </w:pPr>
      <w:r>
        <w:rPr>
          <w:b/>
          <w:color w:val="0B0B0B"/>
        </w:rPr>
        <w:t>Burry, Caroline</w:t>
      </w:r>
      <w:r>
        <w:rPr>
          <w:color w:val="0B0B0B"/>
        </w:rPr>
        <w:t>, (R), Assistant Professor, School of Social Work. PhD, University of South Carolina, 1995; MSW, University of Georgia, 1980; BA, Furman University, 1978.</w:t>
      </w:r>
    </w:p>
    <w:p>
      <w:pPr>
        <w:pStyle w:val="BodyText"/>
        <w:spacing w:line="249" w:lineRule="auto" w:before="181"/>
        <w:ind w:left="199" w:right="722"/>
      </w:pPr>
      <w:r>
        <w:rPr>
          <w:b/>
          <w:color w:val="0B0B0B"/>
        </w:rPr>
        <w:t>Buxbaum, Jerome</w:t>
      </w:r>
      <w:r>
        <w:rPr>
          <w:color w:val="0B0B0B"/>
        </w:rPr>
        <w:t>, (A), Professor, Oral and Craniofacial Biological Sciences, School of Dentistry. FAGD, University of Maryland, 1976; DDS, University of Maryland, 1955; BS, University of Maryland, 1951.</w:t>
      </w:r>
    </w:p>
    <w:p>
      <w:pPr>
        <w:pStyle w:val="BodyText"/>
        <w:spacing w:line="249" w:lineRule="auto"/>
        <w:ind w:left="199" w:right="678"/>
      </w:pPr>
      <w:r>
        <w:rPr>
          <w:b/>
          <w:color w:val="0B0B0B"/>
        </w:rPr>
        <w:t>Buzza, Marguerite</w:t>
      </w:r>
      <w:r>
        <w:rPr>
          <w:color w:val="0B0B0B"/>
        </w:rPr>
        <w:t>, (A), Research Associate, Center for Vascular and Inflammatory Diseases, School of Medicine. PhD, Monash University, 2004; BSc, Monash University, 1996.</w:t>
      </w:r>
    </w:p>
    <w:p>
      <w:pPr>
        <w:pStyle w:val="BodyText"/>
        <w:spacing w:line="249" w:lineRule="auto" w:before="181"/>
        <w:ind w:left="199" w:right="914"/>
        <w:jc w:val="both"/>
      </w:pPr>
      <w:r>
        <w:rPr>
          <w:b/>
          <w:color w:val="0B0B0B"/>
        </w:rPr>
        <w:t>Cagle, John</w:t>
      </w:r>
      <w:r>
        <w:rPr>
          <w:color w:val="0B0B0B"/>
        </w:rPr>
        <w:t>, (R), Assistant Professor, School of Social Work. PhD, Virginia Commonwealth University, 2008; MSW, Virginia Commonwealth University, 1998; BS,</w:t>
      </w:r>
    </w:p>
    <w:p>
      <w:pPr>
        <w:spacing w:after="0" w:line="249" w:lineRule="auto"/>
        <w:jc w:val="both"/>
        <w:sectPr>
          <w:pgSz w:w="12240" w:h="15840"/>
          <w:pgMar w:header="746" w:footer="0" w:top="1320" w:bottom="280" w:left="880" w:right="300"/>
          <w:cols w:num="2" w:equalWidth="0">
            <w:col w:w="4990" w:space="496"/>
            <w:col w:w="5574"/>
          </w:cols>
        </w:sectPr>
      </w:pPr>
    </w:p>
    <w:p>
      <w:pPr>
        <w:pStyle w:val="BodyText"/>
        <w:spacing w:before="100"/>
      </w:pPr>
      <w:r>
        <w:rPr>
          <w:color w:val="0B0B0B"/>
        </w:rPr>
        <w:t>Mary Washington College, 1995.</w:t>
      </w:r>
    </w:p>
    <w:p>
      <w:pPr>
        <w:pStyle w:val="BodyText"/>
        <w:spacing w:line="249" w:lineRule="auto" w:before="187"/>
        <w:ind w:right="100"/>
      </w:pPr>
      <w:r>
        <w:rPr>
          <w:b/>
          <w:color w:val="0B0B0B"/>
        </w:rPr>
        <w:t>Callahan, Christine</w:t>
      </w:r>
      <w:r>
        <w:rPr>
          <w:color w:val="0B0B0B"/>
        </w:rPr>
        <w:t>, (A), Research Specialist, School of Social Work. PhD, Catholic University of America, 2012; MSW, Virginia Commonwealth University, 1993; BA, Houghton College, 1984.</w:t>
      </w:r>
    </w:p>
    <w:p>
      <w:pPr>
        <w:pStyle w:val="BodyText"/>
        <w:spacing w:line="249" w:lineRule="auto" w:before="186"/>
        <w:ind w:right="233"/>
      </w:pPr>
      <w:r>
        <w:rPr>
          <w:b/>
          <w:color w:val="0B0B0B"/>
        </w:rPr>
        <w:t>Capra, Norman</w:t>
      </w:r>
      <w:r>
        <w:rPr>
          <w:color w:val="0B0B0B"/>
        </w:rPr>
        <w:t>, (R), Associate Professor and Program Director, Oral and Craniofacial Biological Sciences, School of Dentistry. PhD, University of Alabama, 1976; MS, University of Alabama, 1975; BS, Birmingham Southern College, 1969.</w:t>
      </w:r>
    </w:p>
    <w:p>
      <w:pPr>
        <w:pStyle w:val="BodyText"/>
        <w:spacing w:line="249" w:lineRule="auto" w:before="181"/>
        <w:ind w:left="199" w:right="39"/>
      </w:pPr>
      <w:r>
        <w:rPr>
          <w:b/>
          <w:color w:val="0B0B0B"/>
        </w:rPr>
        <w:t>Carbonetti, Nicholas</w:t>
      </w:r>
      <w:r>
        <w:rPr>
          <w:color w:val="0B0B0B"/>
        </w:rPr>
        <w:t>, (R), Associate Professor, Microbiology and Immunology, School of Medicine. PhD, University of Leicester, 1985; BS, University of Birmingham, 1981.</w:t>
      </w:r>
    </w:p>
    <w:p>
      <w:pPr>
        <w:pStyle w:val="BodyText"/>
        <w:spacing w:line="249" w:lineRule="auto"/>
        <w:ind w:left="199" w:right="151"/>
      </w:pPr>
      <w:r>
        <w:rPr>
          <w:b/>
          <w:color w:val="0B0B0B"/>
        </w:rPr>
        <w:t>Carey, Gregory B.</w:t>
      </w:r>
      <w:r>
        <w:rPr>
          <w:color w:val="0B0B0B"/>
        </w:rPr>
        <w:t>, (A), Assistant Professor, Microbiology and Immunology and Center for Vascular and Inflammatory Diseases, School of Medicine. PhD, Virginia Commonwealth University, 1995; BSc, Virginia Commonwealth University, 1990 AA, College of the Bahamas, 1986.</w:t>
      </w:r>
    </w:p>
    <w:p>
      <w:pPr>
        <w:pStyle w:val="BodyText"/>
        <w:spacing w:line="249" w:lineRule="auto" w:before="182"/>
        <w:ind w:right="155"/>
      </w:pPr>
      <w:r>
        <w:rPr>
          <w:b/>
          <w:color w:val="0B0B0B"/>
        </w:rPr>
        <w:t>Caridha, Artur</w:t>
      </w:r>
      <w:r>
        <w:rPr>
          <w:color w:val="0B0B0B"/>
        </w:rPr>
        <w:t>, (A), Assistant Professor, Universities at Shady Grove, School of Nursing. MD, University of Tirana, 1986; PhD, University of Tirana, 1995; BS, University of Maryland, 2007.</w:t>
      </w:r>
    </w:p>
    <w:p>
      <w:pPr>
        <w:pStyle w:val="BodyText"/>
        <w:spacing w:line="249" w:lineRule="auto"/>
        <w:ind w:left="199" w:right="39"/>
      </w:pPr>
      <w:r>
        <w:rPr>
          <w:b/>
          <w:color w:val="0B0B0B"/>
        </w:rPr>
        <w:t>Carneiro da Silva, Joana</w:t>
      </w:r>
      <w:r>
        <w:rPr>
          <w:color w:val="0B0B0B"/>
        </w:rPr>
        <w:t>, (A), Associate Professor, Microbiology and Immunology, School of Medicine. PhD, University of Arizona, 2000; BSc, Faculty of Sciences, Lisbon, Portugal, 1992.</w:t>
      </w:r>
    </w:p>
    <w:p>
      <w:pPr>
        <w:pStyle w:val="BodyText"/>
        <w:spacing w:line="249" w:lineRule="auto" w:before="181"/>
        <w:ind w:left="199" w:right="212"/>
      </w:pPr>
      <w:r>
        <w:rPr>
          <w:b/>
          <w:color w:val="0B0B0B"/>
        </w:rPr>
        <w:t>Carney, James</w:t>
      </w:r>
      <w:r>
        <w:rPr>
          <w:color w:val="0B0B0B"/>
        </w:rPr>
        <w:t>, (S), Assistant Professor, Radiation Oncology, School of Medicine. PhD, Loyola University, 1994; BS, Niagara University, 1989.</w:t>
      </w:r>
    </w:p>
    <w:p>
      <w:pPr>
        <w:pStyle w:val="BodyText"/>
        <w:spacing w:line="249" w:lineRule="auto"/>
        <w:ind w:left="199" w:right="179"/>
      </w:pPr>
      <w:r>
        <w:rPr>
          <w:b/>
          <w:color w:val="0B0B0B"/>
        </w:rPr>
        <w:t>Carpenter Jr., William</w:t>
      </w:r>
      <w:r>
        <w:rPr>
          <w:color w:val="0B0B0B"/>
        </w:rPr>
        <w:t>, (A), Professor, Psychiatry, School of Medicine. MD, Wake Forest University, 1962; BS, Wofford College, 1958.</w:t>
      </w:r>
    </w:p>
    <w:p>
      <w:pPr>
        <w:pStyle w:val="BodyText"/>
        <w:spacing w:line="249" w:lineRule="auto" w:before="179"/>
        <w:ind w:left="199" w:right="207"/>
      </w:pPr>
      <w:r>
        <w:rPr>
          <w:b/>
          <w:color w:val="0B0B0B"/>
        </w:rPr>
        <w:t>Carrier, France</w:t>
      </w:r>
      <w:r>
        <w:rPr>
          <w:color w:val="0B0B0B"/>
        </w:rPr>
        <w:t>, (R), Assistant Professor, Biochemistry and Molecular Biology, School of Medicine. PhD, University of Montreal, 1988; MSc, University of Montreal, 1986; BSc, University of Quebec at Trois- Riviéres, 1983.</w:t>
      </w:r>
    </w:p>
    <w:p>
      <w:pPr>
        <w:pStyle w:val="BodyText"/>
        <w:spacing w:line="249" w:lineRule="auto" w:before="186"/>
        <w:ind w:left="199" w:right="23"/>
      </w:pPr>
      <w:r>
        <w:rPr>
          <w:b/>
          <w:color w:val="0B0B0B"/>
        </w:rPr>
        <w:t>Carroll, Mary</w:t>
      </w:r>
      <w:r>
        <w:rPr>
          <w:color w:val="0B0B0B"/>
        </w:rPr>
        <w:t>, (A), Assistant Professor, Family and Community Health, School of Nursing. PhD, University of Maryland, 2007; MS, University of Maryland, 1996; BSN, Bowie State University.</w:t>
      </w:r>
    </w:p>
    <w:p>
      <w:pPr>
        <w:spacing w:before="181"/>
        <w:ind w:left="199" w:right="0" w:firstLine="0"/>
        <w:jc w:val="left"/>
        <w:rPr>
          <w:sz w:val="20"/>
        </w:rPr>
      </w:pPr>
      <w:r>
        <w:rPr>
          <w:b/>
          <w:color w:val="0B0B0B"/>
          <w:sz w:val="20"/>
        </w:rPr>
        <w:t>Cartee, Deborah</w:t>
      </w:r>
      <w:r>
        <w:rPr>
          <w:color w:val="0B0B0B"/>
          <w:sz w:val="20"/>
        </w:rPr>
        <w:t>, (A), Instructor, Health Promotion and</w:t>
      </w:r>
    </w:p>
    <w:p>
      <w:pPr>
        <w:pStyle w:val="BodyText"/>
        <w:spacing w:line="249" w:lineRule="auto" w:before="96"/>
        <w:ind w:right="765"/>
        <w:jc w:val="both"/>
      </w:pPr>
      <w:r>
        <w:rPr/>
        <w:br w:type="column"/>
      </w:r>
      <w:r>
        <w:rPr>
          <w:color w:val="0B0B0B"/>
        </w:rPr>
        <w:t>Policy, School of Dentistry. MS, University of Maryland, Baltimore, 2008; BS, University of Maryland, Baltimore, 2002.</w:t>
      </w:r>
    </w:p>
    <w:p>
      <w:pPr>
        <w:pStyle w:val="BodyText"/>
        <w:spacing w:line="249" w:lineRule="auto" w:before="180"/>
        <w:ind w:right="755"/>
      </w:pPr>
      <w:r>
        <w:rPr>
          <w:b/>
          <w:color w:val="0B0B0B"/>
        </w:rPr>
        <w:t>Catania, Selen</w:t>
      </w:r>
      <w:r>
        <w:rPr>
          <w:color w:val="0B0B0B"/>
        </w:rPr>
        <w:t>, (A), Research Associate, Center for Vascular and Inflammatory Disease, School of Medicine. PhD, Jozsef Attila University, 1999; BS, Middle East Technical University, 1993.</w:t>
      </w:r>
    </w:p>
    <w:p>
      <w:pPr>
        <w:pStyle w:val="BodyText"/>
        <w:spacing w:line="249" w:lineRule="auto"/>
        <w:ind w:right="941"/>
      </w:pPr>
      <w:r>
        <w:rPr>
          <w:b/>
          <w:color w:val="0B0B0B"/>
        </w:rPr>
        <w:t>Ceraul, Shane</w:t>
      </w:r>
      <w:r>
        <w:rPr>
          <w:color w:val="0B0B0B"/>
        </w:rPr>
        <w:t>, (A), Assistant Professor, Microbiology and Immunology, School of Medicine. PhD, Old Dominion University, 2005; MS, Old Dominion University, 2001; BS, Christopher Newport University, 1997.</w:t>
      </w:r>
    </w:p>
    <w:p>
      <w:pPr>
        <w:pStyle w:val="BodyText"/>
        <w:spacing w:line="249" w:lineRule="auto" w:before="181"/>
        <w:ind w:right="871"/>
      </w:pPr>
      <w:r>
        <w:rPr>
          <w:b/>
          <w:color w:val="0B0B0B"/>
        </w:rPr>
        <w:t>Cestone, Christina, </w:t>
      </w:r>
      <w:r>
        <w:rPr>
          <w:color w:val="0B0B0B"/>
        </w:rPr>
        <w:t>(A), Associate Professor, Graduate School. BA, Hunter College, 1993; MA, George Washington University; PhD, The University of Texas, Austin, 2013.</w:t>
      </w:r>
    </w:p>
    <w:p>
      <w:pPr>
        <w:pStyle w:val="BodyText"/>
        <w:spacing w:line="249" w:lineRule="auto" w:before="186"/>
        <w:ind w:right="710"/>
      </w:pPr>
      <w:r>
        <w:rPr>
          <w:b/>
          <w:color w:val="0B0B0B"/>
        </w:rPr>
        <w:t>Chaffin, Charles</w:t>
      </w:r>
      <w:r>
        <w:rPr>
          <w:color w:val="0B0B0B"/>
        </w:rPr>
        <w:t>, (R), Associate Professor, Physiology, School of Medicine. PhD, University of Wisconsin, 1996; MS, University of Wisconsin, 1992; AB, Ripon College, 1989.</w:t>
      </w:r>
    </w:p>
    <w:p>
      <w:pPr>
        <w:pStyle w:val="BodyText"/>
        <w:spacing w:line="249" w:lineRule="auto" w:before="180"/>
        <w:ind w:right="605"/>
      </w:pPr>
      <w:r>
        <w:rPr>
          <w:b/>
          <w:color w:val="0B0B0B"/>
        </w:rPr>
        <w:t>Chang, Yen-Pei Christy</w:t>
      </w:r>
      <w:r>
        <w:rPr>
          <w:color w:val="0B0B0B"/>
        </w:rPr>
        <w:t>, (R), Human Genetics, School of Medicine. PhD, Johns Hopkins University, 1994; BS, Virginia Polytechnic Institute, 1988.</w:t>
      </w:r>
    </w:p>
    <w:p>
      <w:pPr>
        <w:pStyle w:val="BodyText"/>
        <w:spacing w:line="249" w:lineRule="auto"/>
        <w:ind w:right="676"/>
      </w:pPr>
      <w:r>
        <w:rPr>
          <w:b/>
          <w:color w:val="0B0B0B"/>
        </w:rPr>
        <w:t>Chang, Yung-Feng</w:t>
      </w:r>
      <w:r>
        <w:rPr>
          <w:color w:val="0B0B0B"/>
        </w:rPr>
        <w:t>, (R), Professor, Oral and Craniofacial Biological Sciences, School of Dentistry. PhD, University of Pittsburgh, 1966; MS, National Taiwan University, 1960; BS, National Taiwan University, 1958.</w:t>
      </w:r>
    </w:p>
    <w:p>
      <w:pPr>
        <w:pStyle w:val="BodyText"/>
        <w:spacing w:line="249" w:lineRule="auto" w:before="180"/>
        <w:ind w:right="999"/>
      </w:pPr>
      <w:r>
        <w:rPr>
          <w:b/>
          <w:color w:val="0B0B0B"/>
        </w:rPr>
        <w:t>Chang, Wei Chao</w:t>
      </w:r>
      <w:r>
        <w:rPr>
          <w:color w:val="0B0B0B"/>
        </w:rPr>
        <w:t>, (A), Adjunct Faculty, Graduate School. BS, California State University, Sacramento, 1995; MPAS, University of Nebraska Medical Center, 2001; DHSc, Nova Southeastern</w:t>
      </w:r>
    </w:p>
    <w:p>
      <w:pPr>
        <w:pStyle w:val="BodyText"/>
        <w:spacing w:before="3"/>
      </w:pPr>
      <w:r>
        <w:rPr>
          <w:color w:val="0B0B0B"/>
        </w:rPr>
        <w:t>University, 2007; PhD, 2015.</w:t>
      </w:r>
    </w:p>
    <w:p>
      <w:pPr>
        <w:pStyle w:val="BodyText"/>
        <w:spacing w:line="249" w:lineRule="auto" w:before="193"/>
        <w:ind w:right="754"/>
      </w:pPr>
      <w:r>
        <w:rPr>
          <w:b/>
          <w:color w:val="0B0B0B"/>
        </w:rPr>
        <w:t>Chaoul, Marco (Alejandro), </w:t>
      </w:r>
      <w:r>
        <w:rPr>
          <w:color w:val="0B0B0B"/>
        </w:rPr>
        <w:t>(A), Adjunct Faculty, Graduate School. BS, BA, Boston University, 1987; MA, University of Virginia, 1999; PhD, Rice University 2006.</w:t>
      </w:r>
    </w:p>
    <w:p>
      <w:pPr>
        <w:pStyle w:val="BodyText"/>
        <w:spacing w:line="249" w:lineRule="auto" w:before="179"/>
        <w:ind w:right="648"/>
      </w:pPr>
      <w:r>
        <w:rPr>
          <w:b/>
          <w:color w:val="0B0B0B"/>
        </w:rPr>
        <w:t>Chapoval, Andrei I.</w:t>
      </w:r>
      <w:r>
        <w:rPr>
          <w:color w:val="0B0B0B"/>
        </w:rPr>
        <w:t>, (A), Assisant Professor, Microbiology and Immunology, School of Medicine. PhD, Russian Academy of Medical Science, 1994; MS, Altai State University, 1989.</w:t>
      </w:r>
    </w:p>
    <w:p>
      <w:pPr>
        <w:pStyle w:val="BodyText"/>
        <w:spacing w:line="249" w:lineRule="auto" w:before="186"/>
        <w:ind w:right="654"/>
      </w:pPr>
      <w:r>
        <w:rPr>
          <w:b/>
          <w:color w:val="0B0B0B"/>
        </w:rPr>
        <w:t>Charurat, Manhattan</w:t>
      </w:r>
      <w:r>
        <w:rPr>
          <w:color w:val="0B0B0B"/>
        </w:rPr>
        <w:t>, (R), Associate Professor, Epidemiology and Public Health, </w:t>
      </w:r>
      <w:r>
        <w:rPr>
          <w:color w:val="0B0B0B"/>
          <w:spacing w:val="-3"/>
        </w:rPr>
        <w:t>School </w:t>
      </w:r>
      <w:r>
        <w:rPr>
          <w:color w:val="0B0B0B"/>
        </w:rPr>
        <w:t>of Medicine. PhD, Johns Hopkins University, 2002; </w:t>
      </w:r>
      <w:r>
        <w:rPr>
          <w:color w:val="0B0B0B"/>
          <w:spacing w:val="-3"/>
        </w:rPr>
        <w:t>MS, </w:t>
      </w:r>
      <w:r>
        <w:rPr>
          <w:color w:val="0B0B0B"/>
        </w:rPr>
        <w:t>Johns Hopkins University, 1999; </w:t>
      </w:r>
      <w:r>
        <w:rPr>
          <w:color w:val="0B0B0B"/>
          <w:spacing w:val="-3"/>
        </w:rPr>
        <w:t>BS, </w:t>
      </w:r>
      <w:r>
        <w:rPr>
          <w:color w:val="0B0B0B"/>
        </w:rPr>
        <w:t>University of Washington,</w:t>
      </w:r>
      <w:r>
        <w:rPr>
          <w:color w:val="0B0B0B"/>
          <w:spacing w:val="-1"/>
        </w:rPr>
        <w:t> </w:t>
      </w:r>
      <w:r>
        <w:rPr>
          <w:color w:val="0B0B0B"/>
        </w:rPr>
        <w:t>1996.</w:t>
      </w:r>
    </w:p>
    <w:p>
      <w:pPr>
        <w:spacing w:before="180"/>
        <w:ind w:left="200" w:right="0" w:firstLine="0"/>
        <w:jc w:val="left"/>
        <w:rPr>
          <w:sz w:val="20"/>
        </w:rPr>
      </w:pPr>
      <w:r>
        <w:rPr>
          <w:b/>
          <w:color w:val="0B0B0B"/>
          <w:sz w:val="20"/>
        </w:rPr>
        <w:t>Cheer, Joseph</w:t>
      </w:r>
      <w:r>
        <w:rPr>
          <w:color w:val="0B0B0B"/>
          <w:sz w:val="20"/>
        </w:rPr>
        <w:t>, (R), Associate Professor, Anatomy</w:t>
      </w:r>
      <w:r>
        <w:rPr>
          <w:color w:val="0B0B0B"/>
          <w:spacing w:val="-15"/>
          <w:sz w:val="20"/>
        </w:rPr>
        <w:t> </w:t>
      </w:r>
      <w:r>
        <w:rPr>
          <w:color w:val="0B0B0B"/>
          <w:sz w:val="20"/>
        </w:rPr>
        <w:t>and</w:t>
      </w:r>
    </w:p>
    <w:p>
      <w:pPr>
        <w:spacing w:after="0"/>
        <w:jc w:val="left"/>
        <w:rPr>
          <w:sz w:val="20"/>
        </w:rPr>
        <w:sectPr>
          <w:pgSz w:w="12240" w:h="15840"/>
          <w:pgMar w:header="746" w:footer="0" w:top="1320" w:bottom="280" w:left="880" w:right="300"/>
          <w:cols w:num="2" w:equalWidth="0">
            <w:col w:w="4964" w:space="522"/>
            <w:col w:w="5574"/>
          </w:cols>
        </w:sectPr>
      </w:pPr>
    </w:p>
    <w:p>
      <w:pPr>
        <w:pStyle w:val="BodyText"/>
        <w:spacing w:line="249" w:lineRule="auto" w:before="100"/>
        <w:ind w:right="241"/>
      </w:pPr>
      <w:r>
        <w:rPr>
          <w:color w:val="0B0B0B"/>
        </w:rPr>
        <w:t>Neurobiology, School of Medicine. PhD, University of Nottingham, 2000; BS, Universidad de los Andes, 1996.</w:t>
      </w:r>
    </w:p>
    <w:p>
      <w:pPr>
        <w:pStyle w:val="BodyText"/>
        <w:spacing w:line="249" w:lineRule="auto" w:before="179"/>
        <w:ind w:left="199" w:right="42"/>
      </w:pPr>
      <w:r>
        <w:rPr>
          <w:b/>
          <w:color w:val="0B0B0B"/>
        </w:rPr>
        <w:t>Chellaiah, Meena</w:t>
      </w:r>
      <w:r>
        <w:rPr>
          <w:color w:val="0B0B0B"/>
        </w:rPr>
        <w:t>, (R), Assistant Professor, Biomedical Sciences, School of Dentistry. PhD, Mudurai Kamaraj University, 1985; MS, Mudurai Kamaraj University, 1977; BS, Mudurai Kamaraj University, 1975.</w:t>
      </w:r>
    </w:p>
    <w:p>
      <w:pPr>
        <w:pStyle w:val="BodyText"/>
        <w:spacing w:line="249" w:lineRule="auto"/>
        <w:ind w:right="180"/>
      </w:pPr>
      <w:r>
        <w:rPr>
          <w:b/>
          <w:color w:val="0B0B0B"/>
        </w:rPr>
        <w:t>Chen, Hegang</w:t>
      </w:r>
      <w:r>
        <w:rPr>
          <w:color w:val="0B0B0B"/>
        </w:rPr>
        <w:t>, (A), Professor, Epidemiology and Public Health, School of Medicine. PhD, University of Illinois, 1993; MS, University of Mississippi, 1987.</w:t>
      </w:r>
    </w:p>
    <w:p>
      <w:pPr>
        <w:pStyle w:val="BodyText"/>
        <w:spacing w:line="249" w:lineRule="auto" w:before="180"/>
        <w:ind w:right="450"/>
      </w:pPr>
      <w:r>
        <w:rPr>
          <w:b/>
          <w:color w:val="0B0B0B"/>
        </w:rPr>
        <w:t>Chen, Lynn</w:t>
      </w:r>
      <w:r>
        <w:rPr>
          <w:color w:val="0B0B0B"/>
        </w:rPr>
        <w:t>, (A), Assistant Professor, Organizational Systems and Adult Health, School of Nursing. PhD, University of Texas- Austin, 2010; MA, University of Texas- Austin, 2009; BA, Soochow University, 1997.</w:t>
      </w:r>
    </w:p>
    <w:p>
      <w:pPr>
        <w:pStyle w:val="BodyText"/>
        <w:spacing w:line="249" w:lineRule="auto"/>
        <w:ind w:right="119"/>
      </w:pPr>
      <w:r>
        <w:rPr>
          <w:b/>
          <w:color w:val="0B0B0B"/>
        </w:rPr>
        <w:t>Chen, Stephanie</w:t>
      </w:r>
      <w:r>
        <w:rPr>
          <w:color w:val="0B0B0B"/>
        </w:rPr>
        <w:t>, (A), Assistant Professor, Neurology, School of Medicine. MD, Northwestern University, 2009; MS, University of Pennsylvania, 2016; BS, Northwestern University, 2006.</w:t>
      </w:r>
    </w:p>
    <w:p>
      <w:pPr>
        <w:pStyle w:val="BodyText"/>
        <w:spacing w:line="249" w:lineRule="auto" w:before="181"/>
        <w:ind w:hanging="1"/>
      </w:pPr>
      <w:r>
        <w:rPr>
          <w:b/>
          <w:color w:val="0B0B0B"/>
        </w:rPr>
        <w:t>Cheng, Yu-Ching</w:t>
      </w:r>
      <w:r>
        <w:rPr>
          <w:color w:val="0B0B0B"/>
        </w:rPr>
        <w:t>, (A), Instructor, School of Medicine. PhD, Johns Hopkins University, 2008; MS, National Taiwan University, 2003; BS, National Taiwan University, 2001.</w:t>
      </w:r>
    </w:p>
    <w:p>
      <w:pPr>
        <w:pStyle w:val="BodyText"/>
        <w:spacing w:line="249" w:lineRule="auto"/>
        <w:ind w:right="19"/>
      </w:pPr>
      <w:r>
        <w:rPr>
          <w:b/>
          <w:color w:val="0B0B0B"/>
        </w:rPr>
        <w:t>Christenson, Robert</w:t>
      </w:r>
      <w:r>
        <w:rPr>
          <w:color w:val="0B0B0B"/>
        </w:rPr>
        <w:t>, (R), Professor, Pathology, School of Medicine. PhD, Florida State University, 1980; BA, University of Massachusetts, 1976.</w:t>
      </w:r>
    </w:p>
    <w:p>
      <w:pPr>
        <w:pStyle w:val="BodyText"/>
        <w:spacing w:line="249" w:lineRule="auto" w:before="180"/>
        <w:ind w:right="535"/>
      </w:pPr>
      <w:r>
        <w:rPr>
          <w:b/>
          <w:color w:val="0B0B0B"/>
        </w:rPr>
        <w:t>Chuang, Pei-Ying</w:t>
      </w:r>
      <w:r>
        <w:rPr>
          <w:color w:val="0B0B0B"/>
        </w:rPr>
        <w:t>, (A), Assistant Professor, Organizational Systems and Adult Health, School of Nursing. PhD, University of Pittsburgh, 2008; MSN, University of Minnesota, 1997; BSN, University of Dubuque, 1994.</w:t>
      </w:r>
    </w:p>
    <w:p>
      <w:pPr>
        <w:pStyle w:val="BodyText"/>
        <w:spacing w:line="249" w:lineRule="auto" w:before="186"/>
        <w:ind w:right="180"/>
      </w:pPr>
      <w:r>
        <w:rPr>
          <w:b/>
          <w:color w:val="0B0B0B"/>
        </w:rPr>
        <w:t>Chung, Man-Kyo</w:t>
      </w:r>
      <w:r>
        <w:rPr>
          <w:color w:val="0B0B0B"/>
        </w:rPr>
        <w:t>, (A), Research Assistant Professor, Biomedical Sciences, School of Dentistry. PhD, Kyung Hee University, 1999; MS, Kyung Hee University, 1997; DMD, Kyung Hee University, 1995.</w:t>
      </w:r>
    </w:p>
    <w:p>
      <w:pPr>
        <w:pStyle w:val="BodyText"/>
        <w:spacing w:line="249" w:lineRule="auto" w:before="180"/>
        <w:ind w:right="581"/>
      </w:pPr>
      <w:r>
        <w:rPr>
          <w:b/>
          <w:color w:val="0B0B0B"/>
        </w:rPr>
        <w:t>Civin, Curt</w:t>
      </w:r>
      <w:r>
        <w:rPr>
          <w:color w:val="0B0B0B"/>
        </w:rPr>
        <w:t>, (R), Professor, Pediatrics, School of Medicine. MD, Harvard Medical School, 1974; BA, Amherst College, 1970.</w:t>
      </w:r>
    </w:p>
    <w:p>
      <w:pPr>
        <w:pStyle w:val="BodyText"/>
        <w:spacing w:line="249" w:lineRule="auto"/>
        <w:ind w:right="319"/>
      </w:pPr>
      <w:r>
        <w:rPr>
          <w:b/>
          <w:color w:val="0B0B0B"/>
        </w:rPr>
        <w:t>Clark, Jane</w:t>
      </w:r>
      <w:r>
        <w:rPr>
          <w:color w:val="0B0B0B"/>
        </w:rPr>
        <w:t>, (S), Professor and Chair, Kinesiology, School of Medicine. PhD, University of Wisconsin- Madison, 1976; MEd, University of Washington, 1970; BSPE, State University of New York, 1968.</w:t>
      </w:r>
    </w:p>
    <w:p>
      <w:pPr>
        <w:pStyle w:val="BodyText"/>
        <w:spacing w:line="249" w:lineRule="auto" w:before="181"/>
        <w:ind w:right="141"/>
      </w:pPr>
      <w:r>
        <w:rPr>
          <w:b/>
          <w:color w:val="0B0B0B"/>
        </w:rPr>
        <w:t>Clark, Karen</w:t>
      </w:r>
      <w:r>
        <w:rPr>
          <w:color w:val="0B0B0B"/>
        </w:rPr>
        <w:t>, (A), Assistant Professor, Universities at Shady Grove, School of Nursing. PhD, George Mason University, 2005; MSN, George Mason University, 1995; BSN, George Mason University, 1992.</w:t>
      </w:r>
    </w:p>
    <w:p>
      <w:pPr>
        <w:pStyle w:val="BodyText"/>
        <w:spacing w:line="249" w:lineRule="auto" w:before="96"/>
        <w:ind w:right="758"/>
      </w:pPr>
      <w:r>
        <w:rPr/>
        <w:br w:type="column"/>
      </w:r>
      <w:r>
        <w:rPr>
          <w:b/>
          <w:color w:val="0B0B0B"/>
        </w:rPr>
        <w:t>Cohen, Leonard</w:t>
      </w:r>
      <w:r>
        <w:rPr>
          <w:color w:val="0B0B0B"/>
        </w:rPr>
        <w:t>, (R), Professor, Oral Health Care Delivery, School of Dentistry. MS, Harvard University, 1976; MPH, George Washington University, 1974; DDS, Howard University, 1971.</w:t>
      </w:r>
    </w:p>
    <w:p>
      <w:pPr>
        <w:pStyle w:val="BodyText"/>
        <w:spacing w:line="249" w:lineRule="auto" w:before="180"/>
        <w:ind w:right="647"/>
      </w:pPr>
      <w:r>
        <w:rPr>
          <w:b/>
          <w:color w:val="0B0B0B"/>
        </w:rPr>
        <w:t>Cohen-Callow, Amy</w:t>
      </w:r>
      <w:r>
        <w:rPr>
          <w:color w:val="0B0B0B"/>
        </w:rPr>
        <w:t>, (A), Assistant Professor, School of Social Work. PhD, University of Maryland, Baltimore, 2008; MSSW, Columbia University, 1994; BA, Brandeis University, 1991.Cole, Gerald, (R), Professor, Microbiology and Immunology, School of Medicine. PhD, University of Maryland, 1966; BS, Wilson Teachers College, 1952.</w:t>
      </w:r>
    </w:p>
    <w:p>
      <w:pPr>
        <w:pStyle w:val="BodyText"/>
        <w:spacing w:line="249" w:lineRule="auto" w:before="188"/>
        <w:ind w:right="594"/>
      </w:pPr>
      <w:r>
        <w:rPr>
          <w:b/>
          <w:color w:val="0B0B0B"/>
        </w:rPr>
        <w:t>Collins, John</w:t>
      </w:r>
      <w:r>
        <w:rPr>
          <w:color w:val="0B0B0B"/>
        </w:rPr>
        <w:t>, (R), Professor, Biochemistry and Molecular Biology, School of Medicine. PhD, Boston University, 1970; MEd, University of Cincinnati, 1984; AB, Northeastern University, 1965.</w:t>
      </w:r>
    </w:p>
    <w:p>
      <w:pPr>
        <w:pStyle w:val="BodyText"/>
        <w:spacing w:line="249" w:lineRule="auto" w:before="180"/>
        <w:ind w:right="847"/>
      </w:pPr>
      <w:r>
        <w:rPr>
          <w:b/>
          <w:color w:val="0B0B0B"/>
        </w:rPr>
        <w:t>Collins, Kathryn</w:t>
      </w:r>
      <w:r>
        <w:rPr>
          <w:color w:val="0B0B0B"/>
        </w:rPr>
        <w:t>, (A), Associate Professor, School of Social Work. PhD, University of South Carolina, 1999; MSW, Tulane University, 1993; BA, Mars Hill College, 1993.</w:t>
      </w:r>
    </w:p>
    <w:p>
      <w:pPr>
        <w:pStyle w:val="BodyText"/>
        <w:spacing w:line="249" w:lineRule="auto" w:before="186"/>
        <w:ind w:right="629"/>
      </w:pPr>
      <w:r>
        <w:rPr>
          <w:b/>
          <w:color w:val="0B0B0B"/>
        </w:rPr>
        <w:t>Colloca, Luana</w:t>
      </w:r>
      <w:r>
        <w:rPr>
          <w:color w:val="0B0B0B"/>
        </w:rPr>
        <w:t>, (R), Associate Professor, Organizational Systems and Adult Health, </w:t>
      </w:r>
      <w:r>
        <w:rPr>
          <w:color w:val="0B0B0B"/>
          <w:spacing w:val="-2"/>
        </w:rPr>
        <w:t>School </w:t>
      </w:r>
      <w:r>
        <w:rPr>
          <w:color w:val="0B0B0B"/>
          <w:spacing w:val="-3"/>
        </w:rPr>
        <w:t>of </w:t>
      </w:r>
      <w:r>
        <w:rPr>
          <w:color w:val="0B0B0B"/>
        </w:rPr>
        <w:t>Nursing. </w:t>
      </w:r>
      <w:r>
        <w:rPr>
          <w:color w:val="0B0B0B"/>
          <w:spacing w:val="-2"/>
        </w:rPr>
        <w:t>MA, </w:t>
      </w:r>
      <w:r>
        <w:rPr>
          <w:color w:val="0B0B0B"/>
        </w:rPr>
        <w:t>University of Turin Medical School, 2008; PhD, University of Turin Medical School, 2007; MD, University of Catanzaro,</w:t>
      </w:r>
      <w:r>
        <w:rPr>
          <w:color w:val="0B0B0B"/>
          <w:spacing w:val="2"/>
        </w:rPr>
        <w:t> </w:t>
      </w:r>
      <w:r>
        <w:rPr>
          <w:color w:val="0B0B0B"/>
        </w:rPr>
        <w:t>2002.</w:t>
      </w:r>
    </w:p>
    <w:p>
      <w:pPr>
        <w:pStyle w:val="BodyText"/>
        <w:spacing w:line="249" w:lineRule="auto" w:before="181"/>
        <w:ind w:right="1034"/>
      </w:pPr>
      <w:r>
        <w:rPr>
          <w:b/>
          <w:color w:val="0B0B0B"/>
        </w:rPr>
        <w:t>Connolly, Martha</w:t>
      </w:r>
      <w:r>
        <w:rPr>
          <w:color w:val="0B0B0B"/>
        </w:rPr>
        <w:t>, (S), </w:t>
      </w:r>
      <w:r>
        <w:rPr>
          <w:color w:val="0B0B0B"/>
          <w:spacing w:val="-3"/>
        </w:rPr>
        <w:t>Mtech </w:t>
      </w:r>
      <w:r>
        <w:rPr>
          <w:color w:val="0B0B0B"/>
        </w:rPr>
        <w:t>Director, </w:t>
      </w:r>
      <w:r>
        <w:rPr>
          <w:color w:val="0B0B0B"/>
          <w:spacing w:val="-2"/>
        </w:rPr>
        <w:t>School </w:t>
      </w:r>
      <w:r>
        <w:rPr>
          <w:color w:val="0B0B0B"/>
          <w:spacing w:val="-5"/>
        </w:rPr>
        <w:t>of </w:t>
      </w:r>
      <w:r>
        <w:rPr>
          <w:color w:val="0B0B0B"/>
        </w:rPr>
        <w:t>Medicine. PhD, Johns Hopkins University, 1979, </w:t>
      </w:r>
      <w:r>
        <w:rPr>
          <w:color w:val="0B0B0B"/>
          <w:spacing w:val="-3"/>
        </w:rPr>
        <w:t>MS, </w:t>
      </w:r>
      <w:r>
        <w:rPr>
          <w:color w:val="0B0B0B"/>
        </w:rPr>
        <w:t>Stevens Institute </w:t>
      </w:r>
      <w:r>
        <w:rPr>
          <w:color w:val="0B0B0B"/>
          <w:spacing w:val="-3"/>
        </w:rPr>
        <w:t>of </w:t>
      </w:r>
      <w:r>
        <w:rPr>
          <w:color w:val="0B0B0B"/>
        </w:rPr>
        <w:t>Technology, 1975, </w:t>
      </w:r>
      <w:r>
        <w:rPr>
          <w:color w:val="0B0B0B"/>
          <w:spacing w:val="-3"/>
        </w:rPr>
        <w:t>BS, </w:t>
      </w:r>
      <w:r>
        <w:rPr>
          <w:color w:val="0B0B0B"/>
        </w:rPr>
        <w:t>Stevens Institute </w:t>
      </w:r>
      <w:r>
        <w:rPr>
          <w:color w:val="0B0B0B"/>
          <w:spacing w:val="-3"/>
        </w:rPr>
        <w:t>of </w:t>
      </w:r>
      <w:r>
        <w:rPr>
          <w:color w:val="0B0B0B"/>
        </w:rPr>
        <w:t>Technology,</w:t>
      </w:r>
      <w:r>
        <w:rPr>
          <w:color w:val="0B0B0B"/>
          <w:spacing w:val="4"/>
        </w:rPr>
        <w:t> </w:t>
      </w:r>
      <w:r>
        <w:rPr>
          <w:color w:val="0B0B0B"/>
        </w:rPr>
        <w:t>1975.</w:t>
      </w:r>
    </w:p>
    <w:p>
      <w:pPr>
        <w:pStyle w:val="BodyText"/>
        <w:spacing w:line="249" w:lineRule="auto"/>
        <w:ind w:right="628"/>
      </w:pPr>
      <w:r>
        <w:rPr>
          <w:b/>
          <w:color w:val="0B0B0B"/>
        </w:rPr>
        <w:t>Constantine, Niel</w:t>
      </w:r>
      <w:r>
        <w:rPr>
          <w:color w:val="0B0B0B"/>
        </w:rPr>
        <w:t>, (R), Professor, </w:t>
      </w:r>
      <w:r>
        <w:rPr>
          <w:color w:val="0B0B0B"/>
          <w:spacing w:val="-3"/>
        </w:rPr>
        <w:t>Pathology, </w:t>
      </w:r>
      <w:r>
        <w:rPr>
          <w:color w:val="0B0B0B"/>
          <w:spacing w:val="-2"/>
        </w:rPr>
        <w:t>School </w:t>
      </w:r>
      <w:r>
        <w:rPr>
          <w:color w:val="0B0B0B"/>
        </w:rPr>
        <w:t>of Medicine. PhD, University of Maryland, 1981; </w:t>
      </w:r>
      <w:r>
        <w:rPr>
          <w:color w:val="0B0B0B"/>
          <w:spacing w:val="-3"/>
        </w:rPr>
        <w:t>BS, </w:t>
      </w:r>
      <w:r>
        <w:rPr>
          <w:color w:val="0B0B0B"/>
        </w:rPr>
        <w:t>University of Maryland,</w:t>
      </w:r>
      <w:r>
        <w:rPr>
          <w:color w:val="0B0B0B"/>
          <w:spacing w:val="-9"/>
        </w:rPr>
        <w:t> </w:t>
      </w:r>
      <w:r>
        <w:rPr>
          <w:color w:val="0B0B0B"/>
        </w:rPr>
        <w:t>1974.</w:t>
      </w:r>
    </w:p>
    <w:p>
      <w:pPr>
        <w:pStyle w:val="BodyText"/>
        <w:spacing w:line="249" w:lineRule="auto" w:before="180"/>
        <w:ind w:right="682" w:hanging="1"/>
      </w:pPr>
      <w:r>
        <w:rPr>
          <w:b/>
          <w:color w:val="0B0B0B"/>
        </w:rPr>
        <w:t>Contreras-Vidal</w:t>
      </w:r>
      <w:r>
        <w:rPr>
          <w:color w:val="0B0B0B"/>
        </w:rPr>
        <w:t>, Jose L., (S), Assistant Professor, Physical Therapy and Rehabilitation Science, School of Medicine. PhD, Boston University, 1994; MSEE, University of Boulder, 1990; Engineer’s Degree, Monterrey Institute of Technology, 1987.</w:t>
      </w:r>
    </w:p>
    <w:p>
      <w:pPr>
        <w:pStyle w:val="BodyText"/>
        <w:spacing w:line="249" w:lineRule="auto" w:before="186"/>
        <w:ind w:right="725"/>
      </w:pPr>
      <w:r>
        <w:rPr>
          <w:b/>
          <w:color w:val="0B0B0B"/>
        </w:rPr>
        <w:t>Cook, Linda</w:t>
      </w:r>
      <w:r>
        <w:rPr>
          <w:color w:val="0B0B0B"/>
        </w:rPr>
        <w:t>, (A), Assistant Professor, Organizational Systems and Adult Health, School of Nursing. PhD, University of Maryland, Baltimore, 2005; MS, University of Maryland, Baltimore, 1997; BSN, Alfred University, 1978.</w:t>
      </w:r>
    </w:p>
    <w:p>
      <w:pPr>
        <w:pStyle w:val="BodyText"/>
        <w:spacing w:line="249" w:lineRule="auto" w:before="181"/>
        <w:ind w:right="682"/>
      </w:pPr>
      <w:r>
        <w:rPr>
          <w:b/>
          <w:color w:val="0B0B0B"/>
        </w:rPr>
        <w:t>Coop, Andrew</w:t>
      </w:r>
      <w:r>
        <w:rPr>
          <w:color w:val="0B0B0B"/>
        </w:rPr>
        <w:t>, (R), Professor, Pharmaceutical Sciences, School of Pharmacy. PhD, University of Bristol, 1994; BA, MA, University of Oxford, 1991.</w:t>
      </w:r>
    </w:p>
    <w:p>
      <w:pPr>
        <w:spacing w:before="185"/>
        <w:ind w:left="200" w:right="0" w:firstLine="0"/>
        <w:jc w:val="left"/>
        <w:rPr>
          <w:sz w:val="20"/>
        </w:rPr>
      </w:pPr>
      <w:r>
        <w:rPr>
          <w:b/>
          <w:color w:val="0B0B0B"/>
          <w:sz w:val="20"/>
        </w:rPr>
        <w:t>Costa, Linda L.</w:t>
      </w:r>
      <w:r>
        <w:rPr>
          <w:color w:val="0B0B0B"/>
          <w:sz w:val="20"/>
        </w:rPr>
        <w:t>, (A), Assistant Professor, School of</w:t>
      </w:r>
    </w:p>
    <w:p>
      <w:pPr>
        <w:spacing w:after="0"/>
        <w:jc w:val="left"/>
        <w:rPr>
          <w:sz w:val="20"/>
        </w:rPr>
        <w:sectPr>
          <w:pgSz w:w="12240" w:h="15840"/>
          <w:pgMar w:header="746" w:footer="0" w:top="1320" w:bottom="280" w:left="880" w:right="300"/>
          <w:cols w:num="2" w:equalWidth="0">
            <w:col w:w="4978" w:space="509"/>
            <w:col w:w="5573"/>
          </w:cols>
        </w:sectPr>
      </w:pPr>
    </w:p>
    <w:p>
      <w:pPr>
        <w:pStyle w:val="BodyText"/>
        <w:spacing w:line="249" w:lineRule="auto" w:before="100"/>
        <w:ind w:right="179"/>
      </w:pPr>
      <w:r>
        <w:rPr>
          <w:color w:val="0B0B0B"/>
        </w:rPr>
        <w:t>Nursing. PhD, Catholic University, 1999; MSN, Catholic University, 1982; BSN, University of Maryland, 1976.</w:t>
      </w:r>
    </w:p>
    <w:p>
      <w:pPr>
        <w:pStyle w:val="BodyText"/>
        <w:spacing w:line="249" w:lineRule="auto" w:before="179"/>
        <w:ind w:right="118"/>
      </w:pPr>
      <w:r>
        <w:rPr>
          <w:b/>
          <w:color w:val="0B0B0B"/>
        </w:rPr>
        <w:t>Costello, Leslie</w:t>
      </w:r>
      <w:r>
        <w:rPr>
          <w:color w:val="0B0B0B"/>
        </w:rPr>
        <w:t>, (R), Professor, Oral and Craniofacial Biological Sciences, School of Dentistry. PhD, University of Maryland, 1957; MS, University of Maryland, 1954; BS, University of Maryland, 1952.</w:t>
      </w:r>
    </w:p>
    <w:p>
      <w:pPr>
        <w:pStyle w:val="BodyText"/>
        <w:spacing w:line="249" w:lineRule="auto"/>
        <w:ind w:right="190"/>
      </w:pPr>
      <w:r>
        <w:rPr>
          <w:b/>
          <w:color w:val="0B0B0B"/>
        </w:rPr>
        <w:t>Couwenhoven, Ross</w:t>
      </w:r>
      <w:r>
        <w:rPr>
          <w:color w:val="0B0B0B"/>
        </w:rPr>
        <w:t>, (A), Assistant Professor, Oral and Experimental Pathology, School of Dentistry. PhD, University of Chicago-Illinois, 1991; DDS, University of Illinois, 1981; BA, Calvin College, 1976.</w:t>
      </w:r>
    </w:p>
    <w:p>
      <w:pPr>
        <w:pStyle w:val="BodyText"/>
        <w:spacing w:line="249" w:lineRule="auto" w:before="181"/>
        <w:ind w:right="80"/>
      </w:pPr>
      <w:r>
        <w:rPr>
          <w:b/>
          <w:color w:val="0B0B0B"/>
        </w:rPr>
        <w:t>Creath, Robert</w:t>
      </w:r>
      <w:r>
        <w:rPr>
          <w:color w:val="0B0B0B"/>
        </w:rPr>
        <w:t>, (A), Assistant Professor, Physical Therapy and Rehabilitation Science, School of Medicine. PhD, University of Maryland, 2008; MA, Johns Hopkins University, 1999; BS, Cornell University, 1993.</w:t>
      </w:r>
    </w:p>
    <w:p>
      <w:pPr>
        <w:pStyle w:val="BodyText"/>
        <w:spacing w:line="249" w:lineRule="auto"/>
      </w:pPr>
      <w:r>
        <w:rPr>
          <w:b/>
          <w:color w:val="0B0B0B"/>
        </w:rPr>
        <w:t>Creed, Meaghan</w:t>
      </w:r>
      <w:r>
        <w:rPr>
          <w:color w:val="0B0B0B"/>
        </w:rPr>
        <w:t>, (A), Assistant Professor, Pharmacology, School of Medicine. PhD, University of Toronto, 2012.</w:t>
      </w:r>
    </w:p>
    <w:p>
      <w:pPr>
        <w:pStyle w:val="BodyText"/>
        <w:spacing w:line="249" w:lineRule="auto" w:before="179"/>
        <w:ind w:right="379"/>
      </w:pPr>
      <w:r>
        <w:rPr>
          <w:b/>
          <w:color w:val="0B0B0B"/>
        </w:rPr>
        <w:t>Cross, Alan, </w:t>
      </w:r>
      <w:r>
        <w:rPr>
          <w:color w:val="0B0B0B"/>
        </w:rPr>
        <w:t>(R), Professor, Medicine, School of Medicine. MD, University of Pennsylvania, 1970; BA, Harvard University, 1966.</w:t>
      </w:r>
    </w:p>
    <w:p>
      <w:pPr>
        <w:pStyle w:val="BodyText"/>
        <w:spacing w:line="249" w:lineRule="auto"/>
        <w:ind w:right="257"/>
      </w:pPr>
      <w:r>
        <w:rPr>
          <w:b/>
          <w:color w:val="0B0B0B"/>
        </w:rPr>
        <w:t>Crossley, Harold</w:t>
      </w:r>
      <w:r>
        <w:rPr>
          <w:color w:val="0B0B0B"/>
        </w:rPr>
        <w:t>, (A), Associate Professor, Oral and Craniofacial Biological Sciences, School of Dentistry. DDS, University of Maryland, 1980; PhD, University of Rhode Island, 1972; MS, University of Rhode Island, 1969.</w:t>
      </w:r>
    </w:p>
    <w:p>
      <w:pPr>
        <w:pStyle w:val="BodyText"/>
        <w:spacing w:line="249" w:lineRule="auto" w:before="181"/>
        <w:ind w:right="80"/>
      </w:pPr>
      <w:r>
        <w:rPr>
          <w:b/>
          <w:color w:val="0B0B0B"/>
        </w:rPr>
        <w:t>Dababnah, Sarah</w:t>
      </w:r>
      <w:r>
        <w:rPr>
          <w:color w:val="0B0B0B"/>
        </w:rPr>
        <w:t>, (A), Assistant Professor, School of Social Work. PhD, University of North Carolina at Chapel Hill, 2014; MSW, University of North Carolina at Chapel Hill, 2010; MPH, Johns Hopkins University, 2005.</w:t>
      </w:r>
    </w:p>
    <w:p>
      <w:pPr>
        <w:pStyle w:val="BodyText"/>
        <w:spacing w:line="249" w:lineRule="auto"/>
        <w:ind w:right="121"/>
        <w:jc w:val="both"/>
      </w:pPr>
      <w:r>
        <w:rPr>
          <w:b/>
          <w:color w:val="0B0B0B"/>
        </w:rPr>
        <w:t>Dalby, Richard</w:t>
      </w:r>
      <w:r>
        <w:rPr>
          <w:color w:val="0B0B0B"/>
        </w:rPr>
        <w:t>, (R), Professor, Pharmaceutical Sciences, School of Pharmacy. PhD, University of Kentucky, 1988; BPharm, University of Nottingham, 1983.</w:t>
      </w:r>
    </w:p>
    <w:p>
      <w:pPr>
        <w:pStyle w:val="BodyText"/>
        <w:spacing w:line="249" w:lineRule="auto" w:before="180"/>
        <w:ind w:right="114"/>
      </w:pPr>
      <w:r>
        <w:rPr>
          <w:b/>
          <w:color w:val="0B0B0B"/>
        </w:rPr>
        <w:t>Damcott, Coleen</w:t>
      </w:r>
      <w:r>
        <w:rPr>
          <w:color w:val="0B0B0B"/>
        </w:rPr>
        <w:t>, (A), Associate Professor, Human Genetics, School of Medicine. PhD, University of Pittsburgh, 2002; BS, Cornell University, 1997; AAS, State University of New York College of Technology, 1995.</w:t>
      </w:r>
    </w:p>
    <w:p>
      <w:pPr>
        <w:pStyle w:val="BodyText"/>
        <w:spacing w:line="249" w:lineRule="auto" w:before="186"/>
        <w:ind w:right="301"/>
      </w:pPr>
      <w:r>
        <w:rPr>
          <w:b/>
          <w:color w:val="0B0B0B"/>
        </w:rPr>
        <w:t>Darlington, Daniel</w:t>
      </w:r>
      <w:r>
        <w:rPr>
          <w:color w:val="0B0B0B"/>
        </w:rPr>
        <w:t>, (A), Assistant Professor, Surgery, School of Medicine. PhD, University of Virginia, 1983; BS, Pennsylvania State University, 1978.</w:t>
      </w:r>
    </w:p>
    <w:p>
      <w:pPr>
        <w:pStyle w:val="BodyText"/>
        <w:spacing w:line="249" w:lineRule="auto" w:before="180"/>
        <w:ind w:right="38"/>
        <w:jc w:val="both"/>
      </w:pPr>
      <w:r>
        <w:rPr>
          <w:b/>
          <w:color w:val="0B0B0B"/>
        </w:rPr>
        <w:t>DasSarma, Shiladitya</w:t>
      </w:r>
      <w:r>
        <w:rPr>
          <w:color w:val="0B0B0B"/>
        </w:rPr>
        <w:t>, (R), Professor, Molecular and Cell Biology, </w:t>
      </w:r>
      <w:r>
        <w:rPr>
          <w:color w:val="0B0B0B"/>
          <w:spacing w:val="-2"/>
        </w:rPr>
        <w:t>School </w:t>
      </w:r>
      <w:r>
        <w:rPr>
          <w:color w:val="0B0B0B"/>
        </w:rPr>
        <w:t>of Medicine. PhD, Massachusetts Institute of Technology, 1984; </w:t>
      </w:r>
      <w:r>
        <w:rPr>
          <w:color w:val="0B0B0B"/>
          <w:spacing w:val="-3"/>
        </w:rPr>
        <w:t>BS, </w:t>
      </w:r>
      <w:r>
        <w:rPr>
          <w:color w:val="0B0B0B"/>
        </w:rPr>
        <w:t>Indiana University,</w:t>
      </w:r>
      <w:r>
        <w:rPr>
          <w:color w:val="0B0B0B"/>
          <w:spacing w:val="8"/>
        </w:rPr>
        <w:t> </w:t>
      </w:r>
      <w:r>
        <w:rPr>
          <w:color w:val="0B0B0B"/>
        </w:rPr>
        <w:t>1979.</w:t>
      </w:r>
    </w:p>
    <w:p>
      <w:pPr>
        <w:pStyle w:val="BodyText"/>
        <w:spacing w:line="249" w:lineRule="auto"/>
      </w:pPr>
      <w:r>
        <w:rPr>
          <w:b/>
          <w:color w:val="0B0B0B"/>
        </w:rPr>
        <w:t>Davenport, Joan M.</w:t>
      </w:r>
      <w:r>
        <w:rPr>
          <w:color w:val="0B0B0B"/>
        </w:rPr>
        <w:t>, (A), Assistant Professor, Organizational </w:t>
      </w:r>
      <w:r>
        <w:rPr>
          <w:color w:val="0B0B0B"/>
          <w:spacing w:val="-3"/>
        </w:rPr>
        <w:t>Systems </w:t>
      </w:r>
      <w:r>
        <w:rPr>
          <w:color w:val="0B0B0B"/>
        </w:rPr>
        <w:t>and Adult Health, </w:t>
      </w:r>
      <w:r>
        <w:rPr>
          <w:color w:val="0B0B0B"/>
          <w:spacing w:val="-2"/>
        </w:rPr>
        <w:t>School</w:t>
      </w:r>
      <w:r>
        <w:rPr>
          <w:color w:val="0B0B0B"/>
          <w:spacing w:val="18"/>
        </w:rPr>
        <w:t> </w:t>
      </w:r>
      <w:r>
        <w:rPr>
          <w:color w:val="0B0B0B"/>
          <w:spacing w:val="-3"/>
        </w:rPr>
        <w:t>of</w:t>
      </w:r>
    </w:p>
    <w:p>
      <w:pPr>
        <w:pStyle w:val="BodyText"/>
        <w:spacing w:line="249" w:lineRule="auto" w:before="96"/>
        <w:ind w:right="822"/>
        <w:jc w:val="both"/>
      </w:pPr>
      <w:r>
        <w:rPr/>
        <w:br w:type="column"/>
      </w:r>
      <w:r>
        <w:rPr>
          <w:color w:val="0B0B0B"/>
        </w:rPr>
        <w:t>Nursing. PhD, University of Maryland, Baltimore, 2000; MSN, University of Alabama, 1982; BS, Salisbury State University, 1979.</w:t>
      </w:r>
    </w:p>
    <w:p>
      <w:pPr>
        <w:pStyle w:val="BodyText"/>
        <w:spacing w:line="249" w:lineRule="auto" w:before="180"/>
        <w:ind w:right="647"/>
      </w:pPr>
      <w:r>
        <w:rPr>
          <w:b/>
          <w:color w:val="0B0B0B"/>
        </w:rPr>
        <w:t>Davidson, Wendy F.</w:t>
      </w:r>
      <w:r>
        <w:rPr>
          <w:color w:val="0B0B0B"/>
        </w:rPr>
        <w:t>, (A), Associate Professor, Microbiology and Immunology, School of Medicine. PhD, Australian National University, 1976; BS, University of NSW, 1973.</w:t>
      </w:r>
    </w:p>
    <w:p>
      <w:pPr>
        <w:pStyle w:val="BodyText"/>
        <w:spacing w:line="249" w:lineRule="auto"/>
        <w:ind w:right="747"/>
        <w:jc w:val="both"/>
      </w:pPr>
      <w:r>
        <w:rPr>
          <w:b/>
          <w:color w:val="0B0B0B"/>
        </w:rPr>
        <w:t>Davidson, William</w:t>
      </w:r>
      <w:r>
        <w:rPr>
          <w:color w:val="0B0B0B"/>
        </w:rPr>
        <w:t>, (R), Professor, Orthodontics, School of Dentistry. PhD, University of Minnesota, 1969; DMS, Harvard University, 1965; AB, Dartmouth College, 1960.</w:t>
      </w:r>
    </w:p>
    <w:p>
      <w:pPr>
        <w:pStyle w:val="BodyText"/>
        <w:spacing w:line="249" w:lineRule="auto" w:before="180"/>
        <w:ind w:right="903"/>
      </w:pPr>
      <w:r>
        <w:rPr>
          <w:b/>
          <w:color w:val="0B0B0B"/>
        </w:rPr>
        <w:t>Davila, Eduardo</w:t>
      </w:r>
      <w:r>
        <w:rPr>
          <w:color w:val="0B0B0B"/>
        </w:rPr>
        <w:t>, (R), Associate Professor, Otorhinolaryngology, School of Medicine. PhD, Mayo Clinic Graduate School, 2002; BS, New Mexico State University, 1998.</w:t>
      </w:r>
    </w:p>
    <w:p>
      <w:pPr>
        <w:pStyle w:val="BodyText"/>
        <w:spacing w:line="249" w:lineRule="auto"/>
        <w:ind w:right="680"/>
      </w:pPr>
      <w:r>
        <w:rPr>
          <w:b/>
          <w:color w:val="0B0B0B"/>
        </w:rPr>
        <w:t>Davis, Allison Del Bene</w:t>
      </w:r>
      <w:r>
        <w:rPr>
          <w:color w:val="0B0B0B"/>
        </w:rPr>
        <w:t>, (A), Assistant Professor, Family and Community Health, School of Nursing. PhD, University of Maryland, Baltimore, 2006; MS, University of Maryland, Baltimore, 2003; BSN, University of Maryland, Baltimore, 2002.</w:t>
      </w:r>
    </w:p>
    <w:p>
      <w:pPr>
        <w:pStyle w:val="BodyText"/>
        <w:spacing w:line="249" w:lineRule="auto" w:before="181"/>
        <w:ind w:right="825"/>
      </w:pPr>
      <w:r>
        <w:rPr>
          <w:b/>
          <w:color w:val="0B0B0B"/>
        </w:rPr>
        <w:t>Davis, Neil, </w:t>
      </w:r>
      <w:r>
        <w:rPr>
          <w:color w:val="0B0B0B"/>
        </w:rPr>
        <w:t>(A), Adjunct Faculty, Graduate School. BS, Lafayette College. MBA, University of Maryland, Baltimore.</w:t>
      </w:r>
    </w:p>
    <w:p>
      <w:pPr>
        <w:pStyle w:val="BodyText"/>
        <w:spacing w:line="249" w:lineRule="auto"/>
        <w:ind w:right="682"/>
      </w:pPr>
      <w:r>
        <w:rPr>
          <w:b/>
          <w:color w:val="0B0B0B"/>
        </w:rPr>
        <w:t>Davitt, Joan</w:t>
      </w:r>
      <w:r>
        <w:rPr>
          <w:color w:val="0B0B0B"/>
        </w:rPr>
        <w:t>, (A), Associate Professor, School of Social Work. PhD, Bryn Mawr College, 2003; MLSP, Bryn Mawr College, 1994; MSS, Bryn Mawr College, 1993.</w:t>
      </w:r>
    </w:p>
    <w:p>
      <w:pPr>
        <w:pStyle w:val="BodyText"/>
        <w:spacing w:line="249" w:lineRule="auto" w:before="180"/>
        <w:ind w:right="903"/>
      </w:pPr>
      <w:r>
        <w:rPr>
          <w:b/>
          <w:color w:val="0B0B0B"/>
        </w:rPr>
        <w:t>DeForge, Bruce</w:t>
      </w:r>
      <w:r>
        <w:rPr>
          <w:color w:val="0B0B0B"/>
        </w:rPr>
        <w:t>, (R), Research Associate Professor, School of Social Work. PhD, University of Maryland, 1994; MA, Towson University, 1985; BA, Central Connecticut State College, 1977.</w:t>
      </w:r>
    </w:p>
    <w:p>
      <w:pPr>
        <w:pStyle w:val="BodyText"/>
        <w:spacing w:line="249" w:lineRule="auto"/>
        <w:ind w:right="692"/>
      </w:pPr>
      <w:r>
        <w:rPr>
          <w:b/>
          <w:color w:val="0B0B0B"/>
        </w:rPr>
        <w:t>DePaola, Louis</w:t>
      </w:r>
      <w:r>
        <w:rPr>
          <w:color w:val="0B0B0B"/>
        </w:rPr>
        <w:t>, (A), Associate Professor, Oral Medicine, School of Dentistry. MS, University of Maryland, 1981; DDS, University of Maryland, 1975; BA, University of Maryland, 1971.</w:t>
      </w:r>
    </w:p>
    <w:p>
      <w:pPr>
        <w:pStyle w:val="BodyText"/>
        <w:spacing w:line="249" w:lineRule="auto" w:before="181"/>
        <w:ind w:right="594"/>
      </w:pPr>
      <w:r>
        <w:rPr>
          <w:b/>
          <w:color w:val="0B0B0B"/>
        </w:rPr>
        <w:t>Depireux, Didier</w:t>
      </w:r>
      <w:r>
        <w:rPr>
          <w:color w:val="0B0B0B"/>
        </w:rPr>
        <w:t>, (R), Assistant Professor, Anatomy and Neurobiology, School of Medicine, PhD, University of Maryland, 1991, MSc, University of Maryland, 1988, BSc, Universite de Liege, 1986</w:t>
      </w:r>
    </w:p>
    <w:p>
      <w:pPr>
        <w:pStyle w:val="BodyText"/>
        <w:spacing w:line="249" w:lineRule="auto"/>
        <w:ind w:right="625"/>
      </w:pPr>
      <w:r>
        <w:rPr>
          <w:b/>
          <w:color w:val="0B0B0B"/>
        </w:rPr>
        <w:t>Deshpande, Deepak</w:t>
      </w:r>
      <w:r>
        <w:rPr>
          <w:color w:val="0B0B0B"/>
        </w:rPr>
        <w:t>, (A), Associate Professor, Pulmonary Division, School of Medicine. PhD, University of Minnesota, 2004; MS, Veterinary College, University of Agricultural Sciences, Bangalore, India, 1997; DVM, Veterinary College, University of Agricultural Sciences, Bangalore, India, 1994.</w:t>
      </w:r>
    </w:p>
    <w:p>
      <w:pPr>
        <w:spacing w:before="182"/>
        <w:ind w:left="200" w:right="0" w:firstLine="0"/>
        <w:jc w:val="left"/>
        <w:rPr>
          <w:sz w:val="20"/>
        </w:rPr>
      </w:pPr>
      <w:r>
        <w:rPr>
          <w:b/>
          <w:color w:val="0B0B0B"/>
          <w:sz w:val="20"/>
        </w:rPr>
        <w:t>Dessem, Dean</w:t>
      </w:r>
      <w:r>
        <w:rPr>
          <w:color w:val="0B0B0B"/>
          <w:sz w:val="20"/>
        </w:rPr>
        <w:t>, (R), Associate Professor, Oral and</w:t>
      </w:r>
    </w:p>
    <w:p>
      <w:pPr>
        <w:spacing w:after="0"/>
        <w:jc w:val="left"/>
        <w:rPr>
          <w:sz w:val="20"/>
        </w:rPr>
        <w:sectPr>
          <w:pgSz w:w="12240" w:h="15840"/>
          <w:pgMar w:header="746" w:footer="0" w:top="1320" w:bottom="280" w:left="880" w:right="300"/>
          <w:cols w:num="2" w:equalWidth="0">
            <w:col w:w="4988" w:space="499"/>
            <w:col w:w="5573"/>
          </w:cols>
        </w:sectPr>
      </w:pPr>
    </w:p>
    <w:p>
      <w:pPr>
        <w:pStyle w:val="BodyText"/>
        <w:spacing w:line="249" w:lineRule="auto" w:before="100"/>
        <w:ind w:right="154"/>
      </w:pPr>
      <w:r>
        <w:rPr>
          <w:color w:val="0B0B0B"/>
        </w:rPr>
        <w:t>Craniofacial Biological Sciences, School of Dentistry. PhD, University of Illinois, 1985; BS, Tulane University, 1976.</w:t>
      </w:r>
    </w:p>
    <w:p>
      <w:pPr>
        <w:pStyle w:val="BodyText"/>
        <w:spacing w:line="249" w:lineRule="auto" w:before="180"/>
        <w:ind w:right="308"/>
      </w:pPr>
      <w:r>
        <w:rPr>
          <w:b/>
          <w:color w:val="0B0B0B"/>
        </w:rPr>
        <w:t>DeTolla, Louis</w:t>
      </w:r>
      <w:r>
        <w:rPr>
          <w:color w:val="0B0B0B"/>
        </w:rPr>
        <w:t>, (R), Professor, Comparative Medicine, School of Medicine. VMD, University of Pennsylvania, 1982; PhD, Rutgers University, 1978; MS, Rutgers University, 1974.</w:t>
      </w:r>
    </w:p>
    <w:p>
      <w:pPr>
        <w:pStyle w:val="BodyText"/>
        <w:spacing w:line="249" w:lineRule="auto"/>
        <w:ind w:right="52"/>
      </w:pPr>
      <w:r>
        <w:rPr>
          <w:b/>
          <w:color w:val="0B0B0B"/>
        </w:rPr>
        <w:t>DeVico, Anthony</w:t>
      </w:r>
      <w:r>
        <w:rPr>
          <w:color w:val="0B0B0B"/>
        </w:rPr>
        <w:t>, (A), Associate Professor, Microbiology and Immunology, School of Medicine. PhD, George Washington University, 1992; BS, Virginia Polytechnic Institute, 1979.</w:t>
      </w:r>
    </w:p>
    <w:p>
      <w:pPr>
        <w:pStyle w:val="BodyText"/>
        <w:spacing w:line="249" w:lineRule="auto" w:before="180"/>
        <w:ind w:right="202"/>
      </w:pPr>
      <w:r>
        <w:rPr>
          <w:b/>
          <w:color w:val="0B0B0B"/>
        </w:rPr>
        <w:t>Devine, Scott E.</w:t>
      </w:r>
      <w:r>
        <w:rPr>
          <w:color w:val="0B0B0B"/>
        </w:rPr>
        <w:t>, (R), Associate Professor, Medicine, School of Medicine. PhD, University of Maryland, 1993; BS, Stonehill College, 1984.</w:t>
      </w:r>
    </w:p>
    <w:p>
      <w:pPr>
        <w:pStyle w:val="BodyText"/>
        <w:spacing w:line="249" w:lineRule="auto"/>
        <w:ind w:right="25"/>
      </w:pPr>
      <w:r>
        <w:rPr>
          <w:b/>
          <w:color w:val="0B0B0B"/>
        </w:rPr>
        <w:t>Dhar, Vineet</w:t>
      </w:r>
      <w:r>
        <w:rPr>
          <w:color w:val="0B0B0B"/>
        </w:rPr>
        <w:t>, (A), Associate Professor, Orthodontics and Pediatric Dentistry, School of Dentistry. PhD, M LS University, 2009; MBA/PGDHHM, Symbiosis Center of Health Care, 2009; MDS, College of Dental Surgery, 1999.</w:t>
      </w:r>
    </w:p>
    <w:p>
      <w:pPr>
        <w:pStyle w:val="BodyText"/>
        <w:spacing w:line="249" w:lineRule="auto" w:before="181"/>
        <w:ind w:right="54"/>
      </w:pPr>
      <w:r>
        <w:rPr>
          <w:b/>
          <w:color w:val="0B0B0B"/>
        </w:rPr>
        <w:t>Diaconis, Linda</w:t>
      </w:r>
      <w:r>
        <w:rPr>
          <w:color w:val="0B0B0B"/>
        </w:rPr>
        <w:t>, (A), Assistant Professor, Organizational Systems and Adult Health, School of Nursing. PhD, University of Maryland, 2001; MS, University of Maryland, Baltimore, 1994; BSN, University of Maryland, Baltimore, 1992.</w:t>
      </w:r>
    </w:p>
    <w:p>
      <w:pPr>
        <w:pStyle w:val="BodyText"/>
        <w:spacing w:line="249" w:lineRule="auto" w:before="186"/>
        <w:ind w:right="324"/>
      </w:pPr>
      <w:r>
        <w:rPr>
          <w:b/>
          <w:color w:val="0B0B0B"/>
        </w:rPr>
        <w:t>DiBlasio, Frederick</w:t>
      </w:r>
      <w:r>
        <w:rPr>
          <w:color w:val="0B0B0B"/>
        </w:rPr>
        <w:t>, (R), Professor, School of Social Work. PhD, Virginia Commonwealth University, 1983; MSW, University of Maryland, 1978; BA, Western Maryland College, 1975.</w:t>
      </w:r>
    </w:p>
    <w:p>
      <w:pPr>
        <w:pStyle w:val="BodyText"/>
        <w:spacing w:line="249" w:lineRule="auto" w:before="180"/>
      </w:pPr>
      <w:r>
        <w:rPr>
          <w:b/>
          <w:color w:val="0B0B0B"/>
        </w:rPr>
        <w:t>Dickinson, Nancy</w:t>
      </w:r>
      <w:r>
        <w:rPr>
          <w:color w:val="0B0B0B"/>
        </w:rPr>
        <w:t>, (A), Associate Professor, School of Social Work. PhD, University of Seattle, 1986; MSW, University of Tennessee, 1978; BA, University of Richmond, 1967.</w:t>
      </w:r>
    </w:p>
    <w:p>
      <w:pPr>
        <w:pStyle w:val="BodyText"/>
        <w:spacing w:line="249" w:lineRule="auto"/>
      </w:pPr>
      <w:r>
        <w:rPr>
          <w:b/>
          <w:color w:val="0B0B0B"/>
        </w:rPr>
        <w:t>Dimyan, Michael</w:t>
      </w:r>
      <w:r>
        <w:rPr>
          <w:color w:val="0B0B0B"/>
        </w:rPr>
        <w:t>, (A), Assistant Professor, Physical Therapy and Rehabilitation Science, School of Medicine. MD, University of California, San Francisco, 2002; BS, University of California, Irvine, 1997.</w:t>
      </w:r>
    </w:p>
    <w:p>
      <w:pPr>
        <w:pStyle w:val="BodyText"/>
        <w:spacing w:line="249" w:lineRule="auto" w:before="181"/>
        <w:ind w:right="24"/>
      </w:pPr>
      <w:r>
        <w:rPr>
          <w:b/>
          <w:color w:val="0B0B0B"/>
        </w:rPr>
        <w:t>Dixon, Shannan D.</w:t>
      </w:r>
      <w:r>
        <w:rPr>
          <w:color w:val="0B0B0B"/>
        </w:rPr>
        <w:t>, (A), Director, Masters in Genetic Counseling Program, School of Medicine. MS, Arcadia University, 1998; BS, Pennsylvania State University, 1996.</w:t>
      </w:r>
    </w:p>
    <w:p>
      <w:pPr>
        <w:pStyle w:val="BodyText"/>
        <w:spacing w:line="249" w:lineRule="auto"/>
        <w:ind w:right="185"/>
      </w:pPr>
      <w:r>
        <w:rPr>
          <w:b/>
          <w:color w:val="0B0B0B"/>
        </w:rPr>
        <w:t>Donahue, Jr. Donald A</w:t>
      </w:r>
      <w:r>
        <w:rPr>
          <w:color w:val="0B0B0B"/>
        </w:rPr>
        <w:t>. (A), Adjunct Faculty, Graduate School. BS, University of the State of New York, 1981; MS, Seton Hall University, 2018; MBA, Baruch College, 1989; DHEd, A.T. Still University, 2009.</w:t>
      </w:r>
    </w:p>
    <w:p>
      <w:pPr>
        <w:pStyle w:val="BodyText"/>
        <w:spacing w:line="249" w:lineRule="auto" w:before="180"/>
        <w:ind w:right="77"/>
      </w:pPr>
      <w:r>
        <w:rPr>
          <w:b/>
          <w:color w:val="0B0B0B"/>
        </w:rPr>
        <w:t>Donnenberg, Michael</w:t>
      </w:r>
      <w:r>
        <w:rPr>
          <w:color w:val="0B0B0B"/>
        </w:rPr>
        <w:t>, (R), Associate Professor, Medicine, School of Medicine. MD, Columbia University,</w:t>
      </w:r>
    </w:p>
    <w:p>
      <w:pPr>
        <w:pStyle w:val="BodyText"/>
        <w:spacing w:before="96"/>
      </w:pPr>
      <w:r>
        <w:rPr/>
        <w:br w:type="column"/>
      </w:r>
      <w:r>
        <w:rPr>
          <w:color w:val="0B0B0B"/>
        </w:rPr>
        <w:t>1983; BS, State University of New York, 1979.</w:t>
      </w:r>
    </w:p>
    <w:p>
      <w:pPr>
        <w:pStyle w:val="BodyText"/>
        <w:spacing w:line="249" w:lineRule="auto" w:before="187"/>
        <w:ind w:right="631"/>
      </w:pPr>
      <w:r>
        <w:rPr>
          <w:b/>
          <w:color w:val="0B0B0B"/>
        </w:rPr>
        <w:t>Doran, Kelly</w:t>
      </w:r>
      <w:r>
        <w:rPr>
          <w:color w:val="0B0B0B"/>
        </w:rPr>
        <w:t>, (A), Assistant Professor, Family and Community Health, School of Nursing. PhD, University of Maryland, Baltimore, 2011; MS, University of Maryland, 2008; BSN, Drexel University, 2005.</w:t>
      </w:r>
    </w:p>
    <w:p>
      <w:pPr>
        <w:pStyle w:val="BodyText"/>
        <w:spacing w:line="249" w:lineRule="auto" w:before="186"/>
        <w:ind w:right="642"/>
      </w:pPr>
      <w:r>
        <w:rPr>
          <w:b/>
          <w:color w:val="0B0B0B"/>
        </w:rPr>
        <w:t>Dorgan, Joanne</w:t>
      </w:r>
      <w:r>
        <w:rPr>
          <w:color w:val="0B0B0B"/>
        </w:rPr>
        <w:t>, (R), Professor, Epidemiology and Public Health, School of Medicine. PhD, Johns Hopkins University School of Hygeine and Public Health, 1985; MPH, University of North Carolina School of Public Health, 1976; BS, Cornell University, 1974.</w:t>
      </w:r>
    </w:p>
    <w:p>
      <w:pPr>
        <w:pStyle w:val="BodyText"/>
        <w:spacing w:line="249" w:lineRule="auto" w:before="181"/>
        <w:ind w:right="720"/>
      </w:pPr>
      <w:r>
        <w:rPr>
          <w:b/>
          <w:color w:val="0B0B0B"/>
        </w:rPr>
        <w:t>Dorsey, Susan</w:t>
      </w:r>
      <w:r>
        <w:rPr>
          <w:color w:val="0B0B0B"/>
        </w:rPr>
        <w:t>, (R), Professor, Pain and Translational Symptom Science, School of Nursing. PhD, University of Maryland, Baltimore, 2001; MS, University of Maryland, Baltimore, 1997; BS, West Virginia Wesleyan College, 1986.</w:t>
      </w:r>
    </w:p>
    <w:p>
      <w:pPr>
        <w:pStyle w:val="BodyText"/>
        <w:spacing w:line="249" w:lineRule="auto" w:before="186"/>
        <w:ind w:right="831"/>
      </w:pPr>
      <w:r>
        <w:rPr>
          <w:b/>
          <w:color w:val="0B0B0B"/>
        </w:rPr>
        <w:t>Doshi, Peter</w:t>
      </w:r>
      <w:r>
        <w:rPr>
          <w:color w:val="0B0B0B"/>
        </w:rPr>
        <w:t>, (A), Assistant Professor, Pharmaceutical Health Services Research, School of Pharmacy. PhD, Massachusetts Institute of Technology, 2011; MA, Harvard University, 2006; BA, Brown University, 2002.</w:t>
      </w:r>
    </w:p>
    <w:p>
      <w:pPr>
        <w:pStyle w:val="BodyText"/>
        <w:spacing w:line="249" w:lineRule="auto" w:before="181"/>
        <w:ind w:right="628"/>
      </w:pPr>
      <w:r>
        <w:rPr>
          <w:b/>
          <w:color w:val="0B0B0B"/>
        </w:rPr>
        <w:t>dosReis, Susan</w:t>
      </w:r>
      <w:r>
        <w:rPr>
          <w:color w:val="0B0B0B"/>
        </w:rPr>
        <w:t>, (R), Associate Professor, Pharmaceutical Health Services Research, School of Pharmacy. PhD, University of Maryland, 1999; BS, University of Rhode Island, 1991.</w:t>
      </w:r>
    </w:p>
    <w:p>
      <w:pPr>
        <w:pStyle w:val="BodyText"/>
        <w:spacing w:line="249" w:lineRule="auto"/>
        <w:ind w:right="628"/>
      </w:pPr>
      <w:r>
        <w:rPr>
          <w:b/>
          <w:color w:val="0B0B0B"/>
        </w:rPr>
        <w:t>Driscoll, Carl</w:t>
      </w:r>
      <w:r>
        <w:rPr>
          <w:color w:val="0B0B0B"/>
        </w:rPr>
        <w:t>, (A), Assistant Professor, Restorative Dentistry, School of Dentistry. DMD, Tufts University, 1977; BA, Merrimack College, 1974.</w:t>
      </w:r>
    </w:p>
    <w:p>
      <w:pPr>
        <w:pStyle w:val="BodyText"/>
        <w:spacing w:line="249" w:lineRule="auto" w:before="180"/>
        <w:ind w:right="642"/>
      </w:pPr>
      <w:r>
        <w:rPr>
          <w:b/>
          <w:color w:val="0B0B0B"/>
        </w:rPr>
        <w:t>Drohat, Alexander</w:t>
      </w:r>
      <w:r>
        <w:rPr>
          <w:color w:val="0B0B0B"/>
        </w:rPr>
        <w:t>, (R), Associate Professor, Biochemistry and Molecular Biology, School of Medicine. PhD, University of Maryland, Baltimore, 1997; BS, University of Maryland, College Park, 1988.</w:t>
      </w:r>
    </w:p>
    <w:p>
      <w:pPr>
        <w:pStyle w:val="BodyText"/>
        <w:spacing w:line="249" w:lineRule="auto"/>
        <w:ind w:right="619"/>
      </w:pPr>
      <w:r>
        <w:rPr>
          <w:b/>
          <w:color w:val="0B0B0B"/>
        </w:rPr>
        <w:t>Du, Jim Shao-jun</w:t>
      </w:r>
      <w:r>
        <w:rPr>
          <w:color w:val="0B0B0B"/>
        </w:rPr>
        <w:t>, (R), Associate Professor, Biochemistry and Molecular Biology, School of Medicine. PhD, University of Toronto, 1993; MSc, Chinese Academy of Sciences, 1986; BSc, Shandong University-China, 1983.</w:t>
      </w:r>
    </w:p>
    <w:p>
      <w:pPr>
        <w:pStyle w:val="BodyText"/>
        <w:spacing w:line="249" w:lineRule="auto" w:before="181"/>
        <w:ind w:right="680"/>
      </w:pPr>
      <w:r>
        <w:rPr>
          <w:b/>
          <w:color w:val="0B0B0B"/>
        </w:rPr>
        <w:t>Dubner, Ronald</w:t>
      </w:r>
      <w:r>
        <w:rPr>
          <w:color w:val="0B0B0B"/>
        </w:rPr>
        <w:t>, (R), Professor, Oral and Craniofacial Biological Sciences, School of Dentistry. PhD, University of Michigan, 1964; DDS, Columbia University, 1981; BS, Columbia University, 1955.</w:t>
      </w:r>
    </w:p>
    <w:p>
      <w:pPr>
        <w:pStyle w:val="BodyText"/>
        <w:spacing w:line="249" w:lineRule="auto"/>
        <w:ind w:right="881"/>
      </w:pPr>
      <w:r>
        <w:rPr>
          <w:b/>
          <w:color w:val="0B0B0B"/>
        </w:rPr>
        <w:t>Duh, Show-Hong</w:t>
      </w:r>
      <w:r>
        <w:rPr>
          <w:color w:val="0B0B0B"/>
        </w:rPr>
        <w:t>, (A), Associate Director, Clinical Chemistry Laboratory, School of Medicine. PhD, North Dakota State University, 1985; MS, North Dakota State University, 1981; BS, Taipei Medical College, 1971.</w:t>
      </w:r>
    </w:p>
    <w:p>
      <w:pPr>
        <w:pStyle w:val="BodyText"/>
        <w:spacing w:line="249" w:lineRule="auto" w:before="180"/>
        <w:ind w:right="759"/>
      </w:pPr>
      <w:r>
        <w:rPr>
          <w:b/>
          <w:color w:val="0B0B0B"/>
        </w:rPr>
        <w:t>Eckert, Richard</w:t>
      </w:r>
      <w:r>
        <w:rPr>
          <w:color w:val="0B0B0B"/>
        </w:rPr>
        <w:t>, (R), Professor, Biochemistry and Molecular Biology, School of Medicine. PhD, University</w:t>
      </w:r>
    </w:p>
    <w:p>
      <w:pPr>
        <w:spacing w:after="0" w:line="249" w:lineRule="auto"/>
        <w:sectPr>
          <w:pgSz w:w="12240" w:h="15840"/>
          <w:pgMar w:header="746" w:footer="0" w:top="1320" w:bottom="280" w:left="880" w:right="300"/>
          <w:cols w:num="2" w:equalWidth="0">
            <w:col w:w="5000" w:space="487"/>
            <w:col w:w="5573"/>
          </w:cols>
        </w:sectPr>
      </w:pPr>
    </w:p>
    <w:p>
      <w:pPr>
        <w:pStyle w:val="BodyText"/>
        <w:spacing w:line="249" w:lineRule="auto" w:before="100"/>
        <w:ind w:right="388"/>
      </w:pPr>
      <w:r>
        <w:rPr>
          <w:color w:val="0B0B0B"/>
        </w:rPr>
        <w:t>of Illinois, 1964; MS, University of Illinois, 1978; BA, University of Wisconsin-Parkside, 1975.</w:t>
      </w:r>
    </w:p>
    <w:p>
      <w:pPr>
        <w:pStyle w:val="BodyText"/>
        <w:spacing w:line="249" w:lineRule="auto" w:before="179"/>
        <w:ind w:left="199" w:right="50"/>
      </w:pPr>
      <w:r>
        <w:rPr>
          <w:b/>
          <w:color w:val="0B0B0B"/>
        </w:rPr>
        <w:t>Eddington, Natalie</w:t>
      </w:r>
      <w:r>
        <w:rPr>
          <w:color w:val="0B0B0B"/>
        </w:rPr>
        <w:t>, (R), Dean, School of Pharmacy. PhD, University of Maryland, 1989; BS, Howard University, 1982.</w:t>
      </w:r>
    </w:p>
    <w:p>
      <w:pPr>
        <w:pStyle w:val="BodyText"/>
        <w:spacing w:line="249" w:lineRule="auto" w:before="184"/>
        <w:ind w:left="199" w:right="384"/>
      </w:pPr>
      <w:r>
        <w:rPr>
          <w:b/>
          <w:color w:val="0B0B0B"/>
        </w:rPr>
        <w:t>Edelman, Bennett</w:t>
      </w:r>
      <w:r>
        <w:rPr>
          <w:color w:val="0B0B0B"/>
        </w:rPr>
        <w:t>, (A), Associate Professor, Clinical Laboratories, School of Medicine. MD, Johns Hopkins University, 1975; BS, Yale University, 1971.</w:t>
      </w:r>
    </w:p>
    <w:p>
      <w:pPr>
        <w:pStyle w:val="BodyText"/>
        <w:spacing w:line="249" w:lineRule="auto" w:before="180"/>
        <w:ind w:left="199" w:right="383"/>
      </w:pPr>
      <w:r>
        <w:rPr>
          <w:b/>
          <w:color w:val="0B0B0B"/>
        </w:rPr>
        <w:t>Edmondson Smith, Melissa</w:t>
      </w:r>
      <w:r>
        <w:rPr>
          <w:color w:val="0B0B0B"/>
        </w:rPr>
        <w:t>, (A), Assistant Professor, School of Social Work. PhD, University of Southern California, 2012; MsSW, Columbia University, 2012.</w:t>
      </w:r>
    </w:p>
    <w:p>
      <w:pPr>
        <w:pStyle w:val="BodyText"/>
        <w:spacing w:line="249" w:lineRule="auto"/>
        <w:ind w:left="199" w:right="150"/>
      </w:pPr>
      <w:r>
        <w:rPr>
          <w:b/>
          <w:color w:val="0B0B0B"/>
        </w:rPr>
        <w:t>Edwards, Lori</w:t>
      </w:r>
      <w:r>
        <w:rPr>
          <w:color w:val="0B0B0B"/>
        </w:rPr>
        <w:t>, (A), Assistant Professor, Family and Community Health, School of Nursing. DrPH, Johns Hopkins University School of Public Health, 2012; MPH, Johns Hopkins University School of Public Health, 1989; BSN, University of Maryland School of Nursing, 1980.</w:t>
      </w:r>
    </w:p>
    <w:p>
      <w:pPr>
        <w:pStyle w:val="BodyText"/>
        <w:spacing w:line="249" w:lineRule="auto" w:before="181"/>
        <w:ind w:left="199" w:right="22"/>
      </w:pPr>
      <w:r>
        <w:rPr>
          <w:b/>
          <w:color w:val="0B0B0B"/>
        </w:rPr>
        <w:t>El-Kamary, Samer</w:t>
      </w:r>
      <w:r>
        <w:rPr>
          <w:color w:val="0B0B0B"/>
        </w:rPr>
        <w:t>, (R), Associate Professor, Epidemiology and Public Health, School of Medicine. MPH, Johns Hopkins University, 2001; MSc, University of Alexandria (Egypt), 1994; MB ChB (MD equivalent), University of Alexandria (Egypt), 1989.</w:t>
      </w:r>
    </w:p>
    <w:p>
      <w:pPr>
        <w:pStyle w:val="BodyText"/>
        <w:spacing w:line="249" w:lineRule="auto" w:before="186"/>
        <w:ind w:left="199" w:right="156"/>
      </w:pPr>
      <w:r>
        <w:rPr>
          <w:b/>
          <w:color w:val="0B0B0B"/>
        </w:rPr>
        <w:t>Ellish, Nancy</w:t>
      </w:r>
      <w:r>
        <w:rPr>
          <w:color w:val="0B0B0B"/>
        </w:rPr>
        <w:t>, (A), Associate Professor, Epidemiology and Public Health, School of Medicine. DPH, University of Illinois at Chicago, 1981; MS, University of North Carolina, 1974; BA, State University of New York, 1973.</w:t>
      </w:r>
    </w:p>
    <w:p>
      <w:pPr>
        <w:pStyle w:val="BodyText"/>
        <w:spacing w:line="249" w:lineRule="auto" w:before="181"/>
        <w:ind w:left="199"/>
      </w:pPr>
      <w:r>
        <w:rPr>
          <w:b/>
          <w:color w:val="0B0B0B"/>
        </w:rPr>
        <w:t>Elmer, Gregory</w:t>
      </w:r>
      <w:r>
        <w:rPr>
          <w:color w:val="0B0B0B"/>
        </w:rPr>
        <w:t>, (R), Professor, Psychiatry, School of Medicine. PhD, University of Maryland, 1990; BS, University of Colorado, 1982.</w:t>
      </w:r>
    </w:p>
    <w:p>
      <w:pPr>
        <w:pStyle w:val="BodyText"/>
        <w:spacing w:line="249" w:lineRule="auto" w:before="184"/>
        <w:ind w:left="199" w:right="323"/>
      </w:pPr>
      <w:r>
        <w:rPr>
          <w:b/>
          <w:color w:val="0B0B0B"/>
        </w:rPr>
        <w:t>Enwonwu, Cyril</w:t>
      </w:r>
      <w:r>
        <w:rPr>
          <w:color w:val="0B0B0B"/>
        </w:rPr>
        <w:t>, (R), Professor, Oral and Craniofacial Biological Sciences, School of Dentistry. ScD, Massachusetts Institute of Technology, 1968; MDS, University of Bristol, 1966; PhD, University of Bristol, 1976.</w:t>
      </w:r>
    </w:p>
    <w:p>
      <w:pPr>
        <w:pStyle w:val="BodyText"/>
        <w:spacing w:line="249" w:lineRule="auto" w:before="181"/>
        <w:ind w:left="199" w:right="48"/>
      </w:pPr>
      <w:r>
        <w:rPr>
          <w:b/>
          <w:color w:val="0B0B0B"/>
        </w:rPr>
        <w:t>Ernst, Robert K.</w:t>
      </w:r>
      <w:r>
        <w:rPr>
          <w:color w:val="0B0B0B"/>
        </w:rPr>
        <w:t>, (R), </w:t>
      </w:r>
      <w:r>
        <w:rPr>
          <w:color w:val="0B0B0B"/>
          <w:spacing w:val="-3"/>
        </w:rPr>
        <w:t>Professor </w:t>
      </w:r>
      <w:r>
        <w:rPr>
          <w:color w:val="0B0B0B"/>
        </w:rPr>
        <w:t>and Vice Chair, Microbial Pathogenesis, </w:t>
      </w:r>
      <w:r>
        <w:rPr>
          <w:color w:val="0B0B0B"/>
          <w:spacing w:val="-2"/>
        </w:rPr>
        <w:t>School </w:t>
      </w:r>
      <w:r>
        <w:rPr>
          <w:color w:val="0B0B0B"/>
          <w:spacing w:val="-3"/>
        </w:rPr>
        <w:t>of </w:t>
      </w:r>
      <w:r>
        <w:rPr>
          <w:color w:val="0B0B0B"/>
        </w:rPr>
        <w:t>Dentistry. PhD, University of Virginia, 1996; MA, State University of New York, 1988; </w:t>
      </w:r>
      <w:r>
        <w:rPr>
          <w:color w:val="0B0B0B"/>
          <w:spacing w:val="-3"/>
        </w:rPr>
        <w:t>BS, </w:t>
      </w:r>
      <w:r>
        <w:rPr>
          <w:color w:val="0B0B0B"/>
        </w:rPr>
        <w:t>State University of New York,</w:t>
      </w:r>
      <w:r>
        <w:rPr>
          <w:color w:val="0B0B0B"/>
          <w:spacing w:val="-2"/>
        </w:rPr>
        <w:t> </w:t>
      </w:r>
      <w:r>
        <w:rPr>
          <w:color w:val="0B0B0B"/>
        </w:rPr>
        <w:t>1986.</w:t>
      </w:r>
    </w:p>
    <w:p>
      <w:pPr>
        <w:pStyle w:val="BodyText"/>
        <w:spacing w:line="249" w:lineRule="auto" w:before="186"/>
        <w:ind w:left="199"/>
      </w:pPr>
      <w:r>
        <w:rPr>
          <w:b/>
          <w:color w:val="0B0B0B"/>
        </w:rPr>
        <w:t>Erzurumlu, Reha</w:t>
      </w:r>
      <w:r>
        <w:rPr>
          <w:color w:val="0B0B0B"/>
        </w:rPr>
        <w:t>, (R), Professor, Anesthesiology, School of Medicine. PhD, University of California, 1981; MA, Washington University, 1975; BA, University of Ankara, 1972.</w:t>
      </w:r>
    </w:p>
    <w:p>
      <w:pPr>
        <w:pStyle w:val="BodyText"/>
        <w:spacing w:line="249" w:lineRule="auto" w:before="180"/>
        <w:ind w:left="199" w:right="294"/>
      </w:pPr>
      <w:r>
        <w:rPr>
          <w:b/>
          <w:color w:val="0B0B0B"/>
        </w:rPr>
        <w:t>Faden, Alan</w:t>
      </w:r>
      <w:r>
        <w:rPr>
          <w:color w:val="0B0B0B"/>
        </w:rPr>
        <w:t>, (R), Professor, Anesthesiology, School of Medicine. MD, University of Chicago, 1971; BA, University of Pennsylvania, 1966.</w:t>
      </w:r>
    </w:p>
    <w:p>
      <w:pPr>
        <w:pStyle w:val="BodyText"/>
        <w:spacing w:line="249" w:lineRule="auto" w:before="96"/>
        <w:ind w:left="199" w:right="771"/>
      </w:pPr>
      <w:r>
        <w:rPr/>
        <w:br w:type="column"/>
      </w:r>
      <w:r>
        <w:rPr>
          <w:b/>
          <w:color w:val="0B0B0B"/>
        </w:rPr>
        <w:t>Fahie, Vanessa</w:t>
      </w:r>
      <w:r>
        <w:rPr>
          <w:color w:val="0B0B0B"/>
        </w:rPr>
        <w:t>, (A), Assistant Professor, Organizational Systems and Adult Health, School of Nursing. PhD, University of Maryland, 1994; MS, University of Maryland, 1983; BSN, University of Maryland, 1976.</w:t>
      </w:r>
    </w:p>
    <w:p>
      <w:pPr>
        <w:pStyle w:val="BodyText"/>
        <w:spacing w:line="249" w:lineRule="auto" w:before="180"/>
        <w:ind w:left="199" w:right="665"/>
      </w:pPr>
      <w:r>
        <w:rPr>
          <w:b/>
          <w:color w:val="0B0B0B"/>
        </w:rPr>
        <w:t>Fang, Shengyun</w:t>
      </w:r>
      <w:r>
        <w:rPr>
          <w:color w:val="0B0B0B"/>
        </w:rPr>
        <w:t>, (A), Assistant Professor, Molecular and Cell Biology, Graduate School. PhD, Anhui Medical University (China), 1998; MSc, Anhui Medical University (China), 1992; MD, Anhui Medical University (China), 1985.</w:t>
      </w:r>
    </w:p>
    <w:p>
      <w:pPr>
        <w:pStyle w:val="BodyText"/>
        <w:spacing w:line="249" w:lineRule="auto" w:before="186"/>
        <w:ind w:left="199" w:right="615"/>
      </w:pPr>
      <w:r>
        <w:rPr>
          <w:b/>
          <w:color w:val="0B0B0B"/>
        </w:rPr>
        <w:t>Farrell, Jill</w:t>
      </w:r>
      <w:r>
        <w:rPr>
          <w:color w:val="0B0B0B"/>
        </w:rPr>
        <w:t>, (A), Assistant Professor, School of Social Work. PhD, University of Maryland, 2009; MS, University of Maryland, 2002; BA, Boston College, 1999.</w:t>
      </w:r>
    </w:p>
    <w:p>
      <w:pPr>
        <w:pStyle w:val="BodyText"/>
        <w:spacing w:line="249" w:lineRule="auto" w:before="180"/>
        <w:ind w:left="199" w:right="604"/>
      </w:pPr>
      <w:r>
        <w:rPr>
          <w:b/>
          <w:color w:val="0B0B0B"/>
        </w:rPr>
        <w:t>Feldman, Ricardo</w:t>
      </w:r>
      <w:r>
        <w:rPr>
          <w:color w:val="0B0B0B"/>
        </w:rPr>
        <w:t>, (R), Assistant Professor, Microbiology and Immunology, School of Medicine. PhD, New York University, 1979; MS, University of Buenos Aires, 1973.</w:t>
      </w:r>
    </w:p>
    <w:p>
      <w:pPr>
        <w:pStyle w:val="BodyText"/>
        <w:spacing w:line="249" w:lineRule="auto"/>
        <w:ind w:left="199" w:right="683"/>
      </w:pPr>
      <w:r>
        <w:rPr>
          <w:b/>
          <w:color w:val="0B0B0B"/>
        </w:rPr>
        <w:t>Feng, Pei</w:t>
      </w:r>
      <w:r>
        <w:rPr>
          <w:color w:val="0B0B0B"/>
        </w:rPr>
        <w:t>, (R), Associate Professor, Oral and Craniofacial Biological Sciences, School of Dentistry. PhD, University of Umea, 1990; MS, Beijing Medical University, 1981; MD, Beijing Medical University, 1970.</w:t>
      </w:r>
    </w:p>
    <w:p>
      <w:pPr>
        <w:pStyle w:val="BodyText"/>
        <w:spacing w:line="249" w:lineRule="auto" w:before="180"/>
        <w:ind w:left="199" w:right="1515"/>
      </w:pPr>
      <w:r>
        <w:rPr>
          <w:b/>
          <w:color w:val="0B0B0B"/>
        </w:rPr>
        <w:t>Feng, Hanping</w:t>
      </w:r>
      <w:r>
        <w:rPr>
          <w:color w:val="0B0B0B"/>
        </w:rPr>
        <w:t>, Associate Professor, Microbial Pathogenesis, School of Dentistry.</w:t>
      </w:r>
    </w:p>
    <w:p>
      <w:pPr>
        <w:pStyle w:val="BodyText"/>
        <w:spacing w:line="249" w:lineRule="auto" w:before="184"/>
        <w:ind w:left="199" w:right="599"/>
      </w:pPr>
      <w:r>
        <w:rPr>
          <w:b/>
          <w:color w:val="0B0B0B"/>
        </w:rPr>
        <w:t>Ferrucci, Luigi</w:t>
      </w:r>
      <w:r>
        <w:rPr>
          <w:color w:val="0B0B0B"/>
        </w:rPr>
        <w:t>, (S), Adjunct Professor, Epidemiology and Public Health, School of Medicine. PhD, University of Florence, 1988; MD, University of Florence, 1980.</w:t>
      </w:r>
    </w:p>
    <w:p>
      <w:pPr>
        <w:pStyle w:val="BodyText"/>
        <w:spacing w:line="249" w:lineRule="auto" w:before="180"/>
        <w:ind w:left="199" w:right="644" w:hanging="1"/>
      </w:pPr>
      <w:r>
        <w:rPr>
          <w:b/>
          <w:color w:val="0B0B0B"/>
        </w:rPr>
        <w:t>Finigan-Carr</w:t>
      </w:r>
      <w:r>
        <w:rPr>
          <w:color w:val="0B0B0B"/>
        </w:rPr>
        <w:t>, Nadine, (A), Assistant Professor, School of Social Work. PhD, Johns Hopkins University, 2011; MS, University of Baltimore, 1999; BA, Wesleyan University, 1992.</w:t>
      </w:r>
    </w:p>
    <w:p>
      <w:pPr>
        <w:pStyle w:val="BodyText"/>
        <w:spacing w:line="249" w:lineRule="auto"/>
        <w:ind w:left="199" w:right="965"/>
      </w:pPr>
      <w:r>
        <w:rPr>
          <w:b/>
          <w:color w:val="0B0B0B"/>
        </w:rPr>
        <w:t>Fisher, Steven</w:t>
      </w:r>
      <w:r>
        <w:rPr>
          <w:color w:val="0B0B0B"/>
        </w:rPr>
        <w:t>, (R), Professor, Medicine, School of Medicine. MD, University of Pennsylvania, 1986; BA, University of Pennsylvania, 1982.</w:t>
      </w:r>
    </w:p>
    <w:p>
      <w:pPr>
        <w:pStyle w:val="BodyText"/>
        <w:spacing w:line="249" w:lineRule="auto" w:before="180"/>
        <w:ind w:left="199" w:right="654"/>
      </w:pPr>
      <w:r>
        <w:rPr>
          <w:b/>
          <w:color w:val="0B0B0B"/>
        </w:rPr>
        <w:t>Fishman, Paul</w:t>
      </w:r>
      <w:r>
        <w:rPr>
          <w:color w:val="0B0B0B"/>
        </w:rPr>
        <w:t>, (R), Professor, Neurology, School of Medicine. PhD, Yale University, 1975; MD, Johns Hopkins University, 1978; BA, Johns Hopkins University, 1971.</w:t>
      </w:r>
    </w:p>
    <w:p>
      <w:pPr>
        <w:pStyle w:val="BodyText"/>
        <w:spacing w:line="249" w:lineRule="auto" w:before="186"/>
        <w:ind w:left="199" w:right="598"/>
      </w:pPr>
      <w:r>
        <w:rPr>
          <w:b/>
          <w:color w:val="0B0B0B"/>
        </w:rPr>
        <w:t>Fiskum, Gary</w:t>
      </w:r>
      <w:r>
        <w:rPr>
          <w:color w:val="0B0B0B"/>
        </w:rPr>
        <w:t>, (R), Professor, Anesthesiology, School of Medicine. PhD, St. Louis University, 1977; BA, University of California, 1973.</w:t>
      </w:r>
    </w:p>
    <w:p>
      <w:pPr>
        <w:pStyle w:val="BodyText"/>
        <w:spacing w:line="249" w:lineRule="auto" w:before="179"/>
        <w:ind w:left="199" w:right="959"/>
      </w:pPr>
      <w:r>
        <w:rPr>
          <w:b/>
          <w:color w:val="0B0B0B"/>
        </w:rPr>
        <w:t>Fix, Alan</w:t>
      </w:r>
      <w:r>
        <w:rPr>
          <w:color w:val="0B0B0B"/>
        </w:rPr>
        <w:t>, (A), Assistant Professor, Epidemiology and Public Health, School of Medicine. MS, University of Maryland, 1995; MD, University of Florida, 1979; BS, Duke University, 1975.</w:t>
      </w:r>
    </w:p>
    <w:p>
      <w:pPr>
        <w:pStyle w:val="BodyText"/>
        <w:spacing w:line="249" w:lineRule="auto" w:before="186"/>
        <w:ind w:left="199" w:right="1026"/>
      </w:pPr>
      <w:r>
        <w:rPr>
          <w:b/>
          <w:color w:val="0B0B0B"/>
        </w:rPr>
        <w:t>Flajnik, Martin</w:t>
      </w:r>
      <w:r>
        <w:rPr>
          <w:color w:val="0B0B0B"/>
        </w:rPr>
        <w:t>, (R), Professor, Microbiology and Immunology, School of Medicine. PhD, University of</w:t>
      </w:r>
    </w:p>
    <w:p>
      <w:pPr>
        <w:spacing w:after="0" w:line="249" w:lineRule="auto"/>
        <w:sectPr>
          <w:headerReference w:type="default" r:id="rId116"/>
          <w:headerReference w:type="even" r:id="rId117"/>
          <w:pgSz w:w="12240" w:h="15840"/>
          <w:pgMar w:header="746" w:footer="0" w:top="1320" w:bottom="280" w:left="880" w:right="300"/>
          <w:cols w:num="2" w:equalWidth="0">
            <w:col w:w="4997" w:space="490"/>
            <w:col w:w="5573"/>
          </w:cols>
        </w:sectPr>
      </w:pPr>
    </w:p>
    <w:p>
      <w:pPr>
        <w:pStyle w:val="BodyText"/>
        <w:spacing w:line="249" w:lineRule="auto" w:before="100"/>
        <w:ind w:right="146"/>
      </w:pPr>
      <w:r>
        <w:rPr>
          <w:color w:val="0B0B0B"/>
        </w:rPr>
        <w:t>Rochester, 1983; MS, University of Rochester, 1979; BS, Pennsylvania State University, 1978.</w:t>
      </w:r>
    </w:p>
    <w:p>
      <w:pPr>
        <w:pStyle w:val="BodyText"/>
        <w:spacing w:line="249" w:lineRule="auto" w:before="179"/>
        <w:ind w:right="30"/>
      </w:pPr>
      <w:r>
        <w:rPr>
          <w:b/>
          <w:color w:val="0B0B0B"/>
        </w:rPr>
        <w:t>Flannery, Kelly</w:t>
      </w:r>
      <w:r>
        <w:rPr>
          <w:color w:val="0B0B0B"/>
        </w:rPr>
        <w:t>, (A), Assistant Professor, Family and Community Health, School of Nursing. PhD, University of Maryland, Baltimore, 2011; MS, University of Maryland, Baltimore, 2008; BSN, Drexel University, 2005.</w:t>
      </w:r>
    </w:p>
    <w:p>
      <w:pPr>
        <w:pStyle w:val="BodyText"/>
        <w:spacing w:line="249" w:lineRule="auto"/>
        <w:ind w:right="68"/>
      </w:pPr>
      <w:r>
        <w:rPr>
          <w:b/>
          <w:color w:val="0B0B0B"/>
        </w:rPr>
        <w:t>Fleming, Shani, </w:t>
      </w:r>
      <w:r>
        <w:rPr>
          <w:color w:val="0B0B0B"/>
        </w:rPr>
        <w:t>(A), Associate Professor, Graduate School. BA, University of Maryland Eastern Shore, 1999; MPH, George Washington University, 2002; MSHS, 2002</w:t>
      </w:r>
    </w:p>
    <w:p>
      <w:pPr>
        <w:pStyle w:val="BodyText"/>
        <w:spacing w:line="249" w:lineRule="auto" w:before="180"/>
        <w:ind w:right="38"/>
        <w:jc w:val="both"/>
      </w:pPr>
      <w:r>
        <w:rPr>
          <w:b/>
          <w:color w:val="0B0B0B"/>
        </w:rPr>
        <w:t>Fletcher, Steven</w:t>
      </w:r>
      <w:r>
        <w:rPr>
          <w:color w:val="0B0B0B"/>
        </w:rPr>
        <w:t>, (A), Assistant Professor, Pharmaceutical Sciences, School of Pharmacy. PhD, Imperial College UK, 2004; Msci MA, University of Cambridge UK, 2000.</w:t>
      </w:r>
    </w:p>
    <w:p>
      <w:pPr>
        <w:pStyle w:val="BodyText"/>
        <w:spacing w:line="249" w:lineRule="auto"/>
        <w:ind w:right="175" w:hanging="1"/>
      </w:pPr>
      <w:r>
        <w:rPr>
          <w:b/>
          <w:color w:val="0B0B0B"/>
        </w:rPr>
        <w:t>Fornili, Katherine</w:t>
      </w:r>
      <w:r>
        <w:rPr>
          <w:color w:val="0B0B0B"/>
        </w:rPr>
        <w:t>, (A), Assistant Professor, Family and Community Health, </w:t>
      </w:r>
      <w:r>
        <w:rPr>
          <w:color w:val="0B0B0B"/>
          <w:spacing w:val="-2"/>
        </w:rPr>
        <w:t>School </w:t>
      </w:r>
      <w:r>
        <w:rPr>
          <w:color w:val="0B0B0B"/>
          <w:spacing w:val="-3"/>
        </w:rPr>
        <w:t>of </w:t>
      </w:r>
      <w:r>
        <w:rPr>
          <w:color w:val="0B0B0B"/>
        </w:rPr>
        <w:t>Nursing. </w:t>
      </w:r>
      <w:r>
        <w:rPr>
          <w:color w:val="0B0B0B"/>
          <w:spacing w:val="-3"/>
        </w:rPr>
        <w:t>DNP, </w:t>
      </w:r>
      <w:r>
        <w:rPr>
          <w:color w:val="0B0B0B"/>
        </w:rPr>
        <w:t>University of Maryland </w:t>
      </w:r>
      <w:r>
        <w:rPr>
          <w:color w:val="0B0B0B"/>
          <w:spacing w:val="-2"/>
        </w:rPr>
        <w:t>School </w:t>
      </w:r>
      <w:r>
        <w:rPr>
          <w:color w:val="0B0B0B"/>
          <w:spacing w:val="-3"/>
        </w:rPr>
        <w:t>of </w:t>
      </w:r>
      <w:r>
        <w:rPr>
          <w:color w:val="0B0B0B"/>
        </w:rPr>
        <w:t>Nursing, 2016; </w:t>
      </w:r>
      <w:r>
        <w:rPr>
          <w:color w:val="0B0B0B"/>
          <w:spacing w:val="-3"/>
        </w:rPr>
        <w:t>MPH, </w:t>
      </w:r>
      <w:r>
        <w:rPr>
          <w:color w:val="0B0B0B"/>
        </w:rPr>
        <w:t>Virginia Commonwealth University, 1995; </w:t>
      </w:r>
      <w:r>
        <w:rPr>
          <w:color w:val="0B0B0B"/>
          <w:spacing w:val="-3"/>
        </w:rPr>
        <w:t>BSN,</w:t>
      </w:r>
      <w:r>
        <w:rPr>
          <w:color w:val="0B0B0B"/>
          <w:spacing w:val="12"/>
        </w:rPr>
        <w:t> </w:t>
      </w:r>
      <w:r>
        <w:rPr>
          <w:color w:val="0B0B0B"/>
        </w:rPr>
        <w:t>1982.</w:t>
      </w:r>
    </w:p>
    <w:p>
      <w:pPr>
        <w:pStyle w:val="BodyText"/>
        <w:spacing w:line="249" w:lineRule="auto" w:before="180"/>
        <w:ind w:right="181"/>
      </w:pPr>
      <w:r>
        <w:rPr>
          <w:b/>
          <w:color w:val="0B0B0B"/>
        </w:rPr>
        <w:t>Forrester, Larry</w:t>
      </w:r>
      <w:r>
        <w:rPr>
          <w:color w:val="0B0B0B"/>
        </w:rPr>
        <w:t>, (R), Associate Professor, </w:t>
      </w:r>
      <w:r>
        <w:rPr>
          <w:color w:val="0B0B0B"/>
          <w:spacing w:val="-3"/>
        </w:rPr>
        <w:t>Physical </w:t>
      </w:r>
      <w:r>
        <w:rPr>
          <w:color w:val="0B0B0B"/>
        </w:rPr>
        <w:t>Therapy and Rehabilitation Science, </w:t>
      </w:r>
      <w:r>
        <w:rPr>
          <w:color w:val="0B0B0B"/>
          <w:spacing w:val="-3"/>
        </w:rPr>
        <w:t>School of </w:t>
      </w:r>
      <w:r>
        <w:rPr>
          <w:color w:val="0B0B0B"/>
        </w:rPr>
        <w:t>Medicine. PhD, University of Maryland, 1997; MA, Wake Forest University, 1984; </w:t>
      </w:r>
      <w:r>
        <w:rPr>
          <w:color w:val="0B0B0B"/>
          <w:spacing w:val="-3"/>
        </w:rPr>
        <w:t>BA, </w:t>
      </w:r>
      <w:r>
        <w:rPr>
          <w:color w:val="0B0B0B"/>
        </w:rPr>
        <w:t>Duke University,</w:t>
      </w:r>
      <w:r>
        <w:rPr>
          <w:color w:val="0B0B0B"/>
          <w:spacing w:val="12"/>
        </w:rPr>
        <w:t> </w:t>
      </w:r>
      <w:r>
        <w:rPr>
          <w:color w:val="0B0B0B"/>
        </w:rPr>
        <w:t>1972.</w:t>
      </w:r>
    </w:p>
    <w:p>
      <w:pPr>
        <w:pStyle w:val="BodyText"/>
        <w:spacing w:line="249" w:lineRule="auto"/>
        <w:ind w:right="229"/>
      </w:pPr>
      <w:r>
        <w:rPr>
          <w:b/>
          <w:color w:val="0B0B0B"/>
        </w:rPr>
        <w:t>Fossett, Nancy</w:t>
      </w:r>
      <w:r>
        <w:rPr>
          <w:color w:val="0B0B0B"/>
        </w:rPr>
        <w:t>, (R), Assistant Professor, Pathology, School of Medicine. PhD, Lousiana State University, 1993; MS, Lousiana State University, 1990; BS, Rhodes College, 1976.</w:t>
      </w:r>
    </w:p>
    <w:p>
      <w:pPr>
        <w:pStyle w:val="BodyText"/>
        <w:spacing w:line="249" w:lineRule="auto" w:before="181"/>
        <w:ind w:right="208"/>
      </w:pPr>
      <w:r>
        <w:rPr>
          <w:b/>
          <w:color w:val="0B0B0B"/>
        </w:rPr>
        <w:t>Fouad, Ashraf</w:t>
      </w:r>
      <w:r>
        <w:rPr>
          <w:color w:val="0B0B0B"/>
        </w:rPr>
        <w:t>, (R), Associate Professor, Department of Endodontics, School of Dentistry. DDS, University of Iowa, 1992; MS, University of Iowa, 1990; BDS, Cairo University, 1982.</w:t>
      </w:r>
    </w:p>
    <w:p>
      <w:pPr>
        <w:pStyle w:val="BodyText"/>
        <w:spacing w:line="249" w:lineRule="auto"/>
        <w:ind w:right="24"/>
      </w:pPr>
      <w:r>
        <w:rPr>
          <w:b/>
          <w:color w:val="0B0B0B"/>
        </w:rPr>
        <w:t>Fountain, Lily</w:t>
      </w:r>
      <w:r>
        <w:rPr>
          <w:color w:val="0B0B0B"/>
        </w:rPr>
        <w:t>, (A), Assistant Professor, Family and Community Health, School of Nursing; PhD, University of Maryland, College Park, 2016; MS, Georgetown University, 2011; BSN, University of Maryland, Baltimore County, 2000.</w:t>
      </w:r>
    </w:p>
    <w:p>
      <w:pPr>
        <w:pStyle w:val="BodyText"/>
        <w:spacing w:line="249" w:lineRule="auto" w:before="181"/>
        <w:ind w:right="181"/>
      </w:pPr>
      <w:r>
        <w:rPr>
          <w:b/>
          <w:color w:val="0B0B0B"/>
        </w:rPr>
        <w:t>Fowler, David</w:t>
      </w:r>
      <w:r>
        <w:rPr>
          <w:color w:val="0B0B0B"/>
        </w:rPr>
        <w:t>, (S), Associate Professor, Department of Pathology, School of Medicine. M, Med, University of Maryland, 1990; MB, ChB, University of Cape Town, 1983.</w:t>
      </w:r>
    </w:p>
    <w:p>
      <w:pPr>
        <w:pStyle w:val="BodyText"/>
        <w:spacing w:line="249" w:lineRule="auto" w:before="186"/>
        <w:ind w:right="302"/>
      </w:pPr>
      <w:r>
        <w:rPr>
          <w:b/>
          <w:color w:val="0B0B0B"/>
        </w:rPr>
        <w:t>Franklin, Renty</w:t>
      </w:r>
      <w:r>
        <w:rPr>
          <w:color w:val="0B0B0B"/>
        </w:rPr>
        <w:t>, (R), Professor, Oral and Craniofacial Biological Sciences, School of Dentistry. PhD, Howard University, 1972; MS, Atlanta University, 1967; BS, Morehouse College, 1966.</w:t>
      </w:r>
    </w:p>
    <w:p>
      <w:pPr>
        <w:pStyle w:val="BodyText"/>
        <w:spacing w:line="249" w:lineRule="auto" w:before="180"/>
        <w:ind w:right="43"/>
      </w:pPr>
      <w:r>
        <w:rPr>
          <w:b/>
          <w:color w:val="0B0B0B"/>
        </w:rPr>
        <w:t>Fraser, Claire</w:t>
      </w:r>
      <w:r>
        <w:rPr>
          <w:color w:val="0B0B0B"/>
        </w:rPr>
        <w:t>, (R), Professor, Microbiology and Immunology, </w:t>
      </w:r>
      <w:r>
        <w:rPr>
          <w:color w:val="0B0B0B"/>
          <w:spacing w:val="-2"/>
        </w:rPr>
        <w:t>School </w:t>
      </w:r>
      <w:r>
        <w:rPr>
          <w:color w:val="0B0B0B"/>
        </w:rPr>
        <w:t>of Medicine, PhD, State University of New York at </w:t>
      </w:r>
      <w:r>
        <w:rPr>
          <w:color w:val="0B0B0B"/>
          <w:spacing w:val="-3"/>
        </w:rPr>
        <w:t>Buffalo, </w:t>
      </w:r>
      <w:r>
        <w:rPr>
          <w:color w:val="0B0B0B"/>
        </w:rPr>
        <w:t>1981; </w:t>
      </w:r>
      <w:r>
        <w:rPr>
          <w:color w:val="0B0B0B"/>
          <w:spacing w:val="-3"/>
        </w:rPr>
        <w:t>BS, </w:t>
      </w:r>
      <w:r>
        <w:rPr>
          <w:color w:val="0B0B0B"/>
        </w:rPr>
        <w:t>Rensselaer</w:t>
      </w:r>
      <w:r>
        <w:rPr>
          <w:color w:val="0B0B0B"/>
          <w:spacing w:val="24"/>
        </w:rPr>
        <w:t> </w:t>
      </w:r>
      <w:r>
        <w:rPr>
          <w:color w:val="0B0B0B"/>
        </w:rPr>
        <w:t>Polytechnic</w:t>
      </w:r>
    </w:p>
    <w:p>
      <w:pPr>
        <w:pStyle w:val="BodyText"/>
        <w:spacing w:before="96"/>
      </w:pPr>
      <w:r>
        <w:rPr/>
        <w:br w:type="column"/>
      </w:r>
      <w:r>
        <w:rPr>
          <w:color w:val="0B0B0B"/>
        </w:rPr>
        <w:t>Institute, 1977.</w:t>
      </w:r>
    </w:p>
    <w:p>
      <w:pPr>
        <w:pStyle w:val="BodyText"/>
        <w:spacing w:line="249" w:lineRule="auto" w:before="187"/>
        <w:ind w:right="793"/>
      </w:pPr>
      <w:r>
        <w:rPr>
          <w:b/>
          <w:color w:val="0B0B0B"/>
        </w:rPr>
        <w:t>Freeman, Pamela Clarkson</w:t>
      </w:r>
      <w:r>
        <w:rPr>
          <w:color w:val="0B0B0B"/>
        </w:rPr>
        <w:t>, (A), Assistant Professor, School of Social Work. PhD, University at Albany, State University of New York, 2007; MSW, University at Albany, State University of New York; 1999, BA, Hartwick College, 1996.</w:t>
      </w:r>
    </w:p>
    <w:p>
      <w:pPr>
        <w:pStyle w:val="BodyText"/>
        <w:spacing w:line="249" w:lineRule="auto" w:before="187"/>
        <w:ind w:right="815"/>
      </w:pPr>
      <w:r>
        <w:rPr>
          <w:b/>
          <w:color w:val="0B0B0B"/>
        </w:rPr>
        <w:t>Frenkel, Victor</w:t>
      </w:r>
      <w:r>
        <w:rPr>
          <w:color w:val="0B0B0B"/>
        </w:rPr>
        <w:t>, (R), Associate Professor, Diagnostic Radiology and Nuclear Medicine, School of Medicine. PhD, Israel Institute of Technology, 1999; MS, Tel Aviv University, 1995; BS, Hebrew University of Jerusalem, 1991.</w:t>
      </w:r>
    </w:p>
    <w:p>
      <w:pPr>
        <w:pStyle w:val="BodyText"/>
        <w:spacing w:line="249" w:lineRule="auto" w:before="181"/>
        <w:ind w:right="999"/>
      </w:pPr>
      <w:r>
        <w:rPr>
          <w:b/>
          <w:color w:val="0B0B0B"/>
        </w:rPr>
        <w:t>Frey, Jodi</w:t>
      </w:r>
      <w:r>
        <w:rPr>
          <w:color w:val="0B0B0B"/>
        </w:rPr>
        <w:t>, (R), Associate Professor, School of Social Work. PhD, University of Maryland, Baltimore, 2004; MSW, University of Maryland, Baltimore, 1998; BS, University of Maryland, 1996.</w:t>
      </w:r>
    </w:p>
    <w:p>
      <w:pPr>
        <w:pStyle w:val="BodyText"/>
        <w:spacing w:line="249" w:lineRule="auto"/>
        <w:ind w:right="1226"/>
      </w:pPr>
      <w:r>
        <w:rPr>
          <w:b/>
          <w:color w:val="0B0B0B"/>
        </w:rPr>
        <w:t>Fried, Jacquelyn</w:t>
      </w:r>
      <w:r>
        <w:rPr>
          <w:color w:val="0B0B0B"/>
        </w:rPr>
        <w:t>, (A), Associate Professor, Dental Hygiene, School of Dentistry. MS, Old Dominion University, 1976; BA, Ohio State University, 1968.</w:t>
      </w:r>
    </w:p>
    <w:p>
      <w:pPr>
        <w:pStyle w:val="BodyText"/>
        <w:spacing w:line="249" w:lineRule="auto" w:before="180"/>
        <w:ind w:right="1132"/>
      </w:pPr>
      <w:r>
        <w:rPr>
          <w:b/>
          <w:color w:val="0B0B0B"/>
        </w:rPr>
        <w:t>Friedmann, Erika</w:t>
      </w:r>
      <w:r>
        <w:rPr>
          <w:color w:val="0B0B0B"/>
        </w:rPr>
        <w:t>, (R), Professor, Organizational Systems and Adult Health, School of Nursing. PhD, University of Pennsylvania, 1978; BA, University of Pennsylvania, 1973.</w:t>
      </w:r>
    </w:p>
    <w:p>
      <w:pPr>
        <w:pStyle w:val="BodyText"/>
        <w:spacing w:line="249" w:lineRule="auto"/>
        <w:ind w:right="648"/>
      </w:pPr>
      <w:r>
        <w:rPr>
          <w:b/>
          <w:color w:val="0B0B0B"/>
        </w:rPr>
        <w:t>Frieman, Matthew</w:t>
      </w:r>
      <w:r>
        <w:rPr>
          <w:color w:val="0B0B0B"/>
        </w:rPr>
        <w:t>, (A), Assistant Professor, Microbiology and Immunology, School of Medicine. PhD, Johns Hopkins University, 2004; BA, Washington University, 1998.</w:t>
      </w:r>
    </w:p>
    <w:p>
      <w:pPr>
        <w:pStyle w:val="BodyText"/>
        <w:spacing w:line="249" w:lineRule="auto" w:before="181"/>
        <w:ind w:right="1010"/>
      </w:pPr>
      <w:r>
        <w:rPr>
          <w:b/>
          <w:color w:val="0B0B0B"/>
        </w:rPr>
        <w:t>Frost, Douglas</w:t>
      </w:r>
      <w:r>
        <w:rPr>
          <w:color w:val="0B0B0B"/>
        </w:rPr>
        <w:t>, (R), Professor, Pharmacology and Experimental Therapeutics, School of Medicine. PhD, Massachusetts Institute of Technology, 1975; MS, Massachusetts Institute of Technology, 1971; BS, Massachusetts Institute of Technology, 1971.</w:t>
      </w:r>
    </w:p>
    <w:p>
      <w:pPr>
        <w:pStyle w:val="BodyText"/>
        <w:spacing w:line="249" w:lineRule="auto" w:before="186"/>
        <w:ind w:right="865"/>
      </w:pPr>
      <w:r>
        <w:rPr>
          <w:b/>
          <w:color w:val="0B0B0B"/>
        </w:rPr>
        <w:t>Fu, Mao</w:t>
      </w:r>
      <w:r>
        <w:rPr>
          <w:color w:val="0B0B0B"/>
        </w:rPr>
        <w:t>, (A), Assistant Professor, School of Medicine. PhD, West China University, 1998; MS, West China University, 1995; MBBS, West China University, 1987.</w:t>
      </w:r>
    </w:p>
    <w:p>
      <w:pPr>
        <w:pStyle w:val="BodyText"/>
        <w:spacing w:line="249" w:lineRule="auto" w:before="180"/>
        <w:ind w:right="676"/>
      </w:pPr>
      <w:r>
        <w:rPr>
          <w:b/>
          <w:color w:val="0B0B0B"/>
        </w:rPr>
        <w:t>Fulton, Amy</w:t>
      </w:r>
      <w:r>
        <w:rPr>
          <w:color w:val="0B0B0B"/>
        </w:rPr>
        <w:t>, (R), Professor, Pathology, School of Medicine. PhD, University of Wisconsin, 1977; MS, University of Wisconsin, 1975; BA, University of Kansas, 1972.</w:t>
      </w:r>
    </w:p>
    <w:p>
      <w:pPr>
        <w:pStyle w:val="BodyText"/>
        <w:spacing w:line="249" w:lineRule="auto"/>
        <w:ind w:right="609"/>
      </w:pPr>
      <w:r>
        <w:rPr>
          <w:b/>
          <w:color w:val="0B0B0B"/>
        </w:rPr>
        <w:t>Furuno, Jon Paul</w:t>
      </w:r>
      <w:r>
        <w:rPr>
          <w:color w:val="0B0B0B"/>
        </w:rPr>
        <w:t>, (A), Assistant Professor, Epidemiology and Public Health, School of Medicine. PhD, University of Maryland, Baltimore, 2004; MS, University of Maryland, Baltimore, 2001; BS, University of Rhode Island, 1996.</w:t>
      </w:r>
    </w:p>
    <w:p>
      <w:pPr>
        <w:pStyle w:val="BodyText"/>
        <w:spacing w:line="249" w:lineRule="auto" w:before="180"/>
        <w:ind w:right="999"/>
      </w:pPr>
      <w:r>
        <w:rPr>
          <w:b/>
          <w:color w:val="0B0B0B"/>
        </w:rPr>
        <w:t>Galen, James E.</w:t>
      </w:r>
      <w:r>
        <w:rPr>
          <w:color w:val="0B0B0B"/>
        </w:rPr>
        <w:t>, (A), Associate Professor, Center for Vaccine Development, School of Medicine. PhD,</w:t>
      </w:r>
    </w:p>
    <w:p>
      <w:pPr>
        <w:spacing w:after="0" w:line="249" w:lineRule="auto"/>
        <w:sectPr>
          <w:pgSz w:w="12240" w:h="15840"/>
          <w:pgMar w:header="746" w:footer="0" w:top="1320" w:bottom="280" w:left="880" w:right="300"/>
          <w:cols w:num="2" w:equalWidth="0">
            <w:col w:w="4972" w:space="514"/>
            <w:col w:w="5574"/>
          </w:cols>
        </w:sectPr>
      </w:pPr>
    </w:p>
    <w:p>
      <w:pPr>
        <w:pStyle w:val="BodyText"/>
        <w:spacing w:line="249" w:lineRule="auto" w:before="100"/>
        <w:ind w:right="325"/>
      </w:pPr>
      <w:r>
        <w:rPr>
          <w:color w:val="0B0B0B"/>
        </w:rPr>
        <w:t>University of Maryland School of Medicine, 1991; BA, University of Virginia, 1979.</w:t>
      </w:r>
    </w:p>
    <w:p>
      <w:pPr>
        <w:pStyle w:val="BodyText"/>
        <w:spacing w:line="249" w:lineRule="auto" w:before="179"/>
      </w:pPr>
      <w:r>
        <w:rPr>
          <w:b/>
          <w:color w:val="0B0B0B"/>
        </w:rPr>
        <w:t>Galik, Elizabeth, </w:t>
      </w:r>
      <w:r>
        <w:rPr>
          <w:color w:val="0B0B0B"/>
        </w:rPr>
        <w:t>(R), Associate Professor, Organizational Systems and Adult Health, </w:t>
      </w:r>
      <w:r>
        <w:rPr>
          <w:color w:val="0B0B0B"/>
          <w:spacing w:val="-2"/>
        </w:rPr>
        <w:t>School </w:t>
      </w:r>
      <w:r>
        <w:rPr>
          <w:color w:val="0B0B0B"/>
          <w:spacing w:val="-3"/>
        </w:rPr>
        <w:t>of </w:t>
      </w:r>
      <w:r>
        <w:rPr>
          <w:color w:val="0B0B0B"/>
        </w:rPr>
        <w:t>Nursing. PhD, University of Maryland, 2007; </w:t>
      </w:r>
      <w:r>
        <w:rPr>
          <w:color w:val="0B0B0B"/>
          <w:spacing w:val="-3"/>
        </w:rPr>
        <w:t>MSN, Villanova </w:t>
      </w:r>
      <w:r>
        <w:rPr>
          <w:color w:val="0B0B0B"/>
        </w:rPr>
        <w:t>University, 1994; </w:t>
      </w:r>
      <w:r>
        <w:rPr>
          <w:color w:val="0B0B0B"/>
          <w:spacing w:val="-3"/>
        </w:rPr>
        <w:t>BSN, </w:t>
      </w:r>
      <w:r>
        <w:rPr>
          <w:color w:val="0B0B0B"/>
        </w:rPr>
        <w:t>University of Pennsylvania,</w:t>
      </w:r>
      <w:r>
        <w:rPr>
          <w:color w:val="0B0B0B"/>
          <w:spacing w:val="-2"/>
        </w:rPr>
        <w:t> </w:t>
      </w:r>
      <w:r>
        <w:rPr>
          <w:color w:val="0B0B0B"/>
        </w:rPr>
        <w:t>1988.</w:t>
      </w:r>
    </w:p>
    <w:p>
      <w:pPr>
        <w:pStyle w:val="BodyText"/>
        <w:spacing w:line="249" w:lineRule="auto"/>
        <w:ind w:right="117"/>
      </w:pPr>
      <w:r>
        <w:rPr>
          <w:b/>
          <w:color w:val="0B0B0B"/>
        </w:rPr>
        <w:t>Gallo, Robert, </w:t>
      </w:r>
      <w:r>
        <w:rPr>
          <w:color w:val="0B0B0B"/>
        </w:rPr>
        <w:t>(R), Professor, Microbiology and Immunology, </w:t>
      </w:r>
      <w:r>
        <w:rPr>
          <w:color w:val="0B0B0B"/>
          <w:spacing w:val="-2"/>
        </w:rPr>
        <w:t>School </w:t>
      </w:r>
      <w:r>
        <w:rPr>
          <w:color w:val="0B0B0B"/>
        </w:rPr>
        <w:t>of Medicine. MD, Jefferson Medical College, 1963; </w:t>
      </w:r>
      <w:r>
        <w:rPr>
          <w:color w:val="0B0B0B"/>
          <w:spacing w:val="-3"/>
        </w:rPr>
        <w:t>BA, </w:t>
      </w:r>
      <w:r>
        <w:rPr>
          <w:color w:val="0B0B0B"/>
        </w:rPr>
        <w:t>Providence College,</w:t>
      </w:r>
      <w:r>
        <w:rPr>
          <w:color w:val="0B0B0B"/>
          <w:spacing w:val="12"/>
        </w:rPr>
        <w:t> </w:t>
      </w:r>
      <w:r>
        <w:rPr>
          <w:color w:val="0B0B0B"/>
        </w:rPr>
        <w:t>1959.</w:t>
      </w:r>
    </w:p>
    <w:p>
      <w:pPr>
        <w:pStyle w:val="BodyText"/>
        <w:spacing w:line="249" w:lineRule="auto" w:before="180"/>
        <w:ind w:right="486"/>
      </w:pPr>
      <w:r>
        <w:rPr>
          <w:b/>
          <w:color w:val="0B0B0B"/>
        </w:rPr>
        <w:t>Gann, Donald, </w:t>
      </w:r>
      <w:r>
        <w:rPr>
          <w:color w:val="0B0B0B"/>
        </w:rPr>
        <w:t>(R), Professor, Surgery, School of Medicine. MD, Johns Hopkins University, 1956; AB, Dartmouth College, 1952.</w:t>
      </w:r>
    </w:p>
    <w:p>
      <w:pPr>
        <w:pStyle w:val="BodyText"/>
        <w:spacing w:line="249" w:lineRule="auto"/>
        <w:ind w:right="754" w:hanging="1"/>
      </w:pPr>
      <w:r>
        <w:rPr>
          <w:b/>
          <w:color w:val="0B0B0B"/>
        </w:rPr>
        <w:t>Garcin, Elsa, </w:t>
      </w:r>
      <w:r>
        <w:rPr>
          <w:color w:val="0B0B0B"/>
        </w:rPr>
        <w:t>Associate Professor, Chemistry and Biochemistry, School of Medicine.</w:t>
      </w:r>
    </w:p>
    <w:p>
      <w:pPr>
        <w:pStyle w:val="BodyText"/>
        <w:spacing w:line="249" w:lineRule="auto" w:before="179"/>
        <w:ind w:right="45"/>
      </w:pPr>
      <w:r>
        <w:rPr>
          <w:b/>
          <w:color w:val="0B0B0B"/>
        </w:rPr>
        <w:t>Gartenhaus, Ronald B.</w:t>
      </w:r>
      <w:r>
        <w:rPr>
          <w:color w:val="0B0B0B"/>
        </w:rPr>
        <w:t>, (R), Professor, Medicine, School of Medicine. MD, Universidad del Noreste, 1981; BA, State University of New York at Albany, 1977.</w:t>
      </w:r>
    </w:p>
    <w:p>
      <w:pPr>
        <w:pStyle w:val="BodyText"/>
        <w:spacing w:line="249" w:lineRule="auto" w:before="184"/>
        <w:ind w:hanging="1"/>
      </w:pPr>
      <w:r>
        <w:rPr>
          <w:b/>
          <w:color w:val="0B0B0B"/>
        </w:rPr>
        <w:t>Garzino-Demo, Alfredo</w:t>
      </w:r>
      <w:r>
        <w:rPr>
          <w:color w:val="0B0B0B"/>
        </w:rPr>
        <w:t>, (A), Assistant Professor, Microbiology and </w:t>
      </w:r>
      <w:r>
        <w:rPr>
          <w:color w:val="0B0B0B"/>
          <w:spacing w:val="-3"/>
        </w:rPr>
        <w:t>Immunology, </w:t>
      </w:r>
      <w:r>
        <w:rPr>
          <w:color w:val="0B0B0B"/>
          <w:spacing w:val="-2"/>
        </w:rPr>
        <w:t>School </w:t>
      </w:r>
      <w:r>
        <w:rPr>
          <w:color w:val="0B0B0B"/>
        </w:rPr>
        <w:t>of Medicine. </w:t>
      </w:r>
      <w:r>
        <w:rPr>
          <w:color w:val="0B0B0B"/>
          <w:spacing w:val="-3"/>
        </w:rPr>
        <w:t>PhD, </w:t>
      </w:r>
      <w:r>
        <w:rPr>
          <w:color w:val="0B0B0B"/>
        </w:rPr>
        <w:t>University degli Studi di Torino,</w:t>
      </w:r>
      <w:r>
        <w:rPr>
          <w:color w:val="0B0B0B"/>
          <w:spacing w:val="-7"/>
        </w:rPr>
        <w:t> </w:t>
      </w:r>
      <w:r>
        <w:rPr>
          <w:color w:val="0B0B0B"/>
        </w:rPr>
        <w:t>1988.</w:t>
      </w:r>
    </w:p>
    <w:p>
      <w:pPr>
        <w:pStyle w:val="BodyText"/>
        <w:spacing w:line="249" w:lineRule="auto" w:before="180"/>
        <w:ind w:right="70"/>
      </w:pPr>
      <w:r>
        <w:rPr>
          <w:b/>
          <w:color w:val="0B0B0B"/>
        </w:rPr>
        <w:t>Gearhart, Patricia J.</w:t>
      </w:r>
      <w:r>
        <w:rPr>
          <w:color w:val="0B0B0B"/>
        </w:rPr>
        <w:t>, (A), </w:t>
      </w:r>
      <w:r>
        <w:rPr>
          <w:color w:val="0B0B0B"/>
          <w:spacing w:val="-3"/>
        </w:rPr>
        <w:t>Senior </w:t>
      </w:r>
      <w:r>
        <w:rPr>
          <w:color w:val="0B0B0B"/>
        </w:rPr>
        <w:t>Investigator, Microbiology and </w:t>
      </w:r>
      <w:r>
        <w:rPr>
          <w:color w:val="0B0B0B"/>
          <w:spacing w:val="-3"/>
        </w:rPr>
        <w:t>Immunology, </w:t>
      </w:r>
      <w:r>
        <w:rPr>
          <w:color w:val="0B0B0B"/>
          <w:spacing w:val="-2"/>
        </w:rPr>
        <w:t>School </w:t>
      </w:r>
      <w:r>
        <w:rPr>
          <w:color w:val="0B0B0B"/>
        </w:rPr>
        <w:t>of Medicine. </w:t>
      </w:r>
      <w:r>
        <w:rPr>
          <w:color w:val="0B0B0B"/>
          <w:spacing w:val="-3"/>
        </w:rPr>
        <w:t>PhD, </w:t>
      </w:r>
      <w:r>
        <w:rPr>
          <w:color w:val="0B0B0B"/>
        </w:rPr>
        <w:t>University of Pennsylvania, 1974; </w:t>
      </w:r>
      <w:r>
        <w:rPr>
          <w:color w:val="0B0B0B"/>
          <w:spacing w:val="-3"/>
        </w:rPr>
        <w:t>MS, </w:t>
      </w:r>
      <w:r>
        <w:rPr>
          <w:color w:val="0B0B0B"/>
        </w:rPr>
        <w:t>Cornell University, 1969; </w:t>
      </w:r>
      <w:r>
        <w:rPr>
          <w:color w:val="0B0B0B"/>
          <w:spacing w:val="-3"/>
        </w:rPr>
        <w:t>BS, </w:t>
      </w:r>
      <w:r>
        <w:rPr>
          <w:color w:val="0B0B0B"/>
        </w:rPr>
        <w:t>University of Illinois,</w:t>
      </w:r>
      <w:r>
        <w:rPr>
          <w:color w:val="0B0B0B"/>
          <w:spacing w:val="-2"/>
        </w:rPr>
        <w:t> </w:t>
      </w:r>
      <w:r>
        <w:rPr>
          <w:color w:val="0B0B0B"/>
        </w:rPr>
        <w:t>1967.</w:t>
      </w:r>
    </w:p>
    <w:p>
      <w:pPr>
        <w:pStyle w:val="BodyText"/>
        <w:spacing w:line="249" w:lineRule="auto"/>
        <w:ind w:right="97"/>
      </w:pPr>
      <w:r>
        <w:rPr>
          <w:b/>
          <w:color w:val="0B0B0B"/>
        </w:rPr>
        <w:t>Geigle, Paula R.</w:t>
      </w:r>
      <w:r>
        <w:rPr>
          <w:color w:val="0B0B0B"/>
        </w:rPr>
        <w:t>, (A), Assistant Professor, Physical Therapy and Rehabilitation Science, School of Medicine. PhD, University of Delaware, 2001; MS, University of Delaware, 1992; BS, Pennsylvania State University, 1980.</w:t>
      </w:r>
    </w:p>
    <w:p>
      <w:pPr>
        <w:pStyle w:val="BodyText"/>
        <w:spacing w:line="249" w:lineRule="auto" w:before="181"/>
        <w:ind w:right="187"/>
      </w:pPr>
      <w:r>
        <w:rPr>
          <w:b/>
          <w:color w:val="0B0B0B"/>
        </w:rPr>
        <w:t>Giglio, Michelle G.</w:t>
      </w:r>
      <w:r>
        <w:rPr>
          <w:color w:val="0B0B0B"/>
        </w:rPr>
        <w:t>, (A), Assistant Professor, Epidemiology and Human Genetics, School of Medicine. PhD, Johns Hopkins University, 1997; BS, University of Maryland, 1990.</w:t>
      </w:r>
    </w:p>
    <w:p>
      <w:pPr>
        <w:pStyle w:val="BodyText"/>
        <w:spacing w:line="249" w:lineRule="auto"/>
        <w:ind w:right="53"/>
      </w:pPr>
      <w:r>
        <w:rPr>
          <w:b/>
          <w:color w:val="0B0B0B"/>
        </w:rPr>
        <w:t>Gilden, Robyn</w:t>
      </w:r>
      <w:r>
        <w:rPr>
          <w:color w:val="0B0B0B"/>
        </w:rPr>
        <w:t>, (A), Assistant Professor, Family and Community Health, School of Nursing. PhD, University of Maryland, 2010; MS, University of Maryland, 2003; BSN, Salisbury State University, 1997.</w:t>
      </w:r>
    </w:p>
    <w:p>
      <w:pPr>
        <w:pStyle w:val="BodyText"/>
        <w:spacing w:line="249" w:lineRule="auto" w:before="181"/>
        <w:ind w:right="36"/>
      </w:pPr>
      <w:r>
        <w:rPr>
          <w:b/>
          <w:color w:val="0B0B0B"/>
        </w:rPr>
        <w:t>Gioia, Deborah</w:t>
      </w:r>
      <w:r>
        <w:rPr>
          <w:color w:val="0B0B0B"/>
        </w:rPr>
        <w:t>, (R), Assistant Professor, School of Social Work. PhD, University of Southern California, 2000; MSSW, Columbia University, 1981; BA, Northeastern University, 1977.</w:t>
      </w:r>
    </w:p>
    <w:p>
      <w:pPr>
        <w:pStyle w:val="BodyText"/>
        <w:spacing w:line="249" w:lineRule="auto"/>
        <w:ind w:right="64"/>
      </w:pPr>
      <w:r>
        <w:rPr>
          <w:b/>
          <w:color w:val="0B0B0B"/>
        </w:rPr>
        <w:t>Glaser, Edmund</w:t>
      </w:r>
      <w:r>
        <w:rPr>
          <w:color w:val="0B0B0B"/>
        </w:rPr>
        <w:t>, (R), Professor, Physiology, School of Medicine. DEng, Johns Hopkins University, 1960; MSE, Johns Hopkins University, 1954; BEE, The Cooper Union, 1949.</w:t>
      </w:r>
    </w:p>
    <w:p>
      <w:pPr>
        <w:pStyle w:val="BodyText"/>
        <w:spacing w:line="249" w:lineRule="auto" w:before="96"/>
        <w:ind w:right="671"/>
      </w:pPr>
      <w:r>
        <w:rPr/>
        <w:br w:type="column"/>
      </w:r>
      <w:r>
        <w:rPr>
          <w:b/>
          <w:color w:val="0B0B0B"/>
        </w:rPr>
        <w:t>Gnatt , Averell</w:t>
      </w:r>
      <w:r>
        <w:rPr>
          <w:color w:val="0B0B0B"/>
        </w:rPr>
        <w:t>, (R), Assistant Professor, Pharmacology and Experimental Therapeutics, School of Medicine. PhD, Hebrew University of Jerusalem, 1991; MS, Weizmann Institute of Science, 1986; BS, Bar-Ilan University, 1984.</w:t>
      </w:r>
    </w:p>
    <w:p>
      <w:pPr>
        <w:pStyle w:val="BodyText"/>
        <w:spacing w:line="249" w:lineRule="auto" w:before="180"/>
        <w:ind w:right="910"/>
      </w:pPr>
      <w:r>
        <w:rPr>
          <w:b/>
          <w:color w:val="0B0B0B"/>
        </w:rPr>
        <w:t>Gobburu, Joga</w:t>
      </w:r>
      <w:r>
        <w:rPr>
          <w:color w:val="0B0B0B"/>
        </w:rPr>
        <w:t>, (R), Professor, Pharmacy Practice and Science, School of Pharmacy. MBA, Johns Hopkins University, 2011; PhD, North Dakota State University, 1996; MS, Birla Institute of Technology and Sciences, 1992.</w:t>
      </w:r>
    </w:p>
    <w:p>
      <w:pPr>
        <w:pStyle w:val="BodyText"/>
        <w:spacing w:line="249" w:lineRule="auto" w:before="186"/>
        <w:ind w:right="804"/>
      </w:pPr>
      <w:r>
        <w:rPr>
          <w:b/>
          <w:color w:val="0B0B0B"/>
        </w:rPr>
        <w:t>Goldblum, Simeon</w:t>
      </w:r>
      <w:r>
        <w:rPr>
          <w:color w:val="0B0B0B"/>
        </w:rPr>
        <w:t>, (R), Professor, Medicine, School of Medicine. MD, University of Pittsburgh, 1973; BA, University of Michigan, 1969.</w:t>
      </w:r>
    </w:p>
    <w:p>
      <w:pPr>
        <w:pStyle w:val="BodyText"/>
        <w:spacing w:line="249" w:lineRule="auto" w:before="180"/>
        <w:ind w:right="609"/>
      </w:pPr>
      <w:r>
        <w:rPr>
          <w:b/>
          <w:color w:val="0B0B0B"/>
        </w:rPr>
        <w:t>Golding, Amit</w:t>
      </w:r>
      <w:r>
        <w:rPr>
          <w:color w:val="0B0B0B"/>
        </w:rPr>
        <w:t>, (A), Assistant Professor, Rheumatology and Clinical Immunology, School of Medicine. PhD, Johns Hopkins University, 2002; MD, Johns Hopkins University, 2002; BS, Cornell University, 1994.</w:t>
      </w:r>
    </w:p>
    <w:p>
      <w:pPr>
        <w:pStyle w:val="BodyText"/>
        <w:spacing w:line="249" w:lineRule="auto" w:before="186"/>
        <w:ind w:right="712" w:hanging="1"/>
      </w:pPr>
      <w:r>
        <w:rPr>
          <w:b/>
          <w:color w:val="0B0B0B"/>
        </w:rPr>
        <w:t>Goldman, Lawrence</w:t>
      </w:r>
      <w:r>
        <w:rPr>
          <w:color w:val="0B0B0B"/>
        </w:rPr>
        <w:t>, (R), Professor, Physiology, School of Medicine. PhD, University of California, 1964; BS, Tufts University, 1958.</w:t>
      </w:r>
    </w:p>
    <w:p>
      <w:pPr>
        <w:pStyle w:val="BodyText"/>
        <w:spacing w:line="249" w:lineRule="auto" w:before="179"/>
        <w:ind w:right="727"/>
      </w:pPr>
      <w:r>
        <w:rPr>
          <w:b/>
          <w:color w:val="0B0B0B"/>
        </w:rPr>
        <w:t>Goloubeva, Olga</w:t>
      </w:r>
      <w:r>
        <w:rPr>
          <w:color w:val="0B0B0B"/>
        </w:rPr>
        <w:t>, (R), Professor, Epidemiology and Public Health, School of Medicine. PhD, State Technical University (Russia), 1983; MSc, Dalhousie University (Canada), 1999; MSc, National University of Science and Technology (Russia), 1979.</w:t>
      </w:r>
    </w:p>
    <w:p>
      <w:pPr>
        <w:pStyle w:val="BodyText"/>
        <w:spacing w:line="249" w:lineRule="auto" w:before="186"/>
        <w:ind w:right="904" w:hanging="1"/>
      </w:pPr>
      <w:r>
        <w:rPr>
          <w:b/>
          <w:color w:val="0B0B0B"/>
        </w:rPr>
        <w:t>Gong, Da-Wei</w:t>
      </w:r>
      <w:r>
        <w:rPr>
          <w:color w:val="0B0B0B"/>
        </w:rPr>
        <w:t>, (R), Associate Professor, Molecular Medicine, School of Medicine. MD, Suzhou University School of Medicine, 1982; MMS, Zhejiang Medical University, 1986; DMS, Shanghai Medical University, 1990.</w:t>
      </w:r>
    </w:p>
    <w:p>
      <w:pPr>
        <w:pStyle w:val="BodyText"/>
        <w:spacing w:line="249" w:lineRule="auto" w:before="182"/>
        <w:ind w:right="712"/>
      </w:pPr>
      <w:r>
        <w:rPr>
          <w:b/>
          <w:color w:val="0B0B0B"/>
        </w:rPr>
        <w:t>Gonzalez, Frank</w:t>
      </w:r>
      <w:r>
        <w:rPr>
          <w:color w:val="0B0B0B"/>
        </w:rPr>
        <w:t>, (S), </w:t>
      </w:r>
      <w:r>
        <w:rPr>
          <w:color w:val="0B0B0B"/>
          <w:spacing w:val="-3"/>
        </w:rPr>
        <w:t>Chief, </w:t>
      </w:r>
      <w:r>
        <w:rPr>
          <w:color w:val="0B0B0B"/>
        </w:rPr>
        <w:t>Nucleic Acids Section, Laboratory of Molecular Carcinogenesis, </w:t>
      </w:r>
      <w:r>
        <w:rPr>
          <w:color w:val="0B0B0B"/>
          <w:spacing w:val="-3"/>
        </w:rPr>
        <w:t>PhD, </w:t>
      </w:r>
      <w:r>
        <w:rPr>
          <w:color w:val="0B0B0B"/>
        </w:rPr>
        <w:t>University of Wisconsin, 1981; MA, University of South Florida, 1977; </w:t>
      </w:r>
      <w:r>
        <w:rPr>
          <w:color w:val="0B0B0B"/>
          <w:spacing w:val="-3"/>
        </w:rPr>
        <w:t>BA, </w:t>
      </w:r>
      <w:r>
        <w:rPr>
          <w:color w:val="0B0B0B"/>
        </w:rPr>
        <w:t>University of South Florida,</w:t>
      </w:r>
      <w:r>
        <w:rPr>
          <w:color w:val="0B0B0B"/>
          <w:spacing w:val="4"/>
        </w:rPr>
        <w:t> </w:t>
      </w:r>
      <w:r>
        <w:rPr>
          <w:color w:val="0B0B0B"/>
        </w:rPr>
        <w:t>1975.</w:t>
      </w:r>
    </w:p>
    <w:p>
      <w:pPr>
        <w:pStyle w:val="BodyText"/>
        <w:spacing w:line="249" w:lineRule="auto"/>
        <w:ind w:right="651"/>
      </w:pPr>
      <w:r>
        <w:rPr>
          <w:b/>
          <w:color w:val="0B0B0B"/>
        </w:rPr>
        <w:t>Gonzalez-Serratos</w:t>
      </w:r>
      <w:r>
        <w:rPr>
          <w:color w:val="0B0B0B"/>
        </w:rPr>
        <w:t>, </w:t>
      </w:r>
      <w:r>
        <w:rPr>
          <w:color w:val="0B0B0B"/>
          <w:spacing w:val="-3"/>
        </w:rPr>
        <w:t>Hugo, </w:t>
      </w:r>
      <w:r>
        <w:rPr>
          <w:color w:val="0B0B0B"/>
        </w:rPr>
        <w:t>(R), Professor, </w:t>
      </w:r>
      <w:r>
        <w:rPr>
          <w:color w:val="0B0B0B"/>
          <w:spacing w:val="-3"/>
        </w:rPr>
        <w:t>Physiology, </w:t>
      </w:r>
      <w:r>
        <w:rPr>
          <w:color w:val="0B0B0B"/>
          <w:spacing w:val="-2"/>
        </w:rPr>
        <w:t>School </w:t>
      </w:r>
      <w:r>
        <w:rPr>
          <w:color w:val="0B0B0B"/>
        </w:rPr>
        <w:t>of Medicine. PhD, University of London, 1967; MS, Centro de Investigación y de Estudios Avanzados</w:t>
      </w:r>
      <w:r>
        <w:rPr>
          <w:color w:val="0B0B0B"/>
          <w:spacing w:val="-20"/>
        </w:rPr>
        <w:t> </w:t>
      </w:r>
      <w:r>
        <w:rPr>
          <w:color w:val="0B0B0B"/>
        </w:rPr>
        <w:t>del IPN, 1963; MD, University of Mexico,</w:t>
      </w:r>
      <w:r>
        <w:rPr>
          <w:color w:val="0B0B0B"/>
          <w:spacing w:val="-3"/>
        </w:rPr>
        <w:t> </w:t>
      </w:r>
      <w:r>
        <w:rPr>
          <w:color w:val="0B0B0B"/>
        </w:rPr>
        <w:t>1957.</w:t>
      </w:r>
    </w:p>
    <w:p>
      <w:pPr>
        <w:pStyle w:val="BodyText"/>
        <w:spacing w:line="249" w:lineRule="auto" w:before="181"/>
        <w:ind w:right="807"/>
      </w:pPr>
      <w:r>
        <w:rPr>
          <w:b/>
          <w:color w:val="0B0B0B"/>
        </w:rPr>
        <w:t>Goo, Young Ah</w:t>
      </w:r>
      <w:r>
        <w:rPr>
          <w:color w:val="0B0B0B"/>
        </w:rPr>
        <w:t>, (A), Research Assistant Professor, Pharmaceutical Sciences, School of Pharmacy. PhD, University of Washington, 2002; MSc, University of Washington, 1994; BSc, Chonnam National University, 1990.</w:t>
      </w:r>
    </w:p>
    <w:p>
      <w:pPr>
        <w:pStyle w:val="BodyText"/>
        <w:spacing w:line="249" w:lineRule="auto" w:before="186"/>
        <w:ind w:right="664"/>
      </w:pPr>
      <w:r>
        <w:rPr>
          <w:b/>
          <w:color w:val="0B0B0B"/>
        </w:rPr>
        <w:t>Goodlett, David</w:t>
      </w:r>
      <w:r>
        <w:rPr>
          <w:color w:val="0B0B0B"/>
        </w:rPr>
        <w:t>, (R), Professor, Pharmaceutical</w:t>
      </w:r>
      <w:r>
        <w:rPr>
          <w:color w:val="0B0B0B"/>
          <w:spacing w:val="-20"/>
        </w:rPr>
        <w:t> </w:t>
      </w:r>
      <w:r>
        <w:rPr>
          <w:color w:val="0B0B0B"/>
        </w:rPr>
        <w:t>Sciences, School of Pharmacy. PhD, </w:t>
      </w:r>
      <w:r>
        <w:rPr>
          <w:color w:val="0B0B0B"/>
          <w:spacing w:val="-3"/>
        </w:rPr>
        <w:t>North </w:t>
      </w:r>
      <w:r>
        <w:rPr>
          <w:color w:val="0B0B0B"/>
        </w:rPr>
        <w:t>Carolina State University, 1991; MS, Auburn University, 1986;</w:t>
      </w:r>
      <w:r>
        <w:rPr>
          <w:color w:val="0B0B0B"/>
          <w:spacing w:val="6"/>
        </w:rPr>
        <w:t> </w:t>
      </w:r>
      <w:r>
        <w:rPr>
          <w:color w:val="0B0B0B"/>
          <w:spacing w:val="-3"/>
        </w:rPr>
        <w:t>BS,</w:t>
      </w:r>
    </w:p>
    <w:p>
      <w:pPr>
        <w:spacing w:after="0" w:line="249" w:lineRule="auto"/>
        <w:sectPr>
          <w:headerReference w:type="even" r:id="rId118"/>
          <w:headerReference w:type="default" r:id="rId119"/>
          <w:pgSz w:w="12240" w:h="15840"/>
          <w:pgMar w:header="746" w:footer="0" w:top="1320" w:bottom="280" w:left="880" w:right="300"/>
          <w:pgNumType w:start="182"/>
          <w:cols w:num="2" w:equalWidth="0">
            <w:col w:w="4995" w:space="491"/>
            <w:col w:w="5574"/>
          </w:cols>
        </w:sectPr>
      </w:pPr>
    </w:p>
    <w:p>
      <w:pPr>
        <w:pStyle w:val="BodyText"/>
        <w:spacing w:before="100"/>
      </w:pPr>
      <w:r>
        <w:rPr>
          <w:color w:val="0B0B0B"/>
        </w:rPr>
        <w:t>Auburn University, 1982.</w:t>
      </w:r>
    </w:p>
    <w:p>
      <w:pPr>
        <w:pStyle w:val="BodyText"/>
        <w:spacing w:line="249" w:lineRule="auto" w:before="187"/>
        <w:ind w:left="199" w:right="58"/>
      </w:pPr>
      <w:r>
        <w:rPr>
          <w:b/>
          <w:color w:val="0B0B0B"/>
        </w:rPr>
        <w:t>Goodman, Harold</w:t>
      </w:r>
      <w:r>
        <w:rPr>
          <w:color w:val="0B0B0B"/>
        </w:rPr>
        <w:t>, (A), Associate Professor, Pediatric Dentistry, School of Dentistry. MPH, Johns Hopkins University, 1986; DDS, College of Medicine and Dentistry of New Jersey, 1975; BA, Rutgers University, 1972.</w:t>
      </w:r>
    </w:p>
    <w:p>
      <w:pPr>
        <w:pStyle w:val="BodyText"/>
        <w:spacing w:line="249" w:lineRule="auto" w:before="186"/>
        <w:ind w:right="124"/>
      </w:pPr>
      <w:r>
        <w:rPr>
          <w:b/>
          <w:color w:val="0B0B0B"/>
        </w:rPr>
        <w:t>Gopalakrishnan, Mathangi</w:t>
      </w:r>
      <w:r>
        <w:rPr>
          <w:color w:val="0B0B0B"/>
        </w:rPr>
        <w:t>, (A), Research Assistant Professor, Pharmacy Practice and Services, School of Pharmacy. PhD, University of Maryland, Baltimore County, 2013; MS, University of Maryland, Baltimore County, 2007; MPharm, Birla Institute of Technology and Science, 1998.</w:t>
      </w:r>
    </w:p>
    <w:p>
      <w:pPr>
        <w:pStyle w:val="BodyText"/>
        <w:spacing w:line="249" w:lineRule="auto" w:before="182"/>
        <w:ind w:right="296"/>
      </w:pPr>
      <w:r>
        <w:rPr>
          <w:b/>
          <w:color w:val="0B0B0B"/>
        </w:rPr>
        <w:t>Gopalan, Geetha</w:t>
      </w:r>
      <w:r>
        <w:rPr>
          <w:color w:val="0B0B0B"/>
        </w:rPr>
        <w:t>, (R ), Assistant Professor, School of Social Work. PhD, Columbia University, 2009; MSSW, Columbia University, 1999; BS, University of North Carolina, 1996.</w:t>
      </w:r>
    </w:p>
    <w:p>
      <w:pPr>
        <w:pStyle w:val="BodyText"/>
        <w:spacing w:line="249" w:lineRule="auto"/>
        <w:ind w:left="199" w:right="119"/>
      </w:pPr>
      <w:r>
        <w:rPr>
          <w:b/>
          <w:color w:val="0B0B0B"/>
        </w:rPr>
        <w:t>Gordes, Karen, </w:t>
      </w:r>
      <w:r>
        <w:rPr>
          <w:color w:val="0B0B0B"/>
        </w:rPr>
        <w:t>(A), Associate Professor, Graduate School. BS, University of Maryland College Park, 1996; MS, University of Maryland Baltimore, 1998; DPT, 2003; PhD, UMBC, 2014.</w:t>
      </w:r>
    </w:p>
    <w:p>
      <w:pPr>
        <w:pStyle w:val="BodyText"/>
        <w:spacing w:line="249" w:lineRule="auto" w:before="180"/>
        <w:ind w:left="199" w:right="25"/>
      </w:pPr>
      <w:r>
        <w:rPr>
          <w:b/>
          <w:color w:val="0B0B0B"/>
        </w:rPr>
        <w:t>Gordon, Sharon M.</w:t>
      </w:r>
      <w:r>
        <w:rPr>
          <w:color w:val="0B0B0B"/>
        </w:rPr>
        <w:t>, (A), Associate Professor, Biomedical Sciences, School of Dentistry. PhD, Johns Hopkins University, 2003; MPA, Johns Hopkins University, 1996; DDS, University of Texas Health Science Center, 1991.</w:t>
      </w:r>
    </w:p>
    <w:p>
      <w:pPr>
        <w:pStyle w:val="BodyText"/>
        <w:spacing w:line="249" w:lineRule="auto" w:before="186"/>
        <w:ind w:left="199" w:right="452"/>
      </w:pPr>
      <w:r>
        <w:rPr>
          <w:b/>
          <w:color w:val="0B0B0B"/>
        </w:rPr>
        <w:t>Gorman, Emily, </w:t>
      </w:r>
      <w:r>
        <w:rPr>
          <w:color w:val="0B0B0B"/>
        </w:rPr>
        <w:t>(A), Librarian. BA, University of Virginia, 2013; MLIS, University of Pittsburgh, 2014.</w:t>
      </w:r>
    </w:p>
    <w:p>
      <w:pPr>
        <w:pStyle w:val="BodyText"/>
        <w:spacing w:line="249" w:lineRule="auto" w:before="179"/>
        <w:ind w:left="199" w:right="336"/>
        <w:jc w:val="both"/>
      </w:pPr>
      <w:r>
        <w:rPr>
          <w:b/>
          <w:color w:val="0B0B0B"/>
        </w:rPr>
        <w:t>Gottlieb, Stephen</w:t>
      </w:r>
      <w:r>
        <w:rPr>
          <w:color w:val="0B0B0B"/>
        </w:rPr>
        <w:t>, (A), Associate Professor, Medicine, School of Medicine. MD, </w:t>
      </w:r>
      <w:r>
        <w:rPr>
          <w:color w:val="0B0B0B"/>
          <w:spacing w:val="-3"/>
        </w:rPr>
        <w:t>Brown </w:t>
      </w:r>
      <w:r>
        <w:rPr>
          <w:color w:val="0B0B0B"/>
        </w:rPr>
        <w:t>University, 1981; </w:t>
      </w:r>
      <w:r>
        <w:rPr>
          <w:color w:val="0B0B0B"/>
          <w:spacing w:val="-4"/>
        </w:rPr>
        <w:t>AB, </w:t>
      </w:r>
      <w:r>
        <w:rPr>
          <w:color w:val="0B0B0B"/>
        </w:rPr>
        <w:t>Brown University, 1977.</w:t>
      </w:r>
    </w:p>
    <w:p>
      <w:pPr>
        <w:pStyle w:val="BodyText"/>
        <w:spacing w:line="249" w:lineRule="auto" w:before="184"/>
        <w:ind w:left="199" w:right="758"/>
        <w:jc w:val="both"/>
      </w:pPr>
      <w:r>
        <w:rPr>
          <w:b/>
          <w:color w:val="0B0B0B"/>
        </w:rPr>
        <w:t>Gould, Todd</w:t>
      </w:r>
      <w:r>
        <w:rPr>
          <w:color w:val="0B0B0B"/>
        </w:rPr>
        <w:t>, (R), Assistant Professor, Molecular Medicine, School of Medicine. MD, University of Virginia, 2001; BS, Loch Haven University, 1996.</w:t>
      </w:r>
    </w:p>
    <w:p>
      <w:pPr>
        <w:pStyle w:val="BodyText"/>
        <w:spacing w:line="249" w:lineRule="auto" w:before="180"/>
        <w:ind w:left="199" w:right="197"/>
      </w:pPr>
      <w:r>
        <w:rPr>
          <w:b/>
          <w:color w:val="0B0B0B"/>
        </w:rPr>
        <w:t>Gourley, Bridgitte</w:t>
      </w:r>
      <w:r>
        <w:rPr>
          <w:color w:val="0B0B0B"/>
        </w:rPr>
        <w:t>, (A), Assistant Professor, Family and Community Health, School of Nursing. DNP, University of Maryland, 2008; MSN, Johns Hopkins University, 2000; BSN, Johns Hopkins University, 1998.</w:t>
      </w:r>
    </w:p>
    <w:p>
      <w:pPr>
        <w:pStyle w:val="BodyText"/>
        <w:spacing w:line="249" w:lineRule="auto" w:before="186"/>
        <w:ind w:left="199" w:right="147"/>
      </w:pPr>
      <w:r>
        <w:rPr>
          <w:b/>
          <w:color w:val="0B0B0B"/>
        </w:rPr>
        <w:t>Grace, Edward</w:t>
      </w:r>
      <w:r>
        <w:rPr>
          <w:color w:val="0B0B0B"/>
        </w:rPr>
        <w:t>, (A), Associate Professor, Oral Health Care Delivery, School of Dentistry. MA, Loyola College, 1981; DDS, University of Maryland, 1964, BS, Mount St. Mary’s College, 1960.</w:t>
      </w:r>
    </w:p>
    <w:p>
      <w:pPr>
        <w:pStyle w:val="BodyText"/>
        <w:spacing w:line="249" w:lineRule="auto" w:before="180"/>
        <w:ind w:left="199"/>
      </w:pPr>
      <w:r>
        <w:rPr>
          <w:b/>
          <w:color w:val="0B0B0B"/>
        </w:rPr>
        <w:t>Grant, Marian</w:t>
      </w:r>
      <w:r>
        <w:rPr>
          <w:color w:val="0B0B0B"/>
        </w:rPr>
        <w:t>, (A), Associate Professor, Organizational Systems and Adult Health, School of Nursing. DNP, University of Maryland, Baltimore, 2010; MS, Johns Hopkins University, 2005; BS, Johns Hopkins University, 2000.</w:t>
      </w:r>
    </w:p>
    <w:p>
      <w:pPr>
        <w:pStyle w:val="BodyText"/>
        <w:spacing w:line="249" w:lineRule="auto" w:before="96"/>
        <w:ind w:left="199" w:right="993"/>
      </w:pPr>
      <w:r>
        <w:rPr/>
        <w:br w:type="column"/>
      </w:r>
      <w:r>
        <w:rPr>
          <w:b/>
          <w:color w:val="0B0B0B"/>
        </w:rPr>
        <w:t>Grattan, Lynn</w:t>
      </w:r>
      <w:r>
        <w:rPr>
          <w:color w:val="0B0B0B"/>
        </w:rPr>
        <w:t>, (A), Associate Professor, Neurology, School of Medicine. PhD, University of Connecticut, 1989; MS, American International College, 1977; BA, Seton Hill College, 1975.</w:t>
      </w:r>
    </w:p>
    <w:p>
      <w:pPr>
        <w:pStyle w:val="BodyText"/>
        <w:spacing w:line="249" w:lineRule="auto" w:before="180"/>
        <w:ind w:left="199" w:right="625"/>
        <w:jc w:val="both"/>
      </w:pPr>
      <w:r>
        <w:rPr>
          <w:b/>
          <w:color w:val="0B0B0B"/>
        </w:rPr>
        <w:t>Greene, Carol Lynn</w:t>
      </w:r>
      <w:r>
        <w:rPr>
          <w:color w:val="0B0B0B"/>
        </w:rPr>
        <w:t>, (A), Professor, Pediatrics, School of Medicine. MD, Albert Einstein College of Medicine, 1977; BS, Stanford University, 1974.</w:t>
      </w:r>
    </w:p>
    <w:p>
      <w:pPr>
        <w:pStyle w:val="BodyText"/>
        <w:spacing w:line="249" w:lineRule="auto"/>
        <w:ind w:left="199" w:right="960"/>
      </w:pPr>
      <w:r>
        <w:rPr>
          <w:b/>
          <w:color w:val="0B0B0B"/>
        </w:rPr>
        <w:t>Greeno, Elizabeth</w:t>
      </w:r>
      <w:r>
        <w:rPr>
          <w:color w:val="0B0B0B"/>
        </w:rPr>
        <w:t>, (A), Research Assistant Professor, School of Social Work. PhD, University of Maryland, 2008; MSW, University of Maryland, 1998; BSW, Salisbury State University, 1997.</w:t>
      </w:r>
    </w:p>
    <w:p>
      <w:pPr>
        <w:pStyle w:val="BodyText"/>
        <w:spacing w:line="249" w:lineRule="auto" w:before="181"/>
        <w:ind w:left="199" w:right="954"/>
      </w:pPr>
      <w:r>
        <w:rPr>
          <w:b/>
          <w:color w:val="0B0B0B"/>
        </w:rPr>
        <w:t>Greenspan, Joel</w:t>
      </w:r>
      <w:r>
        <w:rPr>
          <w:color w:val="0B0B0B"/>
        </w:rPr>
        <w:t>, (R), Assistant Professor, Oral and Craniofacial Biological Sciences, School of Dentistry. PhD, Florida State University, 1980; MS, Florida State University, 1976; BS, Rollins College, 1974.</w:t>
      </w:r>
    </w:p>
    <w:p>
      <w:pPr>
        <w:pStyle w:val="BodyText"/>
        <w:spacing w:line="249" w:lineRule="auto"/>
        <w:ind w:left="199" w:right="682"/>
      </w:pPr>
      <w:r>
        <w:rPr>
          <w:b/>
          <w:color w:val="0B0B0B"/>
        </w:rPr>
        <w:t>Gregory, Henry</w:t>
      </w:r>
      <w:r>
        <w:rPr>
          <w:color w:val="0B0B0B"/>
        </w:rPr>
        <w:t>, (A), Assistant Professor, Family and Community Health, School of Nursing. PhD, Fielding Graduate Institute, 2001; MA, Fielding Graduate Institute, 1995; MA, Antioch College, 1977.</w:t>
      </w:r>
    </w:p>
    <w:p>
      <w:pPr>
        <w:pStyle w:val="BodyText"/>
        <w:spacing w:line="249" w:lineRule="auto" w:before="180"/>
        <w:ind w:left="199" w:right="621"/>
      </w:pPr>
      <w:r>
        <w:rPr>
          <w:b/>
          <w:color w:val="0B0B0B"/>
        </w:rPr>
        <w:t>Greif, Geoffrey</w:t>
      </w:r>
      <w:r>
        <w:rPr>
          <w:color w:val="0B0B0B"/>
        </w:rPr>
        <w:t>, (R), Professor, School of Social Work. DSW, Columbia University, 1983; MSW, University of Pennsylvania, 1974; BA, Ohio Wesleyan University, 1971.</w:t>
      </w:r>
    </w:p>
    <w:p>
      <w:pPr>
        <w:pStyle w:val="BodyText"/>
        <w:spacing w:line="249" w:lineRule="auto"/>
        <w:ind w:left="199" w:right="626"/>
      </w:pPr>
      <w:r>
        <w:rPr>
          <w:b/>
          <w:color w:val="0B0B0B"/>
        </w:rPr>
        <w:t>Grier McGinnis, Gia, </w:t>
      </w:r>
      <w:r>
        <w:rPr>
          <w:color w:val="0B0B0B"/>
        </w:rPr>
        <w:t>(A), Senior Lecturer, Graduate School. BA, Washington College, 2002; MS, University of Michigan, 2005; DrPH, Morgan State, 2019.</w:t>
      </w:r>
    </w:p>
    <w:p>
      <w:pPr>
        <w:pStyle w:val="BodyText"/>
        <w:spacing w:line="249" w:lineRule="auto" w:before="180"/>
        <w:ind w:left="199" w:right="566"/>
      </w:pPr>
      <w:r>
        <w:rPr>
          <w:b/>
          <w:color w:val="0B0B0B"/>
        </w:rPr>
        <w:t>Gruber- Baldini, Ann L.</w:t>
      </w:r>
      <w:r>
        <w:rPr>
          <w:color w:val="0B0B0B"/>
        </w:rPr>
        <w:t>, (R), Professor, Epidemiology and Public Health, School of Medicine. PhD, Pennsylvania State University, 1991; MS, Pennsylvania State University, 1989; BA, Bucknell University, 1985.</w:t>
      </w:r>
    </w:p>
    <w:p>
      <w:pPr>
        <w:pStyle w:val="BodyText"/>
        <w:spacing w:line="249" w:lineRule="auto"/>
        <w:ind w:left="199" w:right="859"/>
      </w:pPr>
      <w:r>
        <w:rPr>
          <w:b/>
          <w:color w:val="0B0B0B"/>
        </w:rPr>
        <w:t>Gullapalli, Rao</w:t>
      </w:r>
      <w:r>
        <w:rPr>
          <w:color w:val="0B0B0B"/>
        </w:rPr>
        <w:t>, (A), Assistant Professor, Diagnostic Radiology, School of Medicine. PhD, University of Arkansas, 1991; MS, University of Arkansas, 1986; BS, Osmania University, 1981.</w:t>
      </w:r>
    </w:p>
    <w:p>
      <w:pPr>
        <w:pStyle w:val="BodyText"/>
        <w:spacing w:line="249" w:lineRule="auto" w:before="181"/>
        <w:ind w:left="199" w:right="692"/>
      </w:pPr>
      <w:r>
        <w:rPr>
          <w:b/>
          <w:color w:val="0B0B0B"/>
        </w:rPr>
        <w:t>Gupta, Anandarup</w:t>
      </w:r>
      <w:r>
        <w:rPr>
          <w:color w:val="0B0B0B"/>
        </w:rPr>
        <w:t>, (R), Assistant Professor, Biomedical Sciences, School of Dentistry. PhD, University of Connecticut, 1990; MS, University of Connecticut, 1986; BS, University of Calcutta, 1983.</w:t>
      </w:r>
    </w:p>
    <w:p>
      <w:pPr>
        <w:pStyle w:val="BodyText"/>
        <w:spacing w:line="249" w:lineRule="auto"/>
        <w:ind w:left="199" w:right="610"/>
      </w:pPr>
      <w:r>
        <w:rPr>
          <w:b/>
          <w:color w:val="0B0B0B"/>
        </w:rPr>
        <w:t>Guralnik, Jack M.</w:t>
      </w:r>
      <w:r>
        <w:rPr>
          <w:color w:val="0B0B0B"/>
        </w:rPr>
        <w:t>, (A), Professor, Epidemiology and Public Health, School of Medicine. PhD, University of California, Berkeley, 1985; MPH, University of California, Berkeley, 1982; MD, Jefferson Medical College, 1971.</w:t>
      </w:r>
    </w:p>
    <w:p>
      <w:pPr>
        <w:pStyle w:val="BodyText"/>
        <w:spacing w:line="249" w:lineRule="auto" w:before="181"/>
        <w:ind w:left="199" w:right="765"/>
      </w:pPr>
      <w:r>
        <w:rPr>
          <w:b/>
          <w:color w:val="0B0B0B"/>
        </w:rPr>
        <w:t>Gutchell, Veronica</w:t>
      </w:r>
      <w:r>
        <w:rPr>
          <w:color w:val="0B0B0B"/>
        </w:rPr>
        <w:t>, (A), Assistant Professor, Organizational Systems and Adult Health, School of Nursing. DNP, University of Maryland, Baltimore, 2013;</w:t>
      </w:r>
    </w:p>
    <w:p>
      <w:pPr>
        <w:spacing w:after="0" w:line="249" w:lineRule="auto"/>
        <w:sectPr>
          <w:pgSz w:w="12240" w:h="15840"/>
          <w:pgMar w:header="746" w:footer="0" w:top="1320" w:bottom="280" w:left="880" w:right="300"/>
          <w:cols w:num="2" w:equalWidth="0">
            <w:col w:w="5005" w:space="482"/>
            <w:col w:w="5573"/>
          </w:cols>
        </w:sectPr>
      </w:pPr>
    </w:p>
    <w:p>
      <w:pPr>
        <w:pStyle w:val="BodyText"/>
        <w:spacing w:line="249" w:lineRule="auto" w:before="100"/>
        <w:ind w:right="746"/>
      </w:pPr>
      <w:r>
        <w:rPr>
          <w:color w:val="0B0B0B"/>
        </w:rPr>
        <w:t>MS, Russell Sage College, 1995; BS, Binghamton University, 1987.</w:t>
      </w:r>
    </w:p>
    <w:p>
      <w:pPr>
        <w:pStyle w:val="BodyText"/>
        <w:spacing w:line="249" w:lineRule="auto" w:before="179"/>
        <w:ind w:left="199" w:right="120"/>
      </w:pPr>
      <w:r>
        <w:rPr>
          <w:b/>
          <w:color w:val="0B0B0B"/>
        </w:rPr>
        <w:t>Hack, Gary</w:t>
      </w:r>
      <w:r>
        <w:rPr>
          <w:color w:val="0B0B0B"/>
        </w:rPr>
        <w:t>, (A), Associate Professor, Biomedical Sciences, School of Dentistry. DDS, Baltimore College of Dental Surgery Dental School, 1979; BA, University of Maryland, Baltimore County, 1975.</w:t>
      </w:r>
    </w:p>
    <w:p>
      <w:pPr>
        <w:pStyle w:val="BodyText"/>
        <w:spacing w:line="249" w:lineRule="auto"/>
        <w:ind w:left="199" w:right="31"/>
      </w:pPr>
      <w:r>
        <w:rPr>
          <w:b/>
          <w:color w:val="0B0B0B"/>
        </w:rPr>
        <w:t>Hafer-Macko, Charlene</w:t>
      </w:r>
      <w:r>
        <w:rPr>
          <w:color w:val="0B0B0B"/>
        </w:rPr>
        <w:t>, (A), Associate Professor, Neuroscience and Cognitive Sciences, School of Medicine. MD, Ohio State University, 1988; MS, Case Western Reserve University, 1984; BS, Pennsylvania State University, 1982.</w:t>
      </w:r>
    </w:p>
    <w:p>
      <w:pPr>
        <w:pStyle w:val="BodyText"/>
        <w:spacing w:line="249" w:lineRule="auto" w:before="181"/>
        <w:ind w:left="199" w:right="82"/>
      </w:pPr>
      <w:r>
        <w:rPr>
          <w:b/>
          <w:color w:val="0B0B0B"/>
        </w:rPr>
        <w:t>Hager, Erin</w:t>
      </w:r>
      <w:r>
        <w:rPr>
          <w:color w:val="0B0B0B"/>
        </w:rPr>
        <w:t>, (A), Assistant Professor, Pediatrics, School of Medicine. PhD, Johns Hopkins, 2008; BS, Loyola College of Maryland, 2000.</w:t>
      </w:r>
    </w:p>
    <w:p>
      <w:pPr>
        <w:pStyle w:val="BodyText"/>
        <w:spacing w:line="249" w:lineRule="auto"/>
        <w:ind w:left="199" w:right="69"/>
      </w:pPr>
      <w:r>
        <w:rPr>
          <w:b/>
          <w:color w:val="0B0B0B"/>
        </w:rPr>
        <w:t>Hahn, Britta</w:t>
      </w:r>
      <w:r>
        <w:rPr>
          <w:color w:val="0B0B0B"/>
        </w:rPr>
        <w:t>, (A), Assistant Professor, Psychiatry, School of Medicine. PhD, King’s College, 2002; MSc, King’s College, 1998.</w:t>
      </w:r>
    </w:p>
    <w:p>
      <w:pPr>
        <w:pStyle w:val="BodyText"/>
        <w:spacing w:line="249" w:lineRule="auto" w:before="180"/>
        <w:ind w:left="199" w:right="159"/>
      </w:pPr>
      <w:r>
        <w:rPr>
          <w:b/>
          <w:color w:val="0B0B0B"/>
        </w:rPr>
        <w:t>Haines, Stuart T.</w:t>
      </w:r>
      <w:r>
        <w:rPr>
          <w:color w:val="0B0B0B"/>
        </w:rPr>
        <w:t>, (A), Professor, Pharmaceutical Health Services Research, School of Pharmacy. PharmD, University of Texas Health Science Center; 1994, BA, Massachusetts College of Pharmacy and Allied Health Sciences, 1985.</w:t>
      </w:r>
    </w:p>
    <w:p>
      <w:pPr>
        <w:pStyle w:val="BodyText"/>
        <w:spacing w:line="249" w:lineRule="auto" w:before="186"/>
        <w:ind w:left="199" w:right="82"/>
      </w:pPr>
      <w:r>
        <w:rPr>
          <w:b/>
          <w:color w:val="0B0B0B"/>
        </w:rPr>
        <w:t>Hamburger, Anne</w:t>
      </w:r>
      <w:r>
        <w:rPr>
          <w:color w:val="0B0B0B"/>
        </w:rPr>
        <w:t>, (R), Professor, Pathology, School of Medicine. PhD, New York University, 1975; MA, New York University, 1971; AB, Brandeis University, 1968.</w:t>
      </w:r>
    </w:p>
    <w:p>
      <w:pPr>
        <w:pStyle w:val="BodyText"/>
        <w:spacing w:line="249" w:lineRule="auto" w:before="180"/>
        <w:ind w:left="199" w:right="147"/>
      </w:pPr>
      <w:r>
        <w:rPr>
          <w:b/>
          <w:color w:val="0B0B0B"/>
        </w:rPr>
        <w:t>Hamlyn, John</w:t>
      </w:r>
      <w:r>
        <w:rPr>
          <w:color w:val="0B0B0B"/>
        </w:rPr>
        <w:t>, (R), Professor, Physiology, School of Medicine. PhD, Glasgow Caledonia University, Scotland, 1979; BSc, University of the Southwest Plymouth, England, 1975.</w:t>
      </w:r>
    </w:p>
    <w:p>
      <w:pPr>
        <w:pStyle w:val="BodyText"/>
        <w:spacing w:line="249" w:lineRule="auto"/>
        <w:ind w:left="199" w:right="47"/>
      </w:pPr>
      <w:r>
        <w:rPr>
          <w:b/>
          <w:color w:val="0B0B0B"/>
        </w:rPr>
        <w:t>Harrington, Donna</w:t>
      </w:r>
      <w:r>
        <w:rPr>
          <w:color w:val="0B0B0B"/>
        </w:rPr>
        <w:t>, (R), Professor, School of Social Work. PhD, University of Maryland, 1990; BA, University of Maine, 1985.</w:t>
      </w:r>
    </w:p>
    <w:p>
      <w:pPr>
        <w:pStyle w:val="BodyText"/>
        <w:spacing w:line="249" w:lineRule="auto" w:before="180"/>
        <w:ind w:left="199" w:right="530"/>
      </w:pPr>
      <w:r>
        <w:rPr>
          <w:b/>
          <w:color w:val="0B0B0B"/>
        </w:rPr>
        <w:t>Harris, Anthony</w:t>
      </w:r>
      <w:r>
        <w:rPr>
          <w:color w:val="0B0B0B"/>
        </w:rPr>
        <w:t>, (R), Professor, Epidemiology and Public Health, School of Medicine. MPH, Harvard University, 1999; MD, McGill University, 1993; BS, McGill University, 1989.</w:t>
      </w:r>
    </w:p>
    <w:p>
      <w:pPr>
        <w:pStyle w:val="BodyText"/>
        <w:spacing w:line="249" w:lineRule="auto"/>
        <w:ind w:left="199" w:right="20"/>
      </w:pPr>
      <w:r>
        <w:rPr>
          <w:b/>
          <w:color w:val="0B0B0B"/>
        </w:rPr>
        <w:t>Harris, Jesse</w:t>
      </w:r>
      <w:r>
        <w:rPr>
          <w:color w:val="0B0B0B"/>
        </w:rPr>
        <w:t>, (R), Professor, School of Social Work. PhD, University of Maryland, 1976; MSW, University of Maryland, 1971; MS, Howard University, 1960.</w:t>
      </w:r>
    </w:p>
    <w:p>
      <w:pPr>
        <w:pStyle w:val="BodyText"/>
        <w:spacing w:line="249" w:lineRule="auto" w:before="180"/>
        <w:ind w:left="199" w:right="248"/>
      </w:pPr>
      <w:r>
        <w:rPr>
          <w:b/>
          <w:color w:val="0B0B0B"/>
        </w:rPr>
        <w:t>Harris, Sharea, </w:t>
      </w:r>
      <w:r>
        <w:rPr>
          <w:color w:val="0B0B0B"/>
        </w:rPr>
        <w:t>(A), Adjunct Faculty, Graduate School. BA, Oakwood University, 2011; MFA, University of Baltimore, 2016.</w:t>
      </w:r>
    </w:p>
    <w:p>
      <w:pPr>
        <w:pStyle w:val="BodyText"/>
        <w:spacing w:line="249" w:lineRule="auto"/>
        <w:ind w:left="199" w:right="82"/>
      </w:pPr>
      <w:r>
        <w:rPr>
          <w:b/>
          <w:color w:val="0B0B0B"/>
        </w:rPr>
        <w:t>Harrison, George</w:t>
      </w:r>
      <w:r>
        <w:rPr>
          <w:color w:val="0B0B0B"/>
        </w:rPr>
        <w:t>, (R), Associate Professor, Radiation Oncology, School of Medicine. PhD, University of</w:t>
      </w:r>
    </w:p>
    <w:p>
      <w:pPr>
        <w:pStyle w:val="BodyText"/>
        <w:spacing w:line="249" w:lineRule="auto" w:before="96"/>
        <w:ind w:left="199" w:right="760"/>
      </w:pPr>
      <w:r>
        <w:rPr/>
        <w:br w:type="column"/>
      </w:r>
      <w:r>
        <w:rPr>
          <w:color w:val="0B0B0B"/>
        </w:rPr>
        <w:t>Maryland, 1972; MS, University of Maryland, 1969; BA, Tufts University, 1965.</w:t>
      </w:r>
    </w:p>
    <w:p>
      <w:pPr>
        <w:pStyle w:val="BodyText"/>
        <w:spacing w:line="249" w:lineRule="auto" w:before="179"/>
        <w:ind w:left="199" w:right="766"/>
      </w:pPr>
      <w:r>
        <w:rPr>
          <w:b/>
          <w:color w:val="0B0B0B"/>
        </w:rPr>
        <w:t>Harrison, Shannon Takala</w:t>
      </w:r>
      <w:r>
        <w:rPr>
          <w:color w:val="0B0B0B"/>
        </w:rPr>
        <w:t>, (R), Associate Professor, Epidemiology and Public Health, School of Medicine. PhD, University of Maryland, 2006; BS, Brigham Young University, 1999.</w:t>
      </w:r>
    </w:p>
    <w:p>
      <w:pPr>
        <w:pStyle w:val="BodyText"/>
        <w:spacing w:line="249" w:lineRule="auto"/>
        <w:ind w:left="199" w:right="789"/>
      </w:pPr>
      <w:r>
        <w:rPr>
          <w:b/>
          <w:color w:val="0B0B0B"/>
        </w:rPr>
        <w:t>Hasday, Jeffrey</w:t>
      </w:r>
      <w:r>
        <w:rPr>
          <w:color w:val="0B0B0B"/>
        </w:rPr>
        <w:t>, (R), Associate Professor, Medicine, School of Medicine. MD, University of Rochester, 1979; BA, University of Rochester, 1975.</w:t>
      </w:r>
    </w:p>
    <w:p>
      <w:pPr>
        <w:pStyle w:val="BodyText"/>
        <w:spacing w:line="249" w:lineRule="auto" w:before="180"/>
        <w:ind w:left="199" w:right="1145"/>
      </w:pPr>
      <w:r>
        <w:rPr>
          <w:b/>
          <w:color w:val="0B0B0B"/>
        </w:rPr>
        <w:t>Hassan, Hazem</w:t>
      </w:r>
      <w:r>
        <w:rPr>
          <w:color w:val="0B0B0B"/>
        </w:rPr>
        <w:t>, (A), Research Assistant Professor, Pharmaceutical Sciences, School of Pharmacy. PhD, University of Maryland, 2007; BPharm, Helwan University, 1999.</w:t>
      </w:r>
    </w:p>
    <w:p>
      <w:pPr>
        <w:pStyle w:val="BodyText"/>
        <w:spacing w:line="249" w:lineRule="auto"/>
        <w:ind w:left="199" w:right="777"/>
      </w:pPr>
      <w:r>
        <w:rPr>
          <w:b/>
          <w:color w:val="0B0B0B"/>
        </w:rPr>
        <w:t>Hassel, Bret</w:t>
      </w:r>
      <w:r>
        <w:rPr>
          <w:color w:val="0B0B0B"/>
        </w:rPr>
        <w:t>, (R), Assistant Professor, Microbiology and Immunology, School of Medicine. PhD, Johns Hopkins University, 1989; BS, University of Miami, 1981.</w:t>
      </w:r>
    </w:p>
    <w:p>
      <w:pPr>
        <w:pStyle w:val="BodyText"/>
        <w:spacing w:line="249" w:lineRule="auto" w:before="180"/>
        <w:ind w:left="199" w:right="805"/>
      </w:pPr>
      <w:r>
        <w:rPr>
          <w:b/>
          <w:color w:val="0B0B0B"/>
        </w:rPr>
        <w:t>Haut, Catherine</w:t>
      </w:r>
      <w:r>
        <w:rPr>
          <w:color w:val="0B0B0B"/>
        </w:rPr>
        <w:t>, (A), Assistant Professor, Family and Community Health, School of Nursing. DNP, University of Maryland, 2010; MS, University of Maryland, 1993; BS, College of Notre Dame, 1982.</w:t>
      </w:r>
    </w:p>
    <w:p>
      <w:pPr>
        <w:pStyle w:val="BodyText"/>
        <w:spacing w:line="249" w:lineRule="auto" w:before="186"/>
        <w:ind w:left="199" w:right="712"/>
      </w:pPr>
      <w:r>
        <w:rPr>
          <w:b/>
          <w:color w:val="0B0B0B"/>
        </w:rPr>
        <w:t>Hawley, Charles</w:t>
      </w:r>
      <w:r>
        <w:rPr>
          <w:color w:val="0B0B0B"/>
        </w:rPr>
        <w:t>, (R), Professor, Periodontics, School of Dentistry. PhD, University of Maryland, 1976; MS, University of Illinois, 1970; DDS, University of Pennsylvania, 1962.</w:t>
      </w:r>
    </w:p>
    <w:p>
      <w:pPr>
        <w:pStyle w:val="BodyText"/>
        <w:spacing w:line="249" w:lineRule="auto" w:before="180"/>
        <w:ind w:left="199" w:right="888"/>
      </w:pPr>
      <w:r>
        <w:rPr>
          <w:b/>
          <w:color w:val="0B0B0B"/>
        </w:rPr>
        <w:t>Hendrix, Cherilyn, </w:t>
      </w:r>
      <w:r>
        <w:rPr>
          <w:color w:val="0B0B0B"/>
        </w:rPr>
        <w:t>(A), Associate Professor, Graduate School. BS, University of the State of New York, 1986; MS, Johns Hopkins University, 1998; DHEd, AT Still University, 2011.</w:t>
      </w:r>
    </w:p>
    <w:p>
      <w:pPr>
        <w:pStyle w:val="BodyText"/>
        <w:spacing w:line="249" w:lineRule="auto"/>
        <w:ind w:left="199" w:right="644"/>
      </w:pPr>
      <w:r>
        <w:rPr>
          <w:b/>
          <w:color w:val="0B0B0B"/>
        </w:rPr>
        <w:t>Henneberger, Angela</w:t>
      </w:r>
      <w:r>
        <w:rPr>
          <w:color w:val="0B0B0B"/>
        </w:rPr>
        <w:t>, (A), Assistant Professor, School of Social Work. PhD, University of Virginia, 2012; BS, University of Maryland, 2006.</w:t>
      </w:r>
    </w:p>
    <w:p>
      <w:pPr>
        <w:pStyle w:val="BodyText"/>
        <w:spacing w:line="249" w:lineRule="auto" w:before="180"/>
        <w:ind w:left="199" w:right="695" w:hanging="1"/>
      </w:pPr>
      <w:r>
        <w:rPr>
          <w:b/>
          <w:color w:val="0B0B0B"/>
        </w:rPr>
        <w:t>Henriksen, Joan, </w:t>
      </w:r>
      <w:r>
        <w:rPr>
          <w:color w:val="0B0B0B"/>
        </w:rPr>
        <w:t>(A), Adjunct Faculty, Graduate School. BA, Luther College, 1994; PhD, University of Iowa,</w:t>
      </w:r>
    </w:p>
    <w:p>
      <w:pPr>
        <w:pStyle w:val="BodyText"/>
        <w:spacing w:line="249" w:lineRule="auto" w:before="184"/>
        <w:ind w:left="199" w:right="1088"/>
        <w:jc w:val="both"/>
      </w:pPr>
      <w:r>
        <w:rPr>
          <w:b/>
          <w:color w:val="0B0B0B"/>
        </w:rPr>
        <w:t>Hernandez-Ochoa, Erick</w:t>
      </w:r>
      <w:r>
        <w:rPr>
          <w:color w:val="0B0B0B"/>
        </w:rPr>
        <w:t>, (A), Assistant Professor, Biochemistry and Molecular Biology. PhD, National Autonomous University of Mexico, 2007; MD, 2000.</w:t>
      </w:r>
    </w:p>
    <w:p>
      <w:pPr>
        <w:pStyle w:val="BodyText"/>
        <w:spacing w:line="249" w:lineRule="auto" w:before="180"/>
        <w:ind w:left="199" w:right="699"/>
      </w:pPr>
      <w:r>
        <w:rPr>
          <w:b/>
          <w:color w:val="0B0B0B"/>
        </w:rPr>
        <w:t>Hertzano, Ronna</w:t>
      </w:r>
      <w:r>
        <w:rPr>
          <w:color w:val="0B0B0B"/>
        </w:rPr>
        <w:t>, (R), Associate Professor, Otolaryngology- Head and Neck Surgery, School of Medicine. PhD, Tel Aviv University, 2005; MD, Tel Aviv University, 2006; BSc, Tel Aviv University, 1998.</w:t>
      </w:r>
    </w:p>
    <w:p>
      <w:pPr>
        <w:pStyle w:val="BodyText"/>
        <w:spacing w:line="249" w:lineRule="auto"/>
        <w:ind w:left="199" w:right="712"/>
      </w:pPr>
      <w:r>
        <w:rPr>
          <w:b/>
          <w:color w:val="0B0B0B"/>
        </w:rPr>
        <w:t>Hess, John</w:t>
      </w:r>
      <w:r>
        <w:rPr>
          <w:color w:val="0B0B0B"/>
        </w:rPr>
        <w:t>, (A), Associate Professor, Pathology, School of Medicine. MPH, University of Hawaii, 1979; MD, University of Washington, 1972; BA, Washington State University, 1967.</w:t>
      </w:r>
    </w:p>
    <w:p>
      <w:pPr>
        <w:spacing w:after="0" w:line="249" w:lineRule="auto"/>
        <w:sectPr>
          <w:pgSz w:w="12240" w:h="15840"/>
          <w:pgMar w:header="746" w:footer="0" w:top="1320" w:bottom="280" w:left="880" w:right="300"/>
          <w:cols w:num="2" w:equalWidth="0">
            <w:col w:w="4994" w:space="492"/>
            <w:col w:w="5574"/>
          </w:cols>
        </w:sectPr>
      </w:pPr>
    </w:p>
    <w:p>
      <w:pPr>
        <w:pStyle w:val="BodyText"/>
        <w:spacing w:line="249" w:lineRule="auto" w:before="100"/>
        <w:ind w:right="108"/>
      </w:pPr>
      <w:r>
        <w:rPr>
          <w:b/>
          <w:color w:val="0B0B0B"/>
        </w:rPr>
        <w:t>Hickman, Linda Jackson</w:t>
      </w:r>
      <w:r>
        <w:rPr>
          <w:color w:val="0B0B0B"/>
        </w:rPr>
        <w:t>, (A), Assistant Professor, Organizational Systems and Adult Health, School of Nursing. PhD, University of Maryland, Baltimore, 1997; MBA, Marymount University, 1988; BS, Wesley College, 1987.</w:t>
      </w:r>
    </w:p>
    <w:p>
      <w:pPr>
        <w:pStyle w:val="BodyText"/>
        <w:spacing w:line="249" w:lineRule="auto" w:before="181"/>
        <w:ind w:right="56"/>
      </w:pPr>
      <w:r>
        <w:rPr>
          <w:b/>
          <w:color w:val="0B0B0B"/>
        </w:rPr>
        <w:t>Higgs, Amanda</w:t>
      </w:r>
      <w:r>
        <w:rPr>
          <w:color w:val="0B0B0B"/>
        </w:rPr>
        <w:t>, (A), Instructor, Epidemiology and Human Genetics, School of Medicine. MGC, University of Maryland, 2000; BS, University of Richmond, 1996.</w:t>
      </w:r>
    </w:p>
    <w:p>
      <w:pPr>
        <w:pStyle w:val="BodyText"/>
        <w:spacing w:line="249" w:lineRule="auto"/>
        <w:ind w:right="98"/>
      </w:pPr>
      <w:r>
        <w:rPr>
          <w:b/>
          <w:color w:val="0B0B0B"/>
        </w:rPr>
        <w:t>Hill, Russell, </w:t>
      </w:r>
      <w:r>
        <w:rPr>
          <w:color w:val="0B0B0B"/>
        </w:rPr>
        <w:t>(R), Associate Professor, Marine Estuarine Environmental Science Program. PhD, University of Cape Town, 1988; BSc, University of Natal, 1979; BSc, University of Natal, 1978.</w:t>
      </w:r>
    </w:p>
    <w:p>
      <w:pPr>
        <w:pStyle w:val="BodyText"/>
        <w:spacing w:line="249" w:lineRule="auto" w:before="180"/>
        <w:ind w:right="153"/>
      </w:pPr>
      <w:r>
        <w:rPr>
          <w:b/>
          <w:color w:val="0B0B0B"/>
        </w:rPr>
        <w:t>Himmelwright-Lamm, Naomi</w:t>
      </w:r>
      <w:r>
        <w:rPr>
          <w:color w:val="0B0B0B"/>
        </w:rPr>
        <w:t>, (A), Assistant Professor, Universities at Shady Grove, School of Nursing. EdD, West Virginia University, 2011; MS, University of Maryland, 1981; BSN, University of Maryland, 1976.</w:t>
      </w:r>
    </w:p>
    <w:p>
      <w:pPr>
        <w:pStyle w:val="BodyText"/>
        <w:spacing w:line="249" w:lineRule="auto"/>
        <w:ind w:right="20"/>
      </w:pPr>
      <w:r>
        <w:rPr>
          <w:b/>
          <w:color w:val="0B0B0B"/>
        </w:rPr>
        <w:t>Hirshon, Jon Mark</w:t>
      </w:r>
      <w:r>
        <w:rPr>
          <w:color w:val="0B0B0B"/>
        </w:rPr>
        <w:t>, ( R), Professor, Epidemiology and Public Health, School of Medicine. MPH, Johns Hopkins Bloomberg School of Public Health, 1994; MD, University of Southern California, 1990; BA, University of California, 1984.</w:t>
      </w:r>
    </w:p>
    <w:p>
      <w:pPr>
        <w:pStyle w:val="BodyText"/>
        <w:spacing w:line="249" w:lineRule="auto" w:before="182"/>
        <w:ind w:right="86"/>
      </w:pPr>
      <w:r>
        <w:rPr>
          <w:b/>
          <w:color w:val="0B0B0B"/>
        </w:rPr>
        <w:t>Hoag, Stephen</w:t>
      </w:r>
      <w:r>
        <w:rPr>
          <w:color w:val="0B0B0B"/>
        </w:rPr>
        <w:t>, (R), Professor, Pharmaceutical Sciences, School of Pharmacy. PhD, University of Minnesota, 1990; BS, University of Wisconsin, 1982.</w:t>
      </w:r>
    </w:p>
    <w:p>
      <w:pPr>
        <w:pStyle w:val="BodyText"/>
        <w:spacing w:line="249" w:lineRule="auto" w:before="184"/>
        <w:ind w:right="170"/>
      </w:pPr>
      <w:r>
        <w:rPr>
          <w:b/>
          <w:color w:val="0B0B0B"/>
        </w:rPr>
        <w:t>Hochberg, Marc C.</w:t>
      </w:r>
      <w:r>
        <w:rPr>
          <w:color w:val="0B0B0B"/>
        </w:rPr>
        <w:t>, (R), Professor, Medicine, School of Medicine. MPH, Johns Hopkins University, 1979; MD, Johns Hopkins University, 1973; AB, Franklin and Marshall, 1969.</w:t>
      </w:r>
    </w:p>
    <w:p>
      <w:pPr>
        <w:pStyle w:val="BodyText"/>
        <w:spacing w:line="249" w:lineRule="auto" w:before="181"/>
        <w:ind w:right="153"/>
      </w:pPr>
      <w:r>
        <w:rPr>
          <w:b/>
          <w:color w:val="0B0B0B"/>
        </w:rPr>
        <w:t>Holcomb, Henry</w:t>
      </w:r>
      <w:r>
        <w:rPr>
          <w:color w:val="0B0B0B"/>
        </w:rPr>
        <w:t>, (A), Assistant Professor, Psychiatry, School of Medicine. MD, University of Texas, 1977; BA, Rice University, 1972.</w:t>
      </w:r>
    </w:p>
    <w:p>
      <w:pPr>
        <w:pStyle w:val="BodyText"/>
        <w:spacing w:line="249" w:lineRule="auto" w:before="184"/>
        <w:ind w:right="527"/>
        <w:jc w:val="both"/>
      </w:pPr>
      <w:r>
        <w:rPr>
          <w:b/>
          <w:color w:val="0B0B0B"/>
        </w:rPr>
        <w:t>Hong, L. Elliot</w:t>
      </w:r>
      <w:r>
        <w:rPr>
          <w:color w:val="0B0B0B"/>
        </w:rPr>
        <w:t>, (R), Assistant Professor, Psychiatry, School of Medicine. MD, Sun Yat-Sen University of Medical Science, 1986.</w:t>
      </w:r>
    </w:p>
    <w:p>
      <w:pPr>
        <w:pStyle w:val="BodyText"/>
        <w:spacing w:line="249" w:lineRule="auto" w:before="180"/>
        <w:ind w:right="303"/>
      </w:pPr>
      <w:r>
        <w:rPr>
          <w:b/>
          <w:color w:val="0B0B0B"/>
        </w:rPr>
        <w:t>Hopkins, Karen</w:t>
      </w:r>
      <w:r>
        <w:rPr>
          <w:color w:val="0B0B0B"/>
        </w:rPr>
        <w:t>, (R), Associate Professor, School of Social Work. PhD, University of Chicago, 1993; MSW, University of Pittsburgh, 1979; BS, Pennsylvania State University, 1976.</w:t>
      </w:r>
    </w:p>
    <w:p>
      <w:pPr>
        <w:pStyle w:val="BodyText"/>
        <w:spacing w:line="249" w:lineRule="auto" w:before="186"/>
        <w:ind w:right="1108"/>
      </w:pPr>
      <w:r>
        <w:rPr>
          <w:b/>
          <w:color w:val="0B0B0B"/>
        </w:rPr>
        <w:t>Hornyak, Thomas</w:t>
      </w:r>
      <w:r>
        <w:rPr>
          <w:color w:val="0B0B0B"/>
        </w:rPr>
        <w:t>, (A), Associate Professor, Dermatology, School of Medicine.</w:t>
      </w:r>
    </w:p>
    <w:p>
      <w:pPr>
        <w:pStyle w:val="BodyText"/>
        <w:spacing w:line="249" w:lineRule="auto" w:before="179"/>
        <w:ind w:right="30"/>
      </w:pPr>
      <w:r>
        <w:rPr>
          <w:b/>
          <w:color w:val="0B0B0B"/>
        </w:rPr>
        <w:t>Hotopp, Julie</w:t>
      </w:r>
      <w:r>
        <w:rPr>
          <w:color w:val="0B0B0B"/>
        </w:rPr>
        <w:t>, (R), Associate Professor, Microbiology and Immunology, School of Medicine. PhD, Michigan State University, 2002; BS, University of Rochester, 1997.</w:t>
      </w:r>
    </w:p>
    <w:p>
      <w:pPr>
        <w:spacing w:before="184"/>
        <w:ind w:left="200" w:right="0" w:firstLine="0"/>
        <w:jc w:val="left"/>
        <w:rPr>
          <w:sz w:val="20"/>
        </w:rPr>
      </w:pPr>
      <w:r>
        <w:rPr>
          <w:b/>
          <w:color w:val="0B0B0B"/>
          <w:sz w:val="20"/>
        </w:rPr>
        <w:t>Hsia, Ru-ching</w:t>
      </w:r>
      <w:r>
        <w:rPr>
          <w:color w:val="0B0B0B"/>
          <w:sz w:val="20"/>
        </w:rPr>
        <w:t>, (A), Research Assistant Professor, Oral</w:t>
      </w:r>
    </w:p>
    <w:p>
      <w:pPr>
        <w:pStyle w:val="BodyText"/>
        <w:spacing w:line="249" w:lineRule="auto" w:before="96"/>
        <w:ind w:right="628"/>
      </w:pPr>
      <w:r>
        <w:rPr/>
        <w:br w:type="column"/>
      </w:r>
      <w:r>
        <w:rPr>
          <w:color w:val="0B0B0B"/>
        </w:rPr>
        <w:t>and Craniofacial Biological Sciences, School of Dentistry. PhD, Stanford University, 1992; BA, National Taiwan University, 1981.</w:t>
      </w:r>
    </w:p>
    <w:p>
      <w:pPr>
        <w:pStyle w:val="BodyText"/>
        <w:spacing w:line="249" w:lineRule="auto" w:before="180"/>
        <w:ind w:right="598"/>
      </w:pPr>
      <w:r>
        <w:rPr>
          <w:b/>
          <w:color w:val="0B0B0B"/>
        </w:rPr>
        <w:t>Hsu, Ih-Chang</w:t>
      </w:r>
      <w:r>
        <w:rPr>
          <w:color w:val="0B0B0B"/>
        </w:rPr>
        <w:t>, (R), Professor, Pathology, School of Medicine. PhD, University of Wisconsin, 1972; MS, National Taiwan University, 1967; BS, Kaohsiung Medical College, 1964.</w:t>
      </w:r>
    </w:p>
    <w:p>
      <w:pPr>
        <w:pStyle w:val="BodyText"/>
        <w:spacing w:line="249" w:lineRule="auto"/>
        <w:ind w:right="625"/>
      </w:pPr>
      <w:r>
        <w:rPr>
          <w:b/>
          <w:color w:val="0B0B0B"/>
        </w:rPr>
        <w:t>Huestis, Marilyn</w:t>
      </w:r>
      <w:r>
        <w:rPr>
          <w:color w:val="0B0B0B"/>
        </w:rPr>
        <w:t>, (S), Adjunct Professor, Epidemiology and Public Health, School of Medicine. PhD, University of Maryland, Baltimore, 1992; MS, University of New Mexico, 1979; AB, Mount Holyoke College, 1970.</w:t>
      </w:r>
    </w:p>
    <w:p>
      <w:pPr>
        <w:pStyle w:val="BodyText"/>
        <w:spacing w:line="249" w:lineRule="auto" w:before="181"/>
        <w:ind w:right="953"/>
      </w:pPr>
      <w:r>
        <w:rPr>
          <w:b/>
          <w:color w:val="0B0B0B"/>
        </w:rPr>
        <w:t>Hungerford, Laura</w:t>
      </w:r>
      <w:r>
        <w:rPr>
          <w:color w:val="0B0B0B"/>
        </w:rPr>
        <w:t>, (R), Adjunct Professor, Epidemiology and Public Health, School of Medicine. PhD, Universityof Illinois, 1989; MPH, University of Illinois, 1987; DVM, Michigan State University, 1980.</w:t>
      </w:r>
    </w:p>
    <w:p>
      <w:pPr>
        <w:pStyle w:val="BodyText"/>
        <w:spacing w:line="249" w:lineRule="auto"/>
        <w:ind w:right="625"/>
      </w:pPr>
      <w:r>
        <w:rPr>
          <w:b/>
          <w:color w:val="0B0B0B"/>
        </w:rPr>
        <w:t>Hurley, Kristen</w:t>
      </w:r>
      <w:r>
        <w:rPr>
          <w:color w:val="0B0B0B"/>
        </w:rPr>
        <w:t>, (A), Assistant Professor, Epidemiology and Public Health, School of Medicine. PhD, Johns Hopkins University, 2007; MPH, Boston University, 1997; BS, California Polytechnic State University, 1993.</w:t>
      </w:r>
    </w:p>
    <w:p>
      <w:pPr>
        <w:pStyle w:val="BodyText"/>
        <w:spacing w:line="249" w:lineRule="auto" w:before="180"/>
        <w:ind w:right="942"/>
      </w:pPr>
      <w:r>
        <w:rPr>
          <w:b/>
          <w:color w:val="0B0B0B"/>
        </w:rPr>
        <w:t>Hussain, Arif</w:t>
      </w:r>
      <w:r>
        <w:rPr>
          <w:color w:val="0B0B0B"/>
        </w:rPr>
        <w:t>, (A), Associate, Medicine, School of Medicine. MD, Howard University, 1980; BS, Howard University, 1976.</w:t>
      </w:r>
    </w:p>
    <w:p>
      <w:pPr>
        <w:pStyle w:val="BodyText"/>
        <w:spacing w:line="249" w:lineRule="auto"/>
        <w:ind w:right="703"/>
      </w:pPr>
      <w:r>
        <w:rPr>
          <w:b/>
          <w:color w:val="0B0B0B"/>
        </w:rPr>
        <w:t>Idzik, Shannon, </w:t>
      </w:r>
      <w:r>
        <w:rPr>
          <w:color w:val="0B0B0B"/>
        </w:rPr>
        <w:t>(A), Associate Professor, Organizational Systems and Adult Health, School of Nursing. DNP, University of Maryland, 2010; MS, University of Maryland, 2003; BS, York College, 1996.</w:t>
      </w:r>
    </w:p>
    <w:p>
      <w:pPr>
        <w:pStyle w:val="BodyText"/>
        <w:spacing w:line="249" w:lineRule="auto" w:before="181"/>
        <w:ind w:right="621"/>
      </w:pPr>
      <w:r>
        <w:rPr>
          <w:b/>
          <w:color w:val="0B0B0B"/>
        </w:rPr>
        <w:t>Ivaturi, Vijay</w:t>
      </w:r>
      <w:r>
        <w:rPr>
          <w:color w:val="0B0B0B"/>
        </w:rPr>
        <w:t>, (A), Research Assistant Professor, Pharmacy Practice and Science, School of Pharmacy. PhD, University of Minnesota, 2010; MS, St. John’s University, 2006; BS, Manipal University, 2004.</w:t>
      </w:r>
    </w:p>
    <w:p>
      <w:pPr>
        <w:pStyle w:val="BodyText"/>
        <w:spacing w:line="249" w:lineRule="auto"/>
        <w:ind w:right="609"/>
      </w:pPr>
      <w:r>
        <w:rPr>
          <w:b/>
          <w:color w:val="0B0B0B"/>
        </w:rPr>
        <w:t>Ivey, Frederick</w:t>
      </w:r>
      <w:r>
        <w:rPr>
          <w:color w:val="0B0B0B"/>
        </w:rPr>
        <w:t>, (R), Associate Professor, Neurology, School of Medicine. PhD, University of Maryland, College Park, 1998; MS, Illinois State University, 1994; BA, Whittier College, 1986.</w:t>
      </w:r>
    </w:p>
    <w:p>
      <w:pPr>
        <w:pStyle w:val="BodyText"/>
        <w:spacing w:line="249" w:lineRule="auto" w:before="180"/>
        <w:ind w:right="629"/>
      </w:pPr>
      <w:r>
        <w:rPr>
          <w:b/>
          <w:color w:val="0B0B0B"/>
        </w:rPr>
        <w:t>Jackson-Parkin, Maranda</w:t>
      </w:r>
      <w:r>
        <w:rPr>
          <w:color w:val="0B0B0B"/>
        </w:rPr>
        <w:t>, (A), Assistant Professor, Organizational </w:t>
      </w:r>
      <w:r>
        <w:rPr>
          <w:color w:val="0B0B0B"/>
          <w:spacing w:val="-3"/>
        </w:rPr>
        <w:t>Systems </w:t>
      </w:r>
      <w:r>
        <w:rPr>
          <w:color w:val="0B0B0B"/>
        </w:rPr>
        <w:t>and Adult Health; PhD, University of Maryland, Baltimore, 2013; </w:t>
      </w:r>
      <w:r>
        <w:rPr>
          <w:color w:val="0B0B0B"/>
          <w:spacing w:val="-3"/>
        </w:rPr>
        <w:t>MS, </w:t>
      </w:r>
      <w:r>
        <w:rPr>
          <w:color w:val="0B0B0B"/>
        </w:rPr>
        <w:t>University of Maryland, Baltimore, 2006; </w:t>
      </w:r>
      <w:r>
        <w:rPr>
          <w:color w:val="0B0B0B"/>
          <w:spacing w:val="-3"/>
        </w:rPr>
        <w:t>BSN, </w:t>
      </w:r>
      <w:r>
        <w:rPr>
          <w:color w:val="0B0B0B"/>
        </w:rPr>
        <w:t>Samaritan College, 1991.</w:t>
      </w:r>
    </w:p>
    <w:p>
      <w:pPr>
        <w:pStyle w:val="BodyText"/>
        <w:spacing w:line="249" w:lineRule="auto" w:before="186"/>
        <w:ind w:right="628"/>
      </w:pPr>
      <w:r>
        <w:rPr>
          <w:b/>
          <w:color w:val="0B0B0B"/>
        </w:rPr>
        <w:t>Jafri, Musab Samir, </w:t>
      </w:r>
      <w:r>
        <w:rPr>
          <w:color w:val="0B0B0B"/>
        </w:rPr>
        <w:t>(R), Assistant Professor, Neurology, School of Medicine. PhD, University of Maryland, 1997; BS, Duke University, 1985.</w:t>
      </w:r>
    </w:p>
    <w:p>
      <w:pPr>
        <w:pStyle w:val="BodyText"/>
        <w:spacing w:line="249" w:lineRule="auto" w:before="180"/>
        <w:ind w:right="664"/>
      </w:pPr>
      <w:r>
        <w:rPr>
          <w:b/>
          <w:color w:val="0B0B0B"/>
        </w:rPr>
        <w:t>Jaiswal, Anil Kumar</w:t>
      </w:r>
      <w:r>
        <w:rPr>
          <w:color w:val="0B0B0B"/>
        </w:rPr>
        <w:t>, (R), Professor, Molecular Medicine, School of Medicine. PhD, Lucknow University,</w:t>
      </w:r>
    </w:p>
    <w:p>
      <w:pPr>
        <w:spacing w:after="0" w:line="249" w:lineRule="auto"/>
        <w:sectPr>
          <w:pgSz w:w="12240" w:h="15840"/>
          <w:pgMar w:header="746" w:footer="0" w:top="1320" w:bottom="280" w:left="880" w:right="300"/>
          <w:cols w:num="2" w:equalWidth="0">
            <w:col w:w="4995" w:space="492"/>
            <w:col w:w="5573"/>
          </w:cols>
        </w:sectPr>
      </w:pPr>
    </w:p>
    <w:p>
      <w:pPr>
        <w:pStyle w:val="BodyText"/>
        <w:spacing w:line="249" w:lineRule="auto" w:before="100"/>
        <w:ind w:right="538"/>
      </w:pPr>
      <w:r>
        <w:rPr>
          <w:color w:val="0B0B0B"/>
        </w:rPr>
        <w:t>1980, MS, Lucknow University, 1974, BS, Lucknow University, 1972.</w:t>
      </w:r>
    </w:p>
    <w:p>
      <w:pPr>
        <w:pStyle w:val="BodyText"/>
        <w:spacing w:line="249" w:lineRule="auto" w:before="179"/>
        <w:ind w:left="199" w:right="117"/>
      </w:pPr>
      <w:r>
        <w:rPr>
          <w:b/>
          <w:color w:val="0B0B0B"/>
        </w:rPr>
        <w:t>Jani, Jayshree</w:t>
      </w:r>
      <w:r>
        <w:rPr>
          <w:color w:val="0B0B0B"/>
        </w:rPr>
        <w:t>, (A), Assistant Professor, School of Social Work. PhD, University of Maryland, 2008; MSW, University of Illinois at Chicago, 1999; BA, Saint Mary’s College Indiana, 1997.</w:t>
      </w:r>
    </w:p>
    <w:p>
      <w:pPr>
        <w:pStyle w:val="BodyText"/>
        <w:spacing w:line="249" w:lineRule="auto"/>
        <w:ind w:left="199"/>
      </w:pPr>
      <w:r>
        <w:rPr>
          <w:b/>
          <w:color w:val="0B0B0B"/>
        </w:rPr>
        <w:t>Jenkins, Louise</w:t>
      </w:r>
      <w:r>
        <w:rPr>
          <w:color w:val="0B0B0B"/>
        </w:rPr>
        <w:t>, (R), Professor, Adult Health, School of Nursing. PhD, University of Maryland, 1985; MS, University of Maryland, 1982; BS, Northern Illinois University, 1979.</w:t>
      </w:r>
    </w:p>
    <w:p>
      <w:pPr>
        <w:pStyle w:val="BodyText"/>
        <w:spacing w:line="249" w:lineRule="auto" w:before="181"/>
        <w:ind w:left="199" w:right="106"/>
      </w:pPr>
      <w:r>
        <w:rPr>
          <w:b/>
          <w:color w:val="0B0B0B"/>
        </w:rPr>
        <w:t>Jenkins, T. Scott</w:t>
      </w:r>
      <w:r>
        <w:rPr>
          <w:color w:val="0B0B0B"/>
        </w:rPr>
        <w:t>, (A), Research Assistant Professor, Orthodontics, School of Dentistry. PhD, University of Maryland, 2001; DDS, University of Maryland, 1992; BS, Northwestern University, 1988.</w:t>
      </w:r>
    </w:p>
    <w:p>
      <w:pPr>
        <w:pStyle w:val="BodyText"/>
        <w:spacing w:line="249" w:lineRule="auto"/>
        <w:ind w:left="199" w:right="305"/>
      </w:pPr>
      <w:r>
        <w:rPr>
          <w:b/>
          <w:color w:val="0B0B0B"/>
        </w:rPr>
        <w:t>Jia, Xiaofeng</w:t>
      </w:r>
      <w:r>
        <w:rPr>
          <w:color w:val="0B0B0B"/>
        </w:rPr>
        <w:t>, (R), Associate Professor, Neurosurgery, School of Medicine. PhD, Fudan University, 2003; MS, Shanghai Medical University, 1997; MD, Zhejiang Medical University, 1993.</w:t>
      </w:r>
    </w:p>
    <w:p>
      <w:pPr>
        <w:pStyle w:val="BodyText"/>
        <w:spacing w:line="249" w:lineRule="auto" w:before="181"/>
        <w:ind w:left="199" w:right="73"/>
      </w:pPr>
      <w:r>
        <w:rPr>
          <w:b/>
          <w:color w:val="0B0B0B"/>
        </w:rPr>
        <w:t>Johantgen, Meg</w:t>
      </w:r>
      <w:r>
        <w:rPr>
          <w:color w:val="0B0B0B"/>
        </w:rPr>
        <w:t>, (R), Associate Professor, Organizational Systems and Adult Health, School of Nursing. PhD, Virginia Commonwealth University, 1994; MS, State University of New York; 1985, BS, Niagara University, 1974.</w:t>
      </w:r>
    </w:p>
    <w:p>
      <w:pPr>
        <w:pStyle w:val="BodyText"/>
        <w:spacing w:line="249" w:lineRule="auto" w:before="186"/>
        <w:ind w:left="199" w:right="561"/>
      </w:pPr>
      <w:r>
        <w:rPr>
          <w:b/>
          <w:color w:val="0B0B0B"/>
        </w:rPr>
        <w:t>Johnson, Jennifer Kristie</w:t>
      </w:r>
      <w:r>
        <w:rPr>
          <w:color w:val="0B0B0B"/>
        </w:rPr>
        <w:t>, (R), Assistant Professor, Pathology, School of Medicine. PhD, University of Maryland, Baltimore, 2002; BS, Salisbury State University, 1996.</w:t>
      </w:r>
    </w:p>
    <w:p>
      <w:pPr>
        <w:pStyle w:val="BodyText"/>
        <w:spacing w:line="249" w:lineRule="auto" w:before="180"/>
        <w:ind w:left="199" w:right="200"/>
      </w:pPr>
      <w:r>
        <w:rPr>
          <w:b/>
          <w:color w:val="0B0B0B"/>
        </w:rPr>
        <w:t>Johnson, Judith</w:t>
      </w:r>
      <w:r>
        <w:rPr>
          <w:color w:val="0B0B0B"/>
        </w:rPr>
        <w:t>, (R), Associate Professor, Pathology, School of Medicine. PhD, University of Maryland, 1990; BS, University of Maryland, 1977.</w:t>
      </w:r>
    </w:p>
    <w:p>
      <w:pPr>
        <w:pStyle w:val="BodyText"/>
        <w:spacing w:line="249" w:lineRule="auto"/>
        <w:ind w:left="199" w:right="183"/>
      </w:pPr>
      <w:r>
        <w:rPr>
          <w:b/>
          <w:color w:val="0B0B0B"/>
        </w:rPr>
        <w:t>Johnson, Kenneth</w:t>
      </w:r>
      <w:r>
        <w:rPr>
          <w:color w:val="0B0B0B"/>
        </w:rPr>
        <w:t>, (R), Professor, Neurology, School of Medicine. MD, Jefferson College, 1959; BA, Upsala College, 1955.</w:t>
      </w:r>
    </w:p>
    <w:p>
      <w:pPr>
        <w:spacing w:line="249" w:lineRule="auto" w:before="179"/>
        <w:ind w:left="199" w:right="101" w:firstLine="0"/>
        <w:jc w:val="left"/>
        <w:rPr>
          <w:sz w:val="20"/>
        </w:rPr>
      </w:pPr>
      <w:r>
        <w:rPr>
          <w:b/>
          <w:color w:val="0B0B0B"/>
          <w:sz w:val="20"/>
        </w:rPr>
        <w:t>Jones Carney, Courtney, </w:t>
      </w:r>
      <w:r>
        <w:rPr>
          <w:color w:val="0B0B0B"/>
          <w:sz w:val="20"/>
        </w:rPr>
        <w:t>(A), Adjunct Faculty, Graduate School. BA, Morgan State University, 2002; MBA, 2005.</w:t>
      </w:r>
    </w:p>
    <w:p>
      <w:pPr>
        <w:pStyle w:val="BodyText"/>
        <w:spacing w:line="249" w:lineRule="auto" w:before="184"/>
        <w:ind w:left="199"/>
      </w:pPr>
      <w:r>
        <w:rPr>
          <w:b/>
          <w:color w:val="0B0B0B"/>
        </w:rPr>
        <w:t>Jones, Laundette P.</w:t>
      </w:r>
      <w:r>
        <w:rPr>
          <w:color w:val="0B0B0B"/>
        </w:rPr>
        <w:t>, (A), Assistant Professor, Pharmacology and Experimental Therapeutics, School of Medicine. PhD, Johns Hopkins University, 2000; BS, Morgan State University, 1992.</w:t>
      </w:r>
    </w:p>
    <w:p>
      <w:pPr>
        <w:pStyle w:val="BodyText"/>
        <w:spacing w:line="249" w:lineRule="auto" w:before="181"/>
        <w:ind w:left="199" w:right="123"/>
      </w:pPr>
      <w:r>
        <w:rPr>
          <w:b/>
          <w:color w:val="0B0B0B"/>
        </w:rPr>
        <w:t>Jones-Lush, Lauren M.</w:t>
      </w:r>
      <w:r>
        <w:rPr>
          <w:color w:val="0B0B0B"/>
        </w:rPr>
        <w:t>, (R), Assistant Professor, Pharmacology and Experimental Therapeutics, School of Medicine. PhD, University of Maryland, Baltimore, 2005; BA, Wesleyan University, 1998.</w:t>
      </w:r>
    </w:p>
    <w:p>
      <w:pPr>
        <w:spacing w:before="185"/>
        <w:ind w:left="199" w:right="0" w:firstLine="0"/>
        <w:jc w:val="left"/>
        <w:rPr>
          <w:sz w:val="20"/>
        </w:rPr>
      </w:pPr>
      <w:r>
        <w:rPr>
          <w:b/>
          <w:color w:val="0B0B0B"/>
          <w:sz w:val="20"/>
        </w:rPr>
        <w:t>Jones-Parker, Hazel</w:t>
      </w:r>
      <w:r>
        <w:rPr>
          <w:color w:val="0B0B0B"/>
          <w:sz w:val="20"/>
        </w:rPr>
        <w:t>, (A), Assistant Professor, Family and</w:t>
      </w:r>
    </w:p>
    <w:p>
      <w:pPr>
        <w:pStyle w:val="BodyText"/>
        <w:spacing w:line="249" w:lineRule="auto" w:before="96"/>
        <w:ind w:right="804"/>
      </w:pPr>
      <w:r>
        <w:rPr/>
        <w:br w:type="column"/>
      </w:r>
      <w:r>
        <w:rPr>
          <w:color w:val="0B0B0B"/>
        </w:rPr>
        <w:t>Community Health, School of Nursing. DNP, University of Maryland School of Nursing, 2012; MSN, Columbia University School of Nursing, 1996; BSN, University of Pennsylvania, 1991.</w:t>
      </w:r>
    </w:p>
    <w:p>
      <w:pPr>
        <w:pStyle w:val="BodyText"/>
        <w:spacing w:line="249" w:lineRule="auto" w:before="180"/>
        <w:ind w:right="993"/>
        <w:jc w:val="both"/>
      </w:pPr>
      <w:r>
        <w:rPr>
          <w:b/>
          <w:color w:val="0B0B0B"/>
        </w:rPr>
        <w:t>Josell, Stuart</w:t>
      </w:r>
      <w:r>
        <w:rPr>
          <w:color w:val="0B0B0B"/>
        </w:rPr>
        <w:t>, (A), Associate Professor, Orthodontics, School of Dentistry. MDS, University of Connecticut, 1980; DMD, Fairleigh Dickinson University, 1974.</w:t>
      </w:r>
    </w:p>
    <w:p>
      <w:pPr>
        <w:pStyle w:val="BodyText"/>
        <w:spacing w:line="249" w:lineRule="auto"/>
        <w:ind w:right="712"/>
      </w:pPr>
      <w:r>
        <w:rPr>
          <w:b/>
          <w:color w:val="0B0B0B"/>
        </w:rPr>
        <w:t>Jufer-Phipps</w:t>
      </w:r>
      <w:r>
        <w:rPr>
          <w:color w:val="0B0B0B"/>
        </w:rPr>
        <w:t>, Rebecca, (A), Chief Toxicologist, Pathology, School of Medicine. PhD, University of Maryland, Baltimore, 1999; BS, University of Maryland, Baltimore County, 1994.</w:t>
      </w:r>
    </w:p>
    <w:p>
      <w:pPr>
        <w:pStyle w:val="BodyText"/>
        <w:spacing w:line="249" w:lineRule="auto" w:before="181"/>
        <w:ind w:right="609"/>
      </w:pPr>
      <w:r>
        <w:rPr>
          <w:b/>
          <w:color w:val="0B0B0B"/>
        </w:rPr>
        <w:t>Jun, Hyun-Jin, </w:t>
      </w:r>
      <w:r>
        <w:rPr>
          <w:color w:val="0B0B0B"/>
        </w:rPr>
        <w:t>(A), Assistant Professor, Graduate School. BS, Chung-Ang University, 2005; MSW, 2007; MSW, Washington University in St. Louis, 2010; PhD, University of Maryland, Baltimore, 2017.</w:t>
      </w:r>
    </w:p>
    <w:p>
      <w:pPr>
        <w:pStyle w:val="BodyText"/>
        <w:spacing w:line="249" w:lineRule="auto"/>
        <w:ind w:right="645"/>
        <w:jc w:val="both"/>
      </w:pPr>
      <w:r>
        <w:rPr>
          <w:b/>
          <w:color w:val="0B0B0B"/>
        </w:rPr>
        <w:t>Jung, Seungyoun</w:t>
      </w:r>
      <w:r>
        <w:rPr>
          <w:color w:val="0B0B0B"/>
        </w:rPr>
        <w:t>, (A), Assistant Professor, Epidemiology and Public Health, School of Medicine. ScD, Harvard T.H. Chan School of Public Health, 2012; MS, 2008; BS, Seoul National University, 2006.</w:t>
      </w:r>
    </w:p>
    <w:p>
      <w:pPr>
        <w:pStyle w:val="BodyText"/>
        <w:spacing w:line="249" w:lineRule="auto" w:before="180"/>
        <w:ind w:left="199" w:right="761"/>
      </w:pPr>
      <w:r>
        <w:rPr>
          <w:b/>
          <w:color w:val="0B0B0B"/>
        </w:rPr>
        <w:t>Kaetzel, David</w:t>
      </w:r>
      <w:r>
        <w:rPr>
          <w:color w:val="0B0B0B"/>
        </w:rPr>
        <w:t>, (R), Professor, Biochemistry and Molecular Biology, School of Medicine. PhD, University of Maryland, 1981; BS, Washington College, 1975.</w:t>
      </w:r>
    </w:p>
    <w:p>
      <w:pPr>
        <w:pStyle w:val="BodyText"/>
        <w:spacing w:line="249" w:lineRule="auto"/>
        <w:ind w:left="199" w:right="777"/>
      </w:pPr>
      <w:r>
        <w:rPr>
          <w:b/>
          <w:color w:val="0B0B0B"/>
        </w:rPr>
        <w:t>Kalvakolanu, Dhan</w:t>
      </w:r>
      <w:r>
        <w:rPr>
          <w:color w:val="0B0B0B"/>
        </w:rPr>
        <w:t>, (R), Professor, Molecular Biology and Oncology, School of Medicine. PhD, Indian Institute of Science, 1988; MS, Osmania University, 1981; BS, Osmania University, 1979.</w:t>
      </w:r>
    </w:p>
    <w:p>
      <w:pPr>
        <w:pStyle w:val="BodyText"/>
        <w:spacing w:line="249" w:lineRule="auto" w:before="181"/>
        <w:ind w:right="648" w:hanging="1"/>
      </w:pPr>
      <w:r>
        <w:rPr>
          <w:b/>
          <w:color w:val="0B0B0B"/>
        </w:rPr>
        <w:t>Kamin-Lewis, Roberta</w:t>
      </w:r>
      <w:r>
        <w:rPr>
          <w:color w:val="0B0B0B"/>
        </w:rPr>
        <w:t>, (A), Assistant Professor, Microbiology and Immunology, School of Medicine. PhD, University of California, 1974.</w:t>
      </w:r>
    </w:p>
    <w:p>
      <w:pPr>
        <w:pStyle w:val="BodyText"/>
        <w:spacing w:line="249" w:lineRule="auto" w:before="184"/>
        <w:ind w:right="573"/>
      </w:pPr>
      <w:r>
        <w:rPr>
          <w:b/>
          <w:color w:val="0B0B0B"/>
        </w:rPr>
        <w:t>Kane, Maureen</w:t>
      </w:r>
      <w:r>
        <w:rPr>
          <w:color w:val="0B0B0B"/>
        </w:rPr>
        <w:t>, (A), Assistant Professor, Pharmaceutical Sciences, School of Pharmacy. PhD, University of Buffalo, 2002; BS, Canisius College, 1995.</w:t>
      </w:r>
    </w:p>
    <w:p>
      <w:pPr>
        <w:pStyle w:val="BodyText"/>
        <w:spacing w:line="249" w:lineRule="auto" w:before="180"/>
        <w:ind w:right="882"/>
      </w:pPr>
      <w:r>
        <w:rPr>
          <w:b/>
          <w:color w:val="0B0B0B"/>
        </w:rPr>
        <w:t>Kann, Maricel</w:t>
      </w:r>
      <w:r>
        <w:rPr>
          <w:color w:val="0B0B0B"/>
        </w:rPr>
        <w:t>, (R), Associate Professor, Biochemistry and Molecular Biology, School of Medicine. PhD, University of Michigan, 2001.</w:t>
      </w:r>
    </w:p>
    <w:p>
      <w:pPr>
        <w:pStyle w:val="BodyText"/>
        <w:spacing w:line="249" w:lineRule="auto"/>
        <w:ind w:left="199" w:right="573"/>
      </w:pPr>
      <w:r>
        <w:rPr>
          <w:b/>
          <w:color w:val="0B0B0B"/>
        </w:rPr>
        <w:t>Kao, Joseph</w:t>
      </w:r>
      <w:r>
        <w:rPr>
          <w:color w:val="0B0B0B"/>
        </w:rPr>
        <w:t>, (R), Associate Professor, Physiology, School of Medicine. PhD, University of California, 1985; BS, Arizona State University, 1978</w:t>
      </w:r>
    </w:p>
    <w:p>
      <w:pPr>
        <w:pStyle w:val="BodyText"/>
        <w:spacing w:line="249" w:lineRule="auto" w:before="179"/>
        <w:ind w:left="199" w:right="1027"/>
      </w:pPr>
      <w:r>
        <w:rPr>
          <w:b/>
          <w:color w:val="0B0B0B"/>
        </w:rPr>
        <w:t>Kaper, James</w:t>
      </w:r>
      <w:r>
        <w:rPr>
          <w:color w:val="0B0B0B"/>
        </w:rPr>
        <w:t>, (R), Professor, Microbiology and Immunology, School of Medicine. PhD, University of Maryland, 1979, BS, University of Maryland, 1973.</w:t>
      </w:r>
    </w:p>
    <w:p>
      <w:pPr>
        <w:pStyle w:val="BodyText"/>
        <w:spacing w:line="249" w:lineRule="auto"/>
        <w:ind w:left="199" w:right="573"/>
      </w:pPr>
      <w:r>
        <w:rPr>
          <w:b/>
          <w:color w:val="0B0B0B"/>
        </w:rPr>
        <w:t>Kaplowitz, Gary</w:t>
      </w:r>
      <w:r>
        <w:rPr>
          <w:color w:val="0B0B0B"/>
        </w:rPr>
        <w:t>, (A), Associate Professor, Biomedical Sciences, School of Dentistry. DDS, New York University, 1979; MA, Binghamton University, 1974; BA, New York</w:t>
      </w:r>
    </w:p>
    <w:p>
      <w:pPr>
        <w:spacing w:after="0" w:line="249" w:lineRule="auto"/>
        <w:sectPr>
          <w:pgSz w:w="12240" w:h="15840"/>
          <w:pgMar w:header="746" w:footer="0" w:top="1320" w:bottom="280" w:left="880" w:right="300"/>
          <w:cols w:num="2" w:equalWidth="0">
            <w:col w:w="4997" w:space="489"/>
            <w:col w:w="5574"/>
          </w:cols>
        </w:sectPr>
      </w:pPr>
    </w:p>
    <w:p>
      <w:pPr>
        <w:pStyle w:val="BodyText"/>
        <w:spacing w:before="100"/>
      </w:pPr>
      <w:r>
        <w:rPr>
          <w:color w:val="0B0B0B"/>
        </w:rPr>
        <w:t>University,</w:t>
      </w:r>
      <w:r>
        <w:rPr>
          <w:color w:val="0B0B0B"/>
          <w:spacing w:val="-7"/>
        </w:rPr>
        <w:t> </w:t>
      </w:r>
      <w:r>
        <w:rPr>
          <w:color w:val="0B0B0B"/>
        </w:rPr>
        <w:t>1971.</w:t>
      </w:r>
    </w:p>
    <w:p>
      <w:pPr>
        <w:pStyle w:val="BodyText"/>
        <w:spacing w:line="249" w:lineRule="auto" w:before="187"/>
      </w:pPr>
      <w:r>
        <w:rPr>
          <w:b/>
          <w:color w:val="0B0B0B"/>
        </w:rPr>
        <w:t>Karbowski, Mariusz</w:t>
      </w:r>
      <w:r>
        <w:rPr>
          <w:color w:val="0B0B0B"/>
        </w:rPr>
        <w:t>, (A), Assistant Professor, Biochemistry and Molecular </w:t>
      </w:r>
      <w:r>
        <w:rPr>
          <w:color w:val="0B0B0B"/>
          <w:spacing w:val="-3"/>
        </w:rPr>
        <w:t>Biology, </w:t>
      </w:r>
      <w:r>
        <w:rPr>
          <w:color w:val="0B0B0B"/>
          <w:spacing w:val="-2"/>
        </w:rPr>
        <w:t>School </w:t>
      </w:r>
      <w:r>
        <w:rPr>
          <w:color w:val="0B0B0B"/>
        </w:rPr>
        <w:t>of Medicine. PhD, </w:t>
      </w:r>
      <w:r>
        <w:rPr>
          <w:color w:val="0B0B0B"/>
          <w:spacing w:val="-3"/>
        </w:rPr>
        <w:t>Nagoya </w:t>
      </w:r>
      <w:r>
        <w:rPr>
          <w:color w:val="0B0B0B"/>
        </w:rPr>
        <w:t>University, 2001; MSc, Adam </w:t>
      </w:r>
      <w:r>
        <w:rPr>
          <w:color w:val="0B0B0B"/>
          <w:spacing w:val="-3"/>
        </w:rPr>
        <w:t>Mickiewicz </w:t>
      </w:r>
      <w:r>
        <w:rPr>
          <w:color w:val="0B0B0B"/>
        </w:rPr>
        <w:t>University,</w:t>
      </w:r>
      <w:r>
        <w:rPr>
          <w:color w:val="0B0B0B"/>
          <w:spacing w:val="4"/>
        </w:rPr>
        <w:t> </w:t>
      </w:r>
      <w:r>
        <w:rPr>
          <w:color w:val="0B0B0B"/>
        </w:rPr>
        <w:t>1994.</w:t>
      </w:r>
    </w:p>
    <w:p>
      <w:pPr>
        <w:pStyle w:val="BodyText"/>
        <w:spacing w:line="249" w:lineRule="auto" w:before="186"/>
        <w:ind w:right="23"/>
      </w:pPr>
      <w:r>
        <w:rPr>
          <w:b/>
          <w:color w:val="0B0B0B"/>
        </w:rPr>
        <w:t>Karnup, Sergei</w:t>
      </w:r>
      <w:r>
        <w:rPr>
          <w:color w:val="0B0B0B"/>
        </w:rPr>
        <w:t>, (A), Research Assistant Professor, Anatomy and Neurobiology, School of Medicine. PhD, Moscow University, 1980; MD, Moscow Medical Institute, 1971.</w:t>
      </w:r>
    </w:p>
    <w:p>
      <w:pPr>
        <w:pStyle w:val="BodyText"/>
        <w:spacing w:line="249" w:lineRule="auto" w:before="180"/>
      </w:pPr>
      <w:r>
        <w:rPr>
          <w:b/>
          <w:color w:val="0B0B0B"/>
        </w:rPr>
        <w:t>Karpel, Richard</w:t>
      </w:r>
      <w:r>
        <w:rPr>
          <w:color w:val="0B0B0B"/>
        </w:rPr>
        <w:t>, Professor, Chemistry and Biochemistry, School of Medicine.</w:t>
      </w:r>
    </w:p>
    <w:p>
      <w:pPr>
        <w:pStyle w:val="BodyText"/>
        <w:spacing w:line="249" w:lineRule="auto" w:before="184"/>
        <w:ind w:right="38"/>
      </w:pPr>
      <w:r>
        <w:rPr>
          <w:b/>
          <w:color w:val="0B0B0B"/>
        </w:rPr>
        <w:t>Katzel, Leslie</w:t>
      </w:r>
      <w:r>
        <w:rPr>
          <w:color w:val="0B0B0B"/>
        </w:rPr>
        <w:t>, (R), Associate Professor, Medicine, School of Medicine. MD, University of Maryland, Baltimore, 1984; PhD, Johns Hopkins University, 1981; BS, Cooper Union, 1975.</w:t>
      </w:r>
    </w:p>
    <w:p>
      <w:pPr>
        <w:pStyle w:val="BodyText"/>
        <w:spacing w:line="249" w:lineRule="auto" w:before="181"/>
        <w:ind w:right="62" w:hanging="1"/>
      </w:pPr>
      <w:r>
        <w:rPr>
          <w:b/>
          <w:color w:val="0B0B0B"/>
        </w:rPr>
        <w:t>Kauffman, Karen</w:t>
      </w:r>
      <w:r>
        <w:rPr>
          <w:color w:val="0B0B0B"/>
        </w:rPr>
        <w:t>, (R), Associate Professor, Family and Community Health, School of Nursing. PhD, University of Pennsylvania, 1992; MS, University of Pennsylvania, 1987; BSN, Allentown College of St. Francis de Sales, 1984.</w:t>
      </w:r>
    </w:p>
    <w:p>
      <w:pPr>
        <w:pStyle w:val="BodyText"/>
        <w:spacing w:line="249" w:lineRule="auto" w:before="186"/>
        <w:ind w:right="51"/>
      </w:pPr>
      <w:r>
        <w:rPr>
          <w:b/>
          <w:color w:val="0B0B0B"/>
        </w:rPr>
        <w:t>Kayingo, Gerald</w:t>
      </w:r>
      <w:r>
        <w:rPr>
          <w:color w:val="0B0B0B"/>
        </w:rPr>
        <w:t>, (A), Professor, Graduate School. MMSc, Yale University, 2007; </w:t>
      </w:r>
      <w:r>
        <w:rPr>
          <w:color w:val="0B0B0B"/>
          <w:spacing w:val="-3"/>
        </w:rPr>
        <w:t>PhD, </w:t>
      </w:r>
      <w:r>
        <w:rPr>
          <w:color w:val="0B0B0B"/>
        </w:rPr>
        <w:t>University of the Free State, </w:t>
      </w:r>
      <w:r>
        <w:rPr>
          <w:color w:val="0B0B0B"/>
          <w:spacing w:val="-3"/>
        </w:rPr>
        <w:t>South </w:t>
      </w:r>
      <w:r>
        <w:rPr>
          <w:color w:val="0B0B0B"/>
        </w:rPr>
        <w:t>Africa,</w:t>
      </w:r>
      <w:r>
        <w:rPr>
          <w:color w:val="0B0B0B"/>
          <w:spacing w:val="10"/>
        </w:rPr>
        <w:t> </w:t>
      </w:r>
      <w:r>
        <w:rPr>
          <w:color w:val="0B0B0B"/>
        </w:rPr>
        <w:t>2001.</w:t>
      </w:r>
    </w:p>
    <w:p>
      <w:pPr>
        <w:pStyle w:val="BodyText"/>
        <w:spacing w:line="249" w:lineRule="auto" w:before="179"/>
        <w:ind w:right="334"/>
      </w:pPr>
      <w:r>
        <w:rPr>
          <w:b/>
          <w:color w:val="0B0B0B"/>
        </w:rPr>
        <w:t>Keegan, Achsah D.</w:t>
      </w:r>
      <w:r>
        <w:rPr>
          <w:color w:val="0B0B0B"/>
        </w:rPr>
        <w:t>, (R), Professor, Microbiology and Immunology, School of Medicine. PhD, Johns Hopkins University, 1989; BS, Duke University, 1983.</w:t>
      </w:r>
    </w:p>
    <w:p>
      <w:pPr>
        <w:pStyle w:val="BodyText"/>
        <w:spacing w:line="249" w:lineRule="auto"/>
        <w:ind w:right="35"/>
      </w:pPr>
      <w:r>
        <w:rPr>
          <w:b/>
          <w:color w:val="0B0B0B"/>
        </w:rPr>
        <w:t>Kelemen, Arpad</w:t>
      </w:r>
      <w:r>
        <w:rPr>
          <w:color w:val="0B0B0B"/>
        </w:rPr>
        <w:t>, (R), Associate Professor, Organizational Systems and Adult Health, School of Nursing. PhD, University of Memphis, 2002; MS, University of Szeged, 1995; BS, University of Szeged, 1993.</w:t>
      </w:r>
    </w:p>
    <w:p>
      <w:pPr>
        <w:pStyle w:val="BodyText"/>
        <w:spacing w:line="249" w:lineRule="auto" w:before="181"/>
        <w:ind w:right="167"/>
      </w:pPr>
      <w:r>
        <w:rPr>
          <w:b/>
          <w:color w:val="0B0B0B"/>
        </w:rPr>
        <w:t>Kelleher, Catherine</w:t>
      </w:r>
      <w:r>
        <w:rPr>
          <w:color w:val="0B0B0B"/>
        </w:rPr>
        <w:t>, (A), Associate Professor, Organizational Systems and Adult Health, School of Nursing. SciD, Johns Hopkins University; MPH, Harvard School of Public Health; MS, University of California.</w:t>
      </w:r>
    </w:p>
    <w:p>
      <w:pPr>
        <w:pStyle w:val="BodyText"/>
        <w:spacing w:line="249" w:lineRule="auto"/>
      </w:pPr>
      <w:r>
        <w:rPr>
          <w:b/>
          <w:color w:val="0B0B0B"/>
        </w:rPr>
        <w:t>Keller, Asaf</w:t>
      </w:r>
      <w:r>
        <w:rPr>
          <w:color w:val="0B0B0B"/>
        </w:rPr>
        <w:t>, (R), Professor, Anatomy and Neurobiology, School of Medicine. PhD, Ben-Gurion University, 1988; MMedSci, Ben-Gurion University, 1986; BMedSci, Ben- Gurion University, 1985.</w:t>
      </w:r>
    </w:p>
    <w:p>
      <w:pPr>
        <w:pStyle w:val="BodyText"/>
        <w:spacing w:line="249" w:lineRule="auto" w:before="180"/>
        <w:ind w:right="90"/>
      </w:pPr>
      <w:r>
        <w:rPr>
          <w:b/>
          <w:color w:val="0B0B0B"/>
        </w:rPr>
        <w:t>Kenefic, Leo</w:t>
      </w:r>
      <w:r>
        <w:rPr>
          <w:color w:val="0B0B0B"/>
        </w:rPr>
        <w:t>, (A), Assistant Professor, Medical and Research Technology, School of Medicine. PhD, Northern Arizona University, 2008; MS, Hood College, 2000; BS, Arizona State University, 1986.</w:t>
      </w:r>
    </w:p>
    <w:p>
      <w:pPr>
        <w:pStyle w:val="BodyText"/>
        <w:spacing w:line="249" w:lineRule="auto" w:before="186"/>
        <w:ind w:right="323"/>
      </w:pPr>
      <w:r>
        <w:rPr>
          <w:b/>
          <w:color w:val="0B0B0B"/>
        </w:rPr>
        <w:t>Kerr, Candace</w:t>
      </w:r>
      <w:r>
        <w:rPr>
          <w:color w:val="0B0B0B"/>
        </w:rPr>
        <w:t>, (A), Assistant Professor, Biochemistry and Molecular Biology, School of Medicine. PhD,</w:t>
      </w:r>
    </w:p>
    <w:p>
      <w:pPr>
        <w:pStyle w:val="BodyText"/>
        <w:spacing w:line="249" w:lineRule="auto" w:before="96"/>
        <w:ind w:right="887"/>
      </w:pPr>
      <w:r>
        <w:rPr/>
        <w:br w:type="column"/>
      </w:r>
      <w:r>
        <w:rPr>
          <w:color w:val="0B0B0B"/>
        </w:rPr>
        <w:t>Pennsylvania State University, 1998; MS, University of Maine, 1994; BA, University of Maine, 1992.</w:t>
      </w:r>
    </w:p>
    <w:p>
      <w:pPr>
        <w:pStyle w:val="BodyText"/>
        <w:spacing w:line="249" w:lineRule="auto" w:before="179"/>
        <w:ind w:right="794"/>
        <w:jc w:val="both"/>
      </w:pPr>
      <w:r>
        <w:rPr>
          <w:b/>
          <w:color w:val="0B0B0B"/>
        </w:rPr>
        <w:t>Kessler, Irving</w:t>
      </w:r>
      <w:r>
        <w:rPr>
          <w:color w:val="0B0B0B"/>
        </w:rPr>
        <w:t>, (R), Professor Emeritus, Epidemiology and Public Health, School of Medicine. MPH, Columbia University, 1962; MD, Stanford University, 1960; DrPH, Harvard University, 1969.</w:t>
      </w:r>
    </w:p>
    <w:p>
      <w:pPr>
        <w:pStyle w:val="BodyText"/>
        <w:spacing w:line="249" w:lineRule="auto"/>
        <w:ind w:right="807"/>
      </w:pPr>
      <w:r>
        <w:rPr>
          <w:b/>
          <w:color w:val="0B0B0B"/>
        </w:rPr>
        <w:t>Kim, Anthony</w:t>
      </w:r>
      <w:r>
        <w:rPr>
          <w:color w:val="0B0B0B"/>
        </w:rPr>
        <w:t>, (R), Assistant Professor, Neurosurgery, School of Medicine. PhD, University of Pennsylvania, 2006; MS, University of Pennsylvania, 2004; BS, Pennsylvania State University, 2001.</w:t>
      </w:r>
    </w:p>
    <w:p>
      <w:pPr>
        <w:pStyle w:val="BodyText"/>
        <w:spacing w:line="249" w:lineRule="auto" w:before="181"/>
        <w:ind w:right="712"/>
      </w:pPr>
      <w:r>
        <w:rPr>
          <w:b/>
          <w:color w:val="0B0B0B"/>
        </w:rPr>
        <w:t>Kingsbury, Tami</w:t>
      </w:r>
      <w:r>
        <w:rPr>
          <w:color w:val="0B0B0B"/>
        </w:rPr>
        <w:t>, (A), Assistant Professor, Physiology, School of Medicine. PhD, Johns Hopkins University, 1997; BS, Virginia Polytechnic Institute and State University, 1989.</w:t>
      </w:r>
    </w:p>
    <w:p>
      <w:pPr>
        <w:pStyle w:val="BodyText"/>
        <w:spacing w:line="249" w:lineRule="auto"/>
        <w:ind w:right="921"/>
      </w:pPr>
      <w:r>
        <w:rPr>
          <w:b/>
          <w:color w:val="0B0B0B"/>
        </w:rPr>
        <w:t>Kirschling, Jane</w:t>
      </w:r>
      <w:r>
        <w:rPr>
          <w:color w:val="0B0B0B"/>
        </w:rPr>
        <w:t>, (R), Dean and Professor, School of Nursing. PhD, Indiana University, 1984; MSN, Indiana University, 1982; BSN, Viterbo College, 1980.</w:t>
      </w:r>
    </w:p>
    <w:p>
      <w:pPr>
        <w:pStyle w:val="BodyText"/>
        <w:spacing w:line="249" w:lineRule="auto" w:before="180"/>
        <w:ind w:right="605"/>
      </w:pPr>
      <w:r>
        <w:rPr>
          <w:b/>
          <w:color w:val="0B0B0B"/>
        </w:rPr>
        <w:t>Kittner, Steven</w:t>
      </w:r>
      <w:r>
        <w:rPr>
          <w:color w:val="0B0B0B"/>
        </w:rPr>
        <w:t>, (A), Associate, Neurology, School of Medicine. PhD, Johns Hopkins University, 1981; MD, University of Pennsylvania, 1979; BA, Brown University, 1975.</w:t>
      </w:r>
    </w:p>
    <w:p>
      <w:pPr>
        <w:pStyle w:val="BodyText"/>
        <w:spacing w:line="249" w:lineRule="auto"/>
        <w:ind w:right="610"/>
      </w:pPr>
      <w:r>
        <w:rPr>
          <w:b/>
          <w:color w:val="0B0B0B"/>
        </w:rPr>
        <w:t>Kleinberg, Michael</w:t>
      </w:r>
      <w:r>
        <w:rPr>
          <w:color w:val="0B0B0B"/>
        </w:rPr>
        <w:t>, (A), Affiliate Assistant Professor, Medicine, School of Medicine. MD, PhD, Albert Einstein College of Medicine, 1984; MS, Albert Einstein College of Medicine, 1982.</w:t>
      </w:r>
    </w:p>
    <w:p>
      <w:pPr>
        <w:pStyle w:val="BodyText"/>
        <w:spacing w:line="249" w:lineRule="auto" w:before="181"/>
        <w:ind w:right="931"/>
      </w:pPr>
      <w:r>
        <w:rPr>
          <w:b/>
          <w:color w:val="0B0B0B"/>
        </w:rPr>
        <w:t>Klinedinst, Jennifer </w:t>
      </w:r>
      <w:r>
        <w:rPr>
          <w:b/>
          <w:color w:val="0B0B0B"/>
          <w:spacing w:val="-4"/>
        </w:rPr>
        <w:t>N.</w:t>
      </w:r>
      <w:r>
        <w:rPr>
          <w:color w:val="0B0B0B"/>
          <w:spacing w:val="-4"/>
        </w:rPr>
        <w:t>, </w:t>
      </w:r>
      <w:r>
        <w:rPr>
          <w:color w:val="0B0B0B"/>
        </w:rPr>
        <w:t>(A), Associate Professor, Organizational </w:t>
      </w:r>
      <w:r>
        <w:rPr>
          <w:color w:val="0B0B0B"/>
          <w:spacing w:val="-3"/>
        </w:rPr>
        <w:t>Systems </w:t>
      </w:r>
      <w:r>
        <w:rPr>
          <w:color w:val="0B0B0B"/>
        </w:rPr>
        <w:t>and Adult Health, </w:t>
      </w:r>
      <w:r>
        <w:rPr>
          <w:color w:val="0B0B0B"/>
          <w:spacing w:val="-2"/>
        </w:rPr>
        <w:t>School </w:t>
      </w:r>
      <w:r>
        <w:rPr>
          <w:color w:val="0B0B0B"/>
          <w:spacing w:val="-3"/>
        </w:rPr>
        <w:t>of </w:t>
      </w:r>
      <w:r>
        <w:rPr>
          <w:color w:val="0B0B0B"/>
        </w:rPr>
        <w:t>Nursing. PhD, Emory University, 2008; MSN, Thomas Jefferson University, 2003; </w:t>
      </w:r>
      <w:r>
        <w:rPr>
          <w:color w:val="0B0B0B"/>
          <w:spacing w:val="-3"/>
        </w:rPr>
        <w:t>MPH, Boston </w:t>
      </w:r>
      <w:r>
        <w:rPr>
          <w:color w:val="0B0B0B"/>
        </w:rPr>
        <w:t>University, 1999.</w:t>
      </w:r>
    </w:p>
    <w:p>
      <w:pPr>
        <w:pStyle w:val="BodyText"/>
        <w:spacing w:line="249" w:lineRule="auto" w:before="186"/>
        <w:ind w:right="771"/>
      </w:pPr>
      <w:r>
        <w:rPr>
          <w:b/>
          <w:color w:val="0B0B0B"/>
        </w:rPr>
        <w:t>Knight, Carolyn</w:t>
      </w:r>
      <w:r>
        <w:rPr>
          <w:color w:val="0B0B0B"/>
        </w:rPr>
        <w:t>, (R), Associate Professor, </w:t>
      </w:r>
      <w:r>
        <w:rPr>
          <w:color w:val="0B0B0B"/>
          <w:spacing w:val="-2"/>
        </w:rPr>
        <w:t>School </w:t>
      </w:r>
      <w:r>
        <w:rPr>
          <w:color w:val="0B0B0B"/>
          <w:spacing w:val="-5"/>
        </w:rPr>
        <w:t>of </w:t>
      </w:r>
      <w:r>
        <w:rPr>
          <w:color w:val="0B0B0B"/>
        </w:rPr>
        <w:t>Social Work. PhD, University of Maryland, 1985; MSW, University of Maryland, 1977; </w:t>
      </w:r>
      <w:r>
        <w:rPr>
          <w:color w:val="0B0B0B"/>
          <w:spacing w:val="-3"/>
        </w:rPr>
        <w:t>BA, </w:t>
      </w:r>
      <w:r>
        <w:rPr>
          <w:color w:val="0B0B0B"/>
        </w:rPr>
        <w:t>Goucher College, 1975.</w:t>
      </w:r>
    </w:p>
    <w:p>
      <w:pPr>
        <w:pStyle w:val="BodyText"/>
        <w:spacing w:line="249" w:lineRule="auto" w:before="180"/>
        <w:ind w:right="660"/>
      </w:pPr>
      <w:r>
        <w:rPr>
          <w:b/>
          <w:color w:val="0B0B0B"/>
        </w:rPr>
        <w:t>Koenig, James</w:t>
      </w:r>
      <w:r>
        <w:rPr>
          <w:color w:val="0B0B0B"/>
        </w:rPr>
        <w:t>, (R), Professor, Psychiatry, School of Medicine. PhD, University of Texas, 1983; BS, University of Illinois, 1976.</w:t>
      </w:r>
    </w:p>
    <w:p>
      <w:pPr>
        <w:pStyle w:val="BodyText"/>
        <w:spacing w:line="249" w:lineRule="auto"/>
        <w:ind w:right="615" w:hanging="1"/>
      </w:pPr>
      <w:r>
        <w:rPr>
          <w:b/>
          <w:color w:val="0B0B0B"/>
        </w:rPr>
        <w:t>Kolenbrander, Paul</w:t>
      </w:r>
      <w:r>
        <w:rPr>
          <w:color w:val="0B0B0B"/>
        </w:rPr>
        <w:t>, (S), Chief, Oral Infection and Immunity Branch of the National Institutes of Dental and Craniofacial Research at the National Institutes of Health, Biomedical Sciences, School of Dentistry. PhD, University of Wisconsin, 1969, MS, University of Wisconsin, 1967, BA, Central College, 1964.</w:t>
      </w:r>
    </w:p>
    <w:p>
      <w:pPr>
        <w:pStyle w:val="Heading6"/>
        <w:spacing w:before="182"/>
        <w:rPr>
          <w:b w:val="0"/>
        </w:rPr>
      </w:pPr>
      <w:r>
        <w:rPr>
          <w:color w:val="0B0B0B"/>
        </w:rPr>
        <w:t>Kontrogianni-Konstantopoulos, Aikaterini </w:t>
      </w:r>
      <w:r>
        <w:rPr>
          <w:b w:val="0"/>
          <w:color w:val="0B0B0B"/>
        </w:rPr>
        <w:t>, (R),</w:t>
      </w:r>
    </w:p>
    <w:p>
      <w:pPr>
        <w:spacing w:after="0"/>
        <w:sectPr>
          <w:pgSz w:w="12240" w:h="15840"/>
          <w:pgMar w:header="746" w:footer="0" w:top="1320" w:bottom="280" w:left="880" w:right="300"/>
          <w:cols w:num="2" w:equalWidth="0">
            <w:col w:w="5004" w:space="482"/>
            <w:col w:w="5574"/>
          </w:cols>
        </w:sectPr>
      </w:pPr>
    </w:p>
    <w:p>
      <w:pPr>
        <w:pStyle w:val="BodyText"/>
        <w:spacing w:line="249" w:lineRule="auto" w:before="100"/>
        <w:ind w:right="59"/>
      </w:pPr>
      <w:r>
        <w:rPr>
          <w:color w:val="0B0B0B"/>
        </w:rPr>
        <w:t>Professor, Biochemistry and Molecular Biology, School of Medicine. PhD, Baylor College of Medicine, 1997; BS, University of Patras, 1992.</w:t>
      </w:r>
    </w:p>
    <w:p>
      <w:pPr>
        <w:pStyle w:val="BodyText"/>
        <w:spacing w:line="249" w:lineRule="auto" w:before="180"/>
        <w:ind w:left="199" w:right="199"/>
      </w:pPr>
      <w:r>
        <w:rPr>
          <w:b/>
          <w:color w:val="0B0B0B"/>
        </w:rPr>
        <w:t>Koo, Jae Hyung</w:t>
      </w:r>
      <w:r>
        <w:rPr>
          <w:color w:val="0B0B0B"/>
        </w:rPr>
        <w:t>, (A), Assistant Professor, Anatomy and Neurobiology, School of Medicine. PhD, Yonsei University, 2000; MS, Yonsei University, 1997; BS, Sungkyunkwan University (Korea), 1995.</w:t>
      </w:r>
    </w:p>
    <w:p>
      <w:pPr>
        <w:pStyle w:val="BodyText"/>
        <w:spacing w:line="249" w:lineRule="auto"/>
        <w:ind w:left="199" w:right="74"/>
      </w:pPr>
      <w:r>
        <w:rPr>
          <w:b/>
          <w:color w:val="0B0B0B"/>
        </w:rPr>
        <w:t>Koos, Robert</w:t>
      </w:r>
      <w:r>
        <w:rPr>
          <w:color w:val="0B0B0B"/>
        </w:rPr>
        <w:t>, (R), Professor and Program Director, Physiology, School of Medicine. PhD, Cornell University, 1980; MS, Purdue University, 1975; BS, Purdue University, 1972.</w:t>
      </w:r>
    </w:p>
    <w:p>
      <w:pPr>
        <w:pStyle w:val="BodyText"/>
        <w:spacing w:line="249" w:lineRule="auto" w:before="180"/>
        <w:ind w:left="199" w:right="99"/>
      </w:pPr>
      <w:r>
        <w:rPr>
          <w:b/>
          <w:color w:val="0B0B0B"/>
        </w:rPr>
        <w:t>Koslowe, Patricia</w:t>
      </w:r>
      <w:r>
        <w:rPr>
          <w:color w:val="0B0B0B"/>
        </w:rPr>
        <w:t>, (A), Clinical Instructor, Epidemiology and Public Health, School of Medicine. PhD, Harvard University, 1982; BA, Harvard University, 1971.</w:t>
      </w:r>
    </w:p>
    <w:p>
      <w:pPr>
        <w:pStyle w:val="BodyText"/>
        <w:spacing w:line="249" w:lineRule="auto"/>
        <w:ind w:left="199" w:right="27"/>
      </w:pPr>
      <w:r>
        <w:rPr>
          <w:b/>
          <w:color w:val="0B0B0B"/>
        </w:rPr>
        <w:t>Kottilil, Shyamasundaran</w:t>
      </w:r>
      <w:r>
        <w:rPr>
          <w:color w:val="0B0B0B"/>
        </w:rPr>
        <w:t>, (R), Professor, Medicine, School of Medicine. PhD, Memorial University of Newfoundland, 1997; MD, Trichur Medical College, 1991.</w:t>
      </w:r>
    </w:p>
    <w:p>
      <w:pPr>
        <w:pStyle w:val="BodyText"/>
        <w:spacing w:line="249" w:lineRule="auto" w:before="180"/>
        <w:ind w:left="199" w:right="443"/>
      </w:pPr>
      <w:r>
        <w:rPr>
          <w:b/>
          <w:color w:val="0B0B0B"/>
        </w:rPr>
        <w:t>Krantz, Bryan</w:t>
      </w:r>
      <w:r>
        <w:rPr>
          <w:color w:val="0B0B0B"/>
        </w:rPr>
        <w:t>, (R), Associate Professor, Microbial Pathogenesis, School of Dentistry. PhD, University of Chicago, 2002; BS, Emory University, 1996.</w:t>
      </w:r>
    </w:p>
    <w:p>
      <w:pPr>
        <w:pStyle w:val="BodyText"/>
        <w:spacing w:line="249" w:lineRule="auto" w:before="184"/>
        <w:ind w:left="199" w:right="161"/>
      </w:pPr>
      <w:r>
        <w:rPr>
          <w:b/>
          <w:color w:val="0B0B0B"/>
        </w:rPr>
        <w:t>Krebs, Hermano Igo</w:t>
      </w:r>
      <w:r>
        <w:rPr>
          <w:color w:val="0B0B0B"/>
        </w:rPr>
        <w:t>, (S), Principal Research Scientist, Mechanical Engineering, School of Medicine. PhD, MIT, 1997; MS, Yokohama National University, 1989; MS, Universidade de Sao Paulo, 1987.</w:t>
      </w:r>
    </w:p>
    <w:p>
      <w:pPr>
        <w:pStyle w:val="BodyText"/>
        <w:spacing w:line="249" w:lineRule="auto" w:before="181"/>
        <w:ind w:left="199" w:right="43"/>
      </w:pPr>
      <w:r>
        <w:rPr>
          <w:b/>
          <w:color w:val="0B0B0B"/>
        </w:rPr>
        <w:t>Kreger, Arnold</w:t>
      </w:r>
      <w:r>
        <w:rPr>
          <w:color w:val="0B0B0B"/>
        </w:rPr>
        <w:t>, (A), Adjunct Professor, Epidemiology and Public Health, School of Medicine. PhD, University of Michigan, 1968; BS, Brooklyn College, 1961.</w:t>
      </w:r>
    </w:p>
    <w:p>
      <w:pPr>
        <w:pStyle w:val="BodyText"/>
        <w:spacing w:line="249" w:lineRule="auto"/>
        <w:ind w:left="199" w:right="15"/>
      </w:pPr>
      <w:r>
        <w:rPr>
          <w:b/>
          <w:color w:val="0B0B0B"/>
        </w:rPr>
        <w:t>Kristian, Tibor</w:t>
      </w:r>
      <w:r>
        <w:rPr>
          <w:color w:val="0B0B0B"/>
        </w:rPr>
        <w:t>, (A), Associate Professor, Anesthesiology, School of Medicine. PhD, Slovak Academy of Sciences, 1991; MS, Safarik University, 1982.</w:t>
      </w:r>
    </w:p>
    <w:p>
      <w:pPr>
        <w:pStyle w:val="BodyText"/>
        <w:spacing w:line="249" w:lineRule="auto" w:before="179"/>
        <w:ind w:left="199" w:right="293"/>
      </w:pPr>
      <w:r>
        <w:rPr>
          <w:b/>
          <w:color w:val="0B0B0B"/>
        </w:rPr>
        <w:t>Krol, William F.</w:t>
      </w:r>
      <w:r>
        <w:rPr>
          <w:color w:val="0B0B0B"/>
        </w:rPr>
        <w:t>, (A), School of Medicine. PhD, Johns Hopkins University, 1969; MS, University of Chicago, 1964; BS, University of Chicago, 1958.</w:t>
      </w:r>
    </w:p>
    <w:p>
      <w:pPr>
        <w:pStyle w:val="BodyText"/>
        <w:spacing w:line="249" w:lineRule="auto"/>
        <w:ind w:left="199" w:right="216"/>
      </w:pPr>
      <w:r>
        <w:rPr>
          <w:b/>
          <w:color w:val="0B0B0B"/>
        </w:rPr>
        <w:t>Krueger, Bruce</w:t>
      </w:r>
      <w:r>
        <w:rPr>
          <w:color w:val="0B0B0B"/>
        </w:rPr>
        <w:t>, (R), Professor, Physiology, School of Medicine. PhD, Yale University, 1975; BS, Yale University, 1970.</w:t>
      </w:r>
    </w:p>
    <w:p>
      <w:pPr>
        <w:pStyle w:val="BodyText"/>
        <w:spacing w:line="249" w:lineRule="auto" w:before="180"/>
        <w:ind w:left="199" w:right="218"/>
        <w:jc w:val="both"/>
      </w:pPr>
      <w:r>
        <w:rPr>
          <w:b/>
          <w:color w:val="0B0B0B"/>
        </w:rPr>
        <w:t>Kucher, J. Howard, </w:t>
      </w:r>
      <w:r>
        <w:rPr>
          <w:color w:val="0B0B0B"/>
        </w:rPr>
        <w:t>(A), Associate Professor, Graduate School. BA, Kean University, 1986; MBA, University of Baltimore, 2001; DPA, 2014.</w:t>
      </w:r>
    </w:p>
    <w:p>
      <w:pPr>
        <w:pStyle w:val="BodyText"/>
        <w:spacing w:line="249" w:lineRule="auto" w:before="184"/>
        <w:ind w:left="199" w:right="76"/>
      </w:pPr>
      <w:r>
        <w:rPr>
          <w:b/>
          <w:color w:val="0B0B0B"/>
        </w:rPr>
        <w:t>Kulo, Violet, </w:t>
      </w:r>
      <w:r>
        <w:rPr>
          <w:color w:val="0B0B0B"/>
        </w:rPr>
        <w:t>(A), Associate Professor, Graduate School. BEd, Moi University, 1999; MS, Lehigh University, 2004; EdD, 2011.</w:t>
      </w:r>
    </w:p>
    <w:p>
      <w:pPr>
        <w:spacing w:before="180"/>
        <w:ind w:left="199" w:right="0" w:firstLine="0"/>
        <w:jc w:val="left"/>
        <w:rPr>
          <w:sz w:val="20"/>
        </w:rPr>
      </w:pPr>
      <w:r>
        <w:rPr>
          <w:b/>
          <w:color w:val="0B0B0B"/>
          <w:sz w:val="20"/>
        </w:rPr>
        <w:t>Kusmaul, Nancy</w:t>
      </w:r>
      <w:r>
        <w:rPr>
          <w:color w:val="0B0B0B"/>
          <w:sz w:val="20"/>
        </w:rPr>
        <w:t>, (A), Assistant Professor, School of</w:t>
      </w:r>
    </w:p>
    <w:p>
      <w:pPr>
        <w:pStyle w:val="BodyText"/>
        <w:spacing w:line="249" w:lineRule="auto" w:before="96"/>
        <w:ind w:left="199" w:right="700"/>
      </w:pPr>
      <w:r>
        <w:rPr/>
        <w:br w:type="column"/>
      </w:r>
      <w:r>
        <w:rPr>
          <w:color w:val="0B0B0B"/>
        </w:rPr>
        <w:t>Social Work. PhD, University of Buffalo School of Social Work, 2013; MSW, University of Michigan, 2000; BA, University of Rochester, 1999.</w:t>
      </w:r>
    </w:p>
    <w:p>
      <w:pPr>
        <w:pStyle w:val="BodyText"/>
        <w:spacing w:line="249" w:lineRule="auto" w:before="180"/>
        <w:ind w:left="199" w:right="710"/>
      </w:pPr>
      <w:r>
        <w:rPr>
          <w:b/>
          <w:color w:val="0B0B0B"/>
        </w:rPr>
        <w:t>Kwon, Moo H.H.</w:t>
      </w:r>
      <w:r>
        <w:rPr>
          <w:color w:val="0B0B0B"/>
        </w:rPr>
        <w:t>, (A), Professor, Medicine and Physiology, School of Medicine. PhD, State University of New York, 1987; MS, Seoul National University, 1982; BS, Seoul National University, 1980.</w:t>
      </w:r>
    </w:p>
    <w:p>
      <w:pPr>
        <w:pStyle w:val="BodyText"/>
        <w:spacing w:line="249" w:lineRule="auto"/>
        <w:ind w:left="199" w:right="804"/>
        <w:jc w:val="both"/>
      </w:pPr>
      <w:r>
        <w:rPr>
          <w:b/>
          <w:color w:val="0B0B0B"/>
        </w:rPr>
        <w:t>Lakatta, Edward</w:t>
      </w:r>
      <w:r>
        <w:rPr>
          <w:color w:val="0B0B0B"/>
        </w:rPr>
        <w:t>, (A), Associate Professor, </w:t>
      </w:r>
      <w:r>
        <w:rPr>
          <w:color w:val="0B0B0B"/>
          <w:spacing w:val="-3"/>
        </w:rPr>
        <w:t>Physiology, </w:t>
      </w:r>
      <w:r>
        <w:rPr>
          <w:color w:val="0B0B0B"/>
          <w:spacing w:val="-2"/>
        </w:rPr>
        <w:t>School </w:t>
      </w:r>
      <w:r>
        <w:rPr>
          <w:color w:val="0B0B0B"/>
        </w:rPr>
        <w:t>of Medicine. MD, </w:t>
      </w:r>
      <w:r>
        <w:rPr>
          <w:color w:val="0B0B0B"/>
          <w:spacing w:val="-3"/>
        </w:rPr>
        <w:t>Georgetown </w:t>
      </w:r>
      <w:r>
        <w:rPr>
          <w:color w:val="0B0B0B"/>
        </w:rPr>
        <w:t>University, 1970; </w:t>
      </w:r>
      <w:r>
        <w:rPr>
          <w:color w:val="0B0B0B"/>
          <w:spacing w:val="-3"/>
        </w:rPr>
        <w:t>BS, </w:t>
      </w:r>
      <w:r>
        <w:rPr>
          <w:color w:val="0B0B0B"/>
        </w:rPr>
        <w:t>University of Scranton, 1966.</w:t>
      </w:r>
    </w:p>
    <w:p>
      <w:pPr>
        <w:pStyle w:val="BodyText"/>
        <w:spacing w:line="249" w:lineRule="auto" w:before="180"/>
        <w:ind w:left="199" w:right="761"/>
      </w:pPr>
      <w:r>
        <w:rPr>
          <w:b/>
          <w:color w:val="0B0B0B"/>
        </w:rPr>
        <w:t>Lakowicz, Joseph</w:t>
      </w:r>
      <w:r>
        <w:rPr>
          <w:color w:val="0B0B0B"/>
        </w:rPr>
        <w:t>, (R), Professor, Biochemistry and Molecular Biology, School of Medicine. PhD, University of Illinois, 1973; MS, University of Illinois, 1971; BS, Lasalle College, 1970.</w:t>
      </w:r>
    </w:p>
    <w:p>
      <w:pPr>
        <w:pStyle w:val="BodyText"/>
        <w:spacing w:line="249" w:lineRule="auto"/>
        <w:ind w:left="199" w:right="638"/>
      </w:pPr>
      <w:r>
        <w:rPr>
          <w:b/>
          <w:color w:val="0B0B0B"/>
        </w:rPr>
        <w:t>Lane, Wendy G., </w:t>
      </w:r>
      <w:r>
        <w:rPr>
          <w:color w:val="0B0B0B"/>
        </w:rPr>
        <w:t>(R), Associate Professor, Epidemiology and Public Health, </w:t>
      </w:r>
      <w:r>
        <w:rPr>
          <w:color w:val="0B0B0B"/>
          <w:spacing w:val="-2"/>
        </w:rPr>
        <w:t>School </w:t>
      </w:r>
      <w:r>
        <w:rPr>
          <w:color w:val="0B0B0B"/>
          <w:spacing w:val="-3"/>
        </w:rPr>
        <w:t>of </w:t>
      </w:r>
      <w:r>
        <w:rPr>
          <w:color w:val="0B0B0B"/>
        </w:rPr>
        <w:t>Medicine. </w:t>
      </w:r>
      <w:r>
        <w:rPr>
          <w:color w:val="0B0B0B"/>
          <w:spacing w:val="-3"/>
        </w:rPr>
        <w:t>MPH, </w:t>
      </w:r>
      <w:r>
        <w:rPr>
          <w:color w:val="0B0B0B"/>
        </w:rPr>
        <w:t>University of North Carolina </w:t>
      </w:r>
      <w:r>
        <w:rPr>
          <w:color w:val="0B0B0B"/>
          <w:spacing w:val="-3"/>
        </w:rPr>
        <w:t>School of </w:t>
      </w:r>
      <w:r>
        <w:rPr>
          <w:color w:val="0B0B0B"/>
        </w:rPr>
        <w:t>Public Health, 1998; </w:t>
      </w:r>
      <w:r>
        <w:rPr>
          <w:color w:val="0B0B0B"/>
          <w:spacing w:val="-3"/>
        </w:rPr>
        <w:t>MD, </w:t>
      </w:r>
      <w:r>
        <w:rPr>
          <w:color w:val="0B0B0B"/>
        </w:rPr>
        <w:t>University of Pennsylvania </w:t>
      </w:r>
      <w:r>
        <w:rPr>
          <w:color w:val="0B0B0B"/>
          <w:spacing w:val="-3"/>
        </w:rPr>
        <w:t>School </w:t>
      </w:r>
      <w:r>
        <w:rPr>
          <w:color w:val="0B0B0B"/>
        </w:rPr>
        <w:t>of Medicine, 1995; </w:t>
      </w:r>
      <w:r>
        <w:rPr>
          <w:color w:val="0B0B0B"/>
          <w:spacing w:val="-3"/>
        </w:rPr>
        <w:t>BA, </w:t>
      </w:r>
      <w:r>
        <w:rPr>
          <w:color w:val="0B0B0B"/>
        </w:rPr>
        <w:t>University of Pennsylvania,</w:t>
      </w:r>
      <w:r>
        <w:rPr>
          <w:color w:val="0B0B0B"/>
          <w:spacing w:val="-10"/>
        </w:rPr>
        <w:t> </w:t>
      </w:r>
      <w:r>
        <w:rPr>
          <w:color w:val="0B0B0B"/>
        </w:rPr>
        <w:t>1991.</w:t>
      </w:r>
    </w:p>
    <w:p>
      <w:pPr>
        <w:pStyle w:val="BodyText"/>
        <w:spacing w:line="249" w:lineRule="auto" w:before="182"/>
        <w:ind w:left="199" w:right="712"/>
      </w:pPr>
      <w:r>
        <w:rPr>
          <w:b/>
          <w:color w:val="0B0B0B"/>
        </w:rPr>
        <w:t>Langenberg, Patricia</w:t>
      </w:r>
      <w:r>
        <w:rPr>
          <w:color w:val="0B0B0B"/>
        </w:rPr>
        <w:t>, (R), Professor Emeritus, Epidemiology and Public Health, School of Medicine. PhD, Temple University, 1978; MA, Temple University, 1975; BS, Iowa State University, 1953.</w:t>
      </w:r>
    </w:p>
    <w:p>
      <w:pPr>
        <w:pStyle w:val="BodyText"/>
        <w:spacing w:line="249" w:lineRule="auto"/>
        <w:ind w:left="199" w:right="727"/>
      </w:pPr>
      <w:r>
        <w:rPr>
          <w:b/>
          <w:color w:val="0B0B0B"/>
        </w:rPr>
        <w:t>Lapidus, Rena</w:t>
      </w:r>
      <w:r>
        <w:rPr>
          <w:color w:val="0B0B0B"/>
        </w:rPr>
        <w:t>, (R), Assistant Professor, Oncology, School of Medicine. PhD, University of Maryland School of Medicine, 1993; BA, Boston University, 1986.</w:t>
      </w:r>
    </w:p>
    <w:p>
      <w:pPr>
        <w:pStyle w:val="BodyText"/>
        <w:spacing w:line="249" w:lineRule="auto" w:before="180"/>
        <w:ind w:left="199" w:right="605"/>
      </w:pPr>
      <w:r>
        <w:rPr>
          <w:b/>
          <w:color w:val="0B0B0B"/>
        </w:rPr>
        <w:t>Laufer, Miriam</w:t>
      </w:r>
      <w:r>
        <w:rPr>
          <w:color w:val="0B0B0B"/>
        </w:rPr>
        <w:t>, (R), Associate Professor, Pediatrics, School of Medicine. MPH, Johns Hopkins University, 2007; MD, University of Pennsylvania, 1997; BA, Brown University, 1992.</w:t>
      </w:r>
    </w:p>
    <w:p>
      <w:pPr>
        <w:pStyle w:val="BodyText"/>
        <w:spacing w:line="249" w:lineRule="auto"/>
        <w:ind w:left="199" w:right="972"/>
      </w:pPr>
      <w:r>
        <w:rPr>
          <w:b/>
          <w:color w:val="0B0B0B"/>
        </w:rPr>
        <w:t>Lederer, Jonathan W.</w:t>
      </w:r>
      <w:r>
        <w:rPr>
          <w:color w:val="0B0B0B"/>
        </w:rPr>
        <w:t>, (R), Professor, Physiology, School of Medicine. MD, Yale University, 1976; PhD, Yale University, 1975; BA, Harvard University, 1970.</w:t>
      </w:r>
    </w:p>
    <w:p>
      <w:pPr>
        <w:pStyle w:val="BodyText"/>
        <w:spacing w:line="249" w:lineRule="auto" w:before="180"/>
        <w:ind w:left="199" w:right="761"/>
      </w:pPr>
      <w:r>
        <w:rPr>
          <w:b/>
          <w:color w:val="0B0B0B"/>
        </w:rPr>
        <w:t>Lee, Bethany</w:t>
      </w:r>
      <w:r>
        <w:rPr>
          <w:color w:val="0B0B0B"/>
        </w:rPr>
        <w:t>, (R), Associate Professor, School of Social Work. PhD, Washington University, 2007; MSW, Washington University, 1999; BA, Taylor University, 1996.</w:t>
      </w:r>
    </w:p>
    <w:p>
      <w:pPr>
        <w:pStyle w:val="BodyText"/>
        <w:spacing w:line="249" w:lineRule="auto"/>
        <w:ind w:left="199" w:right="689"/>
      </w:pPr>
      <w:r>
        <w:rPr>
          <w:b/>
          <w:color w:val="0B0B0B"/>
        </w:rPr>
        <w:t>Lee, Dustin, </w:t>
      </w:r>
      <w:r>
        <w:rPr>
          <w:color w:val="0B0B0B"/>
        </w:rPr>
        <w:t>(A), Patent Attorney, Office of Research and Development. BS, University of Michigan, 2008; JD, Michigan State University College of Law, 2013.</w:t>
      </w:r>
    </w:p>
    <w:p>
      <w:pPr>
        <w:pStyle w:val="BodyText"/>
        <w:spacing w:line="249" w:lineRule="auto" w:before="180"/>
        <w:ind w:left="199" w:right="738"/>
      </w:pPr>
      <w:r>
        <w:rPr>
          <w:b/>
          <w:color w:val="0B0B0B"/>
        </w:rPr>
        <w:t>Leekha, Surbhi</w:t>
      </w:r>
      <w:r>
        <w:rPr>
          <w:color w:val="0B0B0B"/>
        </w:rPr>
        <w:t>, (A), Associate Professor, Epidemiology and Public Health, School of Medicine. MPH, University of Massachusetts, 2004; MBBS, All India Institute of Medical Sciences, 2002.</w:t>
      </w:r>
    </w:p>
    <w:p>
      <w:pPr>
        <w:spacing w:after="0" w:line="249" w:lineRule="auto"/>
        <w:sectPr>
          <w:pgSz w:w="12240" w:h="15840"/>
          <w:pgMar w:header="746" w:footer="0" w:top="1320" w:bottom="280" w:left="880" w:right="300"/>
          <w:cols w:num="2" w:equalWidth="0">
            <w:col w:w="4990" w:space="496"/>
            <w:col w:w="5574"/>
          </w:cols>
        </w:sectPr>
      </w:pPr>
    </w:p>
    <w:p>
      <w:pPr>
        <w:pStyle w:val="BodyText"/>
        <w:spacing w:line="249" w:lineRule="auto" w:before="100"/>
        <w:ind w:right="20"/>
      </w:pPr>
      <w:r>
        <w:rPr>
          <w:b/>
          <w:color w:val="0B0B0B"/>
        </w:rPr>
        <w:t>Lehning, Amanda</w:t>
      </w:r>
      <w:r>
        <w:rPr>
          <w:color w:val="0B0B0B"/>
        </w:rPr>
        <w:t>, (A), Assistant Professor, School of Social Work. PhD, University of California, Berkeley, 2010; MSW, Bryn Mawr College, 2005; BA, University of Delaware, 2000.</w:t>
      </w:r>
    </w:p>
    <w:p>
      <w:pPr>
        <w:pStyle w:val="BodyText"/>
        <w:spacing w:line="249" w:lineRule="auto" w:before="180"/>
        <w:ind w:right="26"/>
      </w:pPr>
      <w:r>
        <w:rPr>
          <w:b/>
          <w:color w:val="0B0B0B"/>
        </w:rPr>
        <w:t>Lemaire, Gail</w:t>
      </w:r>
      <w:r>
        <w:rPr>
          <w:color w:val="0B0B0B"/>
        </w:rPr>
        <w:t>, (A), Associate Professor, Behavioral and Community Health, School of Nursing. PhD, University of Maryland, 1996; MS, University of Texas, 1978; BS, Boston University, 1971.</w:t>
      </w:r>
    </w:p>
    <w:p>
      <w:pPr>
        <w:pStyle w:val="BodyText"/>
        <w:spacing w:line="249" w:lineRule="auto" w:before="186"/>
        <w:ind w:right="154"/>
      </w:pPr>
      <w:r>
        <w:rPr>
          <w:b/>
          <w:color w:val="0B0B0B"/>
        </w:rPr>
        <w:t>Lerner, Nancy</w:t>
      </w:r>
      <w:r>
        <w:rPr>
          <w:color w:val="0B0B0B"/>
        </w:rPr>
        <w:t>, (A), Associate Professor, Organizational Systems and Adult Health, School of Nursing. DNP, University of Maryland, 2010, MS, University of Maryland, 1975, BS, University of Maryland, 1966.</w:t>
      </w:r>
    </w:p>
    <w:p>
      <w:pPr>
        <w:pStyle w:val="BodyText"/>
        <w:spacing w:line="249" w:lineRule="auto" w:before="180"/>
        <w:ind w:right="43"/>
      </w:pPr>
      <w:r>
        <w:rPr>
          <w:b/>
          <w:color w:val="0B0B0B"/>
        </w:rPr>
        <w:t>Lessans, Sherrie</w:t>
      </w:r>
      <w:r>
        <w:rPr>
          <w:color w:val="0B0B0B"/>
        </w:rPr>
        <w:t>, (A), Assistant Professor, Organizational Systems and Adult Health, School of Nursing. PhD, University of Maryland, 2010; MSN, University of North Carolina, 1986; BSN, Medical College of Virginia, 1978.</w:t>
      </w:r>
    </w:p>
    <w:p>
      <w:pPr>
        <w:pStyle w:val="BodyText"/>
        <w:spacing w:line="249" w:lineRule="auto"/>
        <w:ind w:right="48"/>
      </w:pPr>
      <w:r>
        <w:rPr>
          <w:b/>
          <w:color w:val="0B0B0B"/>
        </w:rPr>
        <w:t>Leventer, Marvin</w:t>
      </w:r>
      <w:r>
        <w:rPr>
          <w:color w:val="0B0B0B"/>
        </w:rPr>
        <w:t>, (A), Associate Professor, Pediatric Dentistry, School of Dentistry. DDS, Baltimore College of Dental Surgery, 1990, BA, Yeshiva University, 1985.</w:t>
      </w:r>
    </w:p>
    <w:p>
      <w:pPr>
        <w:pStyle w:val="BodyText"/>
        <w:spacing w:line="249" w:lineRule="auto" w:before="180"/>
        <w:ind w:right="76"/>
      </w:pPr>
      <w:r>
        <w:rPr>
          <w:b/>
          <w:color w:val="0B0B0B"/>
        </w:rPr>
        <w:t>Levine, Barry</w:t>
      </w:r>
      <w:r>
        <w:rPr>
          <w:color w:val="0B0B0B"/>
        </w:rPr>
        <w:t>, (R), Associate Professor, Pathology, School of Medicine. PhD, Virginia Commonwealth University, 1982; BS, Loyola College, 1978.</w:t>
      </w:r>
    </w:p>
    <w:p>
      <w:pPr>
        <w:pStyle w:val="BodyText"/>
        <w:spacing w:line="249" w:lineRule="auto"/>
        <w:ind w:right="70"/>
      </w:pPr>
      <w:r>
        <w:rPr>
          <w:b/>
          <w:color w:val="0B0B0B"/>
        </w:rPr>
        <w:t>Levine, Myron</w:t>
      </w:r>
      <w:r>
        <w:rPr>
          <w:color w:val="0B0B0B"/>
        </w:rPr>
        <w:t>, (R), Professor, Microbiology and Immunology, School of Medicine. DTPH, London School of Hygiene and Tropical Medicine, 1974; MD, Medical College of Virginia, 1967; BS, City College of New York, 1963.</w:t>
      </w:r>
    </w:p>
    <w:p>
      <w:pPr>
        <w:pStyle w:val="BodyText"/>
        <w:spacing w:line="249" w:lineRule="auto" w:before="181"/>
        <w:ind w:right="559"/>
      </w:pPr>
      <w:r>
        <w:rPr>
          <w:b/>
          <w:color w:val="0B0B0B"/>
        </w:rPr>
        <w:t>Levy, Bernard</w:t>
      </w:r>
      <w:r>
        <w:rPr>
          <w:color w:val="0B0B0B"/>
        </w:rPr>
        <w:t>, (R), Associate Professor, Oral and Experimental Pathology, School of Dentistry. MSD, Indiana University, 1969. DDS, Western Reserve University, 1966. AB, Ohio University, 1963.</w:t>
      </w:r>
    </w:p>
    <w:p>
      <w:pPr>
        <w:pStyle w:val="BodyText"/>
        <w:spacing w:line="249" w:lineRule="auto"/>
        <w:ind w:right="192"/>
      </w:pPr>
      <w:r>
        <w:rPr>
          <w:b/>
          <w:color w:val="0B0B0B"/>
        </w:rPr>
        <w:t>Lewis, Ericka M.</w:t>
      </w:r>
      <w:r>
        <w:rPr>
          <w:color w:val="0B0B0B"/>
        </w:rPr>
        <w:t>, (A), Assistant Professor, School of Social Work. PhD, Washington University, 2017; MSW, Georgia State University, 2008; BA, University of West Virginia, 2005.</w:t>
      </w:r>
    </w:p>
    <w:p>
      <w:pPr>
        <w:pStyle w:val="BodyText"/>
        <w:spacing w:line="249" w:lineRule="auto" w:before="181"/>
        <w:ind w:left="199" w:right="21"/>
      </w:pPr>
      <w:r>
        <w:rPr>
          <w:b/>
          <w:color w:val="0B0B0B"/>
        </w:rPr>
        <w:t>Lewis, George</w:t>
      </w:r>
      <w:r>
        <w:rPr>
          <w:color w:val="0B0B0B"/>
        </w:rPr>
        <w:t>, (R), Professor, Microbiology and Immunology, School of Medicine. PhD, University of California, 1973; MA, University of California, 1969; BM, University of Hawaii, 1966.</w:t>
      </w:r>
    </w:p>
    <w:p>
      <w:pPr>
        <w:pStyle w:val="BodyText"/>
        <w:spacing w:line="249" w:lineRule="auto"/>
        <w:ind w:left="199" w:right="177"/>
      </w:pPr>
      <w:r>
        <w:rPr>
          <w:b/>
          <w:color w:val="0B0B0B"/>
        </w:rPr>
        <w:t>Lewis, Joshua</w:t>
      </w:r>
      <w:r>
        <w:rPr>
          <w:color w:val="0B0B0B"/>
        </w:rPr>
        <w:t>, (A), Assistant Professor, School of Medicine. PhD, Wake Forest University, 2009; BS, State University of New York, 2004.</w:t>
      </w:r>
    </w:p>
    <w:p>
      <w:pPr>
        <w:pStyle w:val="BodyText"/>
        <w:spacing w:line="249" w:lineRule="auto" w:before="180"/>
        <w:ind w:left="199" w:right="466"/>
      </w:pPr>
      <w:r>
        <w:rPr>
          <w:b/>
          <w:color w:val="0B0B0B"/>
        </w:rPr>
        <w:t>Li, Ling, </w:t>
      </w:r>
      <w:r>
        <w:rPr>
          <w:color w:val="0B0B0B"/>
        </w:rPr>
        <w:t>(S), Associate Professor, Department of Pathology, School of Medicine. MM, Tongji Medical</w:t>
      </w:r>
    </w:p>
    <w:p>
      <w:pPr>
        <w:pStyle w:val="BodyText"/>
        <w:spacing w:before="96"/>
        <w:ind w:left="199"/>
      </w:pPr>
      <w:r>
        <w:rPr/>
        <w:br w:type="column"/>
      </w:r>
      <w:r>
        <w:rPr>
          <w:color w:val="0B0B0B"/>
        </w:rPr>
        <w:t>University, 1986; BM, Tongji Medical University, 1982.</w:t>
      </w:r>
    </w:p>
    <w:p>
      <w:pPr>
        <w:pStyle w:val="BodyText"/>
        <w:spacing w:line="249" w:lineRule="auto" w:before="187"/>
        <w:ind w:left="199" w:right="777"/>
      </w:pPr>
      <w:r>
        <w:rPr>
          <w:b/>
          <w:color w:val="0B0B0B"/>
        </w:rPr>
        <w:t>Liang, Yuanyuan</w:t>
      </w:r>
      <w:r>
        <w:rPr>
          <w:color w:val="0B0B0B"/>
        </w:rPr>
        <w:t>, (R), Professor, Epidemiology and Public Health, School of Medicine. PhD, University of Alberta Edmonton, 2006; MS, 2003; BS, Beijing Normal University, 2000.</w:t>
      </w:r>
    </w:p>
    <w:p>
      <w:pPr>
        <w:pStyle w:val="BodyText"/>
        <w:spacing w:line="249" w:lineRule="auto" w:before="186"/>
        <w:ind w:left="199" w:right="894"/>
      </w:pPr>
      <w:r>
        <w:rPr>
          <w:b/>
          <w:color w:val="0B0B0B"/>
        </w:rPr>
        <w:t>Liang, Yulan, </w:t>
      </w:r>
      <w:r>
        <w:rPr>
          <w:color w:val="0B0B0B"/>
        </w:rPr>
        <w:t>(R), Associate Professor, Organizational Systems and Adult Health, School of Nursing. PhD, University of Memphis, 2003; MS, University of Memphis, 2001; BS, HeBei University, 1998.</w:t>
      </w:r>
    </w:p>
    <w:p>
      <w:pPr>
        <w:pStyle w:val="BodyText"/>
        <w:spacing w:line="249" w:lineRule="auto" w:before="180"/>
        <w:ind w:left="199" w:right="610"/>
      </w:pPr>
      <w:r>
        <w:rPr>
          <w:b/>
          <w:color w:val="0B0B0B"/>
        </w:rPr>
        <w:t>Liggett, Stephen</w:t>
      </w:r>
      <w:r>
        <w:rPr>
          <w:color w:val="0B0B0B"/>
        </w:rPr>
        <w:t>, (R), Professor, Medicine and Physiology, School of Medicine. MD, University of Miami School of Medicine, 1982; BS, Georgia Institute of Technology, 1977.</w:t>
      </w:r>
    </w:p>
    <w:p>
      <w:pPr>
        <w:pStyle w:val="BodyText"/>
        <w:spacing w:line="249" w:lineRule="auto" w:before="186"/>
        <w:ind w:left="199" w:right="929"/>
        <w:jc w:val="both"/>
      </w:pPr>
      <w:r>
        <w:rPr>
          <w:b/>
          <w:color w:val="0B0B0B"/>
        </w:rPr>
        <w:t>Lilly, Flavius, </w:t>
      </w:r>
      <w:r>
        <w:rPr>
          <w:color w:val="0B0B0B"/>
        </w:rPr>
        <w:t>(A), Graduate School. BS, Wright State University, 1998; MPH, Drexel University, 2000; MA, University of Maryland, Baltimore County, 2013; PhD, University of Maryland, Baltimore County, 2015.</w:t>
      </w:r>
    </w:p>
    <w:p>
      <w:pPr>
        <w:pStyle w:val="BodyText"/>
        <w:spacing w:line="249" w:lineRule="auto" w:before="180"/>
        <w:ind w:left="199" w:right="716"/>
      </w:pPr>
      <w:r>
        <w:rPr>
          <w:b/>
          <w:color w:val="0B0B0B"/>
        </w:rPr>
        <w:t>Lilly, Michael</w:t>
      </w:r>
      <w:r>
        <w:rPr>
          <w:color w:val="0B0B0B"/>
        </w:rPr>
        <w:t>, (A), Associate Professor, Surgery, School of Medicine. MD, Georgetown University, 1978; MA, Columbia University, 1974; BA, College of Holy Cross, 1973.</w:t>
      </w:r>
    </w:p>
    <w:p>
      <w:pPr>
        <w:pStyle w:val="BodyText"/>
        <w:spacing w:line="249" w:lineRule="auto"/>
        <w:ind w:left="199" w:right="611"/>
      </w:pPr>
      <w:r>
        <w:rPr>
          <w:b/>
          <w:color w:val="0B0B0B"/>
        </w:rPr>
        <w:t>Limkangwalmongkol, Penwadee</w:t>
      </w:r>
      <w:r>
        <w:rPr>
          <w:color w:val="0B0B0B"/>
        </w:rPr>
        <w:t>, (A), Assistant Professor, Biomedical Sciences, School of Dentistry. DDS, Prince of Songkhla University, Thailand, 1995; MS, Ohio State University, 2002.</w:t>
      </w:r>
    </w:p>
    <w:p>
      <w:pPr>
        <w:pStyle w:val="BodyText"/>
        <w:spacing w:line="249" w:lineRule="auto" w:before="181"/>
        <w:ind w:left="199" w:right="1133"/>
      </w:pPr>
      <w:r>
        <w:rPr>
          <w:b/>
          <w:color w:val="0B0B0B"/>
        </w:rPr>
        <w:t>Lin, Jiayuh</w:t>
      </w:r>
      <w:r>
        <w:rPr>
          <w:color w:val="0B0B0B"/>
        </w:rPr>
        <w:t>, Professor, Biochemistry and Molecular Biology, School of Medicine.</w:t>
      </w:r>
    </w:p>
    <w:p>
      <w:pPr>
        <w:pStyle w:val="BodyText"/>
        <w:spacing w:line="249" w:lineRule="auto" w:before="184"/>
        <w:ind w:left="199" w:right="641"/>
      </w:pPr>
      <w:r>
        <w:rPr>
          <w:b/>
          <w:color w:val="0B0B0B"/>
        </w:rPr>
        <w:t>Lin, Ping-I</w:t>
      </w:r>
      <w:r>
        <w:rPr>
          <w:color w:val="0B0B0B"/>
        </w:rPr>
        <w:t>, (A), Assistant Professor, Molecular Medicine, </w:t>
      </w:r>
      <w:r>
        <w:rPr>
          <w:color w:val="0B0B0B"/>
          <w:spacing w:val="-2"/>
        </w:rPr>
        <w:t>School </w:t>
      </w:r>
      <w:r>
        <w:rPr>
          <w:color w:val="0B0B0B"/>
        </w:rPr>
        <w:t>of Medicine. PhD, Johns Hopkins University, 2005; </w:t>
      </w:r>
      <w:r>
        <w:rPr>
          <w:color w:val="0B0B0B"/>
          <w:spacing w:val="-3"/>
        </w:rPr>
        <w:t>MHS, </w:t>
      </w:r>
      <w:r>
        <w:rPr>
          <w:color w:val="0B0B0B"/>
        </w:rPr>
        <w:t>Johns Hopkins University, 2002; </w:t>
      </w:r>
      <w:r>
        <w:rPr>
          <w:color w:val="0B0B0B"/>
          <w:spacing w:val="-2"/>
        </w:rPr>
        <w:t>MD, </w:t>
      </w:r>
      <w:r>
        <w:rPr>
          <w:color w:val="0B0B0B"/>
        </w:rPr>
        <w:t>National Taiwan University,</w:t>
      </w:r>
      <w:r>
        <w:rPr>
          <w:color w:val="0B0B0B"/>
          <w:spacing w:val="4"/>
        </w:rPr>
        <w:t> </w:t>
      </w:r>
      <w:r>
        <w:rPr>
          <w:color w:val="0B0B0B"/>
        </w:rPr>
        <w:t>1998.</w:t>
      </w:r>
    </w:p>
    <w:p>
      <w:pPr>
        <w:pStyle w:val="BodyText"/>
        <w:spacing w:line="249" w:lineRule="auto" w:before="180"/>
        <w:ind w:left="199" w:right="618"/>
      </w:pPr>
      <w:r>
        <w:rPr>
          <w:b/>
          <w:color w:val="0B0B0B"/>
        </w:rPr>
        <w:t>Lindberg, </w:t>
      </w:r>
      <w:r>
        <w:rPr>
          <w:b/>
          <w:color w:val="0B0B0B"/>
          <w:spacing w:val="-3"/>
        </w:rPr>
        <w:t>Iris</w:t>
      </w:r>
      <w:r>
        <w:rPr>
          <w:color w:val="0B0B0B"/>
          <w:spacing w:val="-3"/>
        </w:rPr>
        <w:t>, </w:t>
      </w:r>
      <w:r>
        <w:rPr>
          <w:color w:val="0B0B0B"/>
        </w:rPr>
        <w:t>(R), Professor, Anatomy and Neurobiology, </w:t>
      </w:r>
      <w:r>
        <w:rPr>
          <w:color w:val="0B0B0B"/>
          <w:spacing w:val="-2"/>
        </w:rPr>
        <w:t>School </w:t>
      </w:r>
      <w:r>
        <w:rPr>
          <w:color w:val="0B0B0B"/>
        </w:rPr>
        <w:t>of Medicine. </w:t>
      </w:r>
      <w:r>
        <w:rPr>
          <w:color w:val="0B0B0B"/>
          <w:spacing w:val="-3"/>
        </w:rPr>
        <w:t>PhD, </w:t>
      </w:r>
      <w:r>
        <w:rPr>
          <w:color w:val="0B0B0B"/>
        </w:rPr>
        <w:t>University of Wisconsin-Madison Medical </w:t>
      </w:r>
      <w:r>
        <w:rPr>
          <w:color w:val="0B0B0B"/>
          <w:spacing w:val="-3"/>
        </w:rPr>
        <w:t>School, </w:t>
      </w:r>
      <w:r>
        <w:rPr>
          <w:color w:val="0B0B0B"/>
        </w:rPr>
        <w:t>1980; </w:t>
      </w:r>
      <w:r>
        <w:rPr>
          <w:color w:val="0B0B0B"/>
          <w:spacing w:val="-3"/>
        </w:rPr>
        <w:t>BA, </w:t>
      </w:r>
      <w:r>
        <w:rPr>
          <w:color w:val="0B0B0B"/>
        </w:rPr>
        <w:t>University of California, </w:t>
      </w:r>
      <w:r>
        <w:rPr>
          <w:color w:val="0B0B0B"/>
          <w:spacing w:val="-3"/>
        </w:rPr>
        <w:t>Berkeley,</w:t>
      </w:r>
      <w:r>
        <w:rPr>
          <w:color w:val="0B0B0B"/>
          <w:spacing w:val="8"/>
        </w:rPr>
        <w:t> </w:t>
      </w:r>
      <w:r>
        <w:rPr>
          <w:color w:val="0B0B0B"/>
        </w:rPr>
        <w:t>1975.</w:t>
      </w:r>
    </w:p>
    <w:p>
      <w:pPr>
        <w:pStyle w:val="BodyText"/>
        <w:spacing w:line="249" w:lineRule="auto" w:before="186"/>
        <w:ind w:left="199" w:right="573"/>
      </w:pPr>
      <w:r>
        <w:rPr>
          <w:b/>
          <w:color w:val="0B0B0B"/>
        </w:rPr>
        <w:t>Lipinski, Marta</w:t>
      </w:r>
      <w:r>
        <w:rPr>
          <w:color w:val="0B0B0B"/>
        </w:rPr>
        <w:t>, (R), Assistant Professor, Anesthesiology, School of Medicine. PhD, Massachusetts Institute of Technology, 2002; BA, Indiana University, 1995.</w:t>
      </w:r>
    </w:p>
    <w:p>
      <w:pPr>
        <w:pStyle w:val="BodyText"/>
        <w:spacing w:line="249" w:lineRule="auto" w:before="180"/>
        <w:ind w:left="199" w:right="605"/>
      </w:pPr>
      <w:r>
        <w:rPr>
          <w:b/>
          <w:color w:val="0B0B0B"/>
        </w:rPr>
        <w:t>Lipsky Jr., Michael</w:t>
      </w:r>
      <w:r>
        <w:rPr>
          <w:color w:val="0B0B0B"/>
        </w:rPr>
        <w:t>, (R), Professor, Pathology, School of Medicine. PhD, University of Maryland, 1979, BS, Villanova University, 1973.</w:t>
      </w:r>
    </w:p>
    <w:p>
      <w:pPr>
        <w:pStyle w:val="BodyText"/>
        <w:spacing w:line="249" w:lineRule="auto" w:before="184"/>
        <w:ind w:left="199" w:right="594"/>
      </w:pPr>
      <w:r>
        <w:rPr>
          <w:b/>
          <w:color w:val="0B0B0B"/>
        </w:rPr>
        <w:t>Litkowski, Leonard</w:t>
      </w:r>
      <w:r>
        <w:rPr>
          <w:color w:val="0B0B0B"/>
        </w:rPr>
        <w:t>, (A), Associate Professor, Restorative Dentistry, School of Dentistry. DDS, University of Maryland, 1985; MS, University of Maryland, 1983; BS,</w:t>
      </w:r>
    </w:p>
    <w:p>
      <w:pPr>
        <w:spacing w:after="0" w:line="249" w:lineRule="auto"/>
        <w:sectPr>
          <w:pgSz w:w="12240" w:h="15840"/>
          <w:pgMar w:header="746" w:footer="0" w:top="1320" w:bottom="280" w:left="880" w:right="300"/>
          <w:cols w:num="2" w:equalWidth="0">
            <w:col w:w="4968" w:space="518"/>
            <w:col w:w="5574"/>
          </w:cols>
        </w:sectPr>
      </w:pPr>
    </w:p>
    <w:p>
      <w:pPr>
        <w:pStyle w:val="BodyText"/>
        <w:spacing w:before="100"/>
      </w:pPr>
      <w:r>
        <w:rPr>
          <w:color w:val="0B0B0B"/>
        </w:rPr>
        <w:t>University of Maryland, 1976.</w:t>
      </w:r>
    </w:p>
    <w:p>
      <w:pPr>
        <w:pStyle w:val="BodyText"/>
        <w:spacing w:line="249" w:lineRule="auto" w:before="187"/>
        <w:ind w:left="199" w:right="464"/>
      </w:pPr>
      <w:r>
        <w:rPr>
          <w:b/>
          <w:color w:val="0B0B0B"/>
        </w:rPr>
        <w:t>Little, Samuel</w:t>
      </w:r>
      <w:r>
        <w:rPr>
          <w:color w:val="0B0B0B"/>
        </w:rPr>
        <w:t>, (A), Assistant Dean, School of Social Work. PhD, University of Maryland, 1986, MSW, University of Pennsylvania, 1974, BA, Morgan State University, 1972.</w:t>
      </w:r>
    </w:p>
    <w:p>
      <w:pPr>
        <w:pStyle w:val="BodyText"/>
        <w:spacing w:line="249" w:lineRule="auto" w:before="186"/>
        <w:ind w:left="199" w:right="24"/>
      </w:pPr>
      <w:r>
        <w:rPr>
          <w:b/>
          <w:color w:val="0B0B0B"/>
        </w:rPr>
        <w:t>Litwack, David E.</w:t>
      </w:r>
      <w:r>
        <w:rPr>
          <w:color w:val="0B0B0B"/>
        </w:rPr>
        <w:t>, (A), Assistant Professor, Anatomy and Neurobiology, School of Medicine. PhD, Massachusetts Institute of Technology, 1995; BS, University of Chicago, 1988.</w:t>
      </w:r>
    </w:p>
    <w:p>
      <w:pPr>
        <w:pStyle w:val="BodyText"/>
        <w:spacing w:line="249" w:lineRule="auto" w:before="180"/>
        <w:ind w:left="199" w:right="319"/>
      </w:pPr>
      <w:r>
        <w:rPr>
          <w:b/>
          <w:color w:val="0B0B0B"/>
        </w:rPr>
        <w:t>Liu, Shaolin</w:t>
      </w:r>
      <w:r>
        <w:rPr>
          <w:color w:val="0B0B0B"/>
        </w:rPr>
        <w:t>, (A), Assistant Professor, Anatomy and Neurobiology, School of Medicine. PhD, Peking Union Medical College, 1998; MS, Jiangxi Medical College, 1995; BS, Gannan Medical College, 1989.</w:t>
      </w:r>
    </w:p>
    <w:p>
      <w:pPr>
        <w:pStyle w:val="BodyText"/>
        <w:spacing w:line="249" w:lineRule="auto"/>
        <w:ind w:left="199" w:right="36"/>
      </w:pPr>
      <w:r>
        <w:rPr>
          <w:b/>
          <w:color w:val="0B0B0B"/>
        </w:rPr>
        <w:t>Livak, Ferenc</w:t>
      </w:r>
      <w:r>
        <w:rPr>
          <w:color w:val="0B0B0B"/>
        </w:rPr>
        <w:t>, (R), Assistant Professor, Microbiology and Immunology, School of Medicine. MD, Semmelweis University School of Medicine Budapest, Hungary, 1988.</w:t>
      </w:r>
    </w:p>
    <w:p>
      <w:pPr>
        <w:pStyle w:val="BodyText"/>
        <w:spacing w:line="249" w:lineRule="auto" w:before="180"/>
        <w:ind w:left="199" w:right="47"/>
      </w:pPr>
      <w:r>
        <w:rPr>
          <w:b/>
          <w:color w:val="0B0B0B"/>
        </w:rPr>
        <w:t>Loane, David</w:t>
      </w:r>
      <w:r>
        <w:rPr>
          <w:color w:val="0B0B0B"/>
        </w:rPr>
        <w:t>, (A), Assistant Professor, Anesthesiology, School of Medicine. PhD, University of Bristol, 2005; BA, University of Dublin, 2000.</w:t>
      </w:r>
    </w:p>
    <w:p>
      <w:pPr>
        <w:pStyle w:val="BodyText"/>
        <w:spacing w:line="249" w:lineRule="auto"/>
        <w:ind w:left="199" w:right="152"/>
      </w:pPr>
      <w:r>
        <w:rPr>
          <w:b/>
          <w:color w:val="0B0B0B"/>
        </w:rPr>
        <w:t>Lobo, Mary Kay</w:t>
      </w:r>
      <w:r>
        <w:rPr>
          <w:color w:val="0B0B0B"/>
        </w:rPr>
        <w:t>, (R), Assistant Professor, Anatomy and Neurobiology, School of Medicine. PhD, University of California, Los Angeles, 2007; BS, University of California, Los Angeles, 1998.</w:t>
      </w:r>
    </w:p>
    <w:p>
      <w:pPr>
        <w:pStyle w:val="BodyText"/>
        <w:spacing w:line="249" w:lineRule="auto" w:before="180"/>
        <w:ind w:right="119" w:hanging="1"/>
      </w:pPr>
      <w:r>
        <w:rPr>
          <w:b/>
          <w:color w:val="0B0B0B"/>
        </w:rPr>
        <w:t>Loffredo, Christopher</w:t>
      </w:r>
      <w:r>
        <w:rPr>
          <w:color w:val="0B0B0B"/>
        </w:rPr>
        <w:t>, (R), Adjunct Assistant Professor, Epidemiology and Public Health, School of Medicine.</w:t>
      </w:r>
    </w:p>
    <w:p>
      <w:pPr>
        <w:pStyle w:val="BodyText"/>
        <w:spacing w:line="249" w:lineRule="auto" w:before="2"/>
        <w:ind w:right="374"/>
      </w:pPr>
      <w:r>
        <w:rPr>
          <w:color w:val="0B0B0B"/>
        </w:rPr>
        <w:t>PhD, University of Maryland, 1996; MS, University </w:t>
      </w:r>
      <w:r>
        <w:rPr>
          <w:color w:val="0B0B0B"/>
          <w:spacing w:val="-3"/>
        </w:rPr>
        <w:t>of </w:t>
      </w:r>
      <w:r>
        <w:rPr>
          <w:color w:val="0B0B0B"/>
        </w:rPr>
        <w:t>Maryland, 1985; </w:t>
      </w:r>
      <w:r>
        <w:rPr>
          <w:color w:val="0B0B0B"/>
          <w:spacing w:val="-3"/>
        </w:rPr>
        <w:t>BA, </w:t>
      </w:r>
      <w:r>
        <w:rPr>
          <w:color w:val="0B0B0B"/>
        </w:rPr>
        <w:t>Hartwick College,</w:t>
      </w:r>
      <w:r>
        <w:rPr>
          <w:color w:val="0B0B0B"/>
          <w:spacing w:val="8"/>
        </w:rPr>
        <w:t> </w:t>
      </w:r>
      <w:r>
        <w:rPr>
          <w:color w:val="0B0B0B"/>
        </w:rPr>
        <w:t>1982.</w:t>
      </w:r>
    </w:p>
    <w:p>
      <w:pPr>
        <w:pStyle w:val="BodyText"/>
        <w:spacing w:line="249" w:lineRule="auto" w:before="184"/>
      </w:pPr>
      <w:r>
        <w:rPr>
          <w:b/>
          <w:color w:val="0B0B0B"/>
        </w:rPr>
        <w:t>Lovering, Richard</w:t>
      </w:r>
      <w:r>
        <w:rPr>
          <w:color w:val="0B0B0B"/>
        </w:rPr>
        <w:t>, (A), Assistant Professor, </w:t>
      </w:r>
      <w:r>
        <w:rPr>
          <w:color w:val="0B0B0B"/>
          <w:spacing w:val="-3"/>
        </w:rPr>
        <w:t>Physiology, </w:t>
      </w:r>
      <w:r>
        <w:rPr>
          <w:color w:val="0B0B0B"/>
          <w:spacing w:val="-2"/>
        </w:rPr>
        <w:t>School </w:t>
      </w:r>
      <w:r>
        <w:rPr>
          <w:color w:val="0B0B0B"/>
        </w:rPr>
        <w:t>of Medicine. PhD, University of Maryland, Baltimore, 2003; </w:t>
      </w:r>
      <w:r>
        <w:rPr>
          <w:color w:val="0B0B0B"/>
          <w:spacing w:val="-3"/>
        </w:rPr>
        <w:t>BS, Boston </w:t>
      </w:r>
      <w:r>
        <w:rPr>
          <w:color w:val="0B0B0B"/>
        </w:rPr>
        <w:t>University,</w:t>
      </w:r>
      <w:r>
        <w:rPr>
          <w:color w:val="0B0B0B"/>
          <w:spacing w:val="23"/>
        </w:rPr>
        <w:t> </w:t>
      </w:r>
      <w:r>
        <w:rPr>
          <w:color w:val="0B0B0B"/>
        </w:rPr>
        <w:t>1986.</w:t>
      </w:r>
    </w:p>
    <w:p>
      <w:pPr>
        <w:pStyle w:val="BodyText"/>
        <w:spacing w:line="249" w:lineRule="auto" w:before="180"/>
        <w:ind w:right="79"/>
      </w:pPr>
      <w:r>
        <w:rPr>
          <w:b/>
          <w:color w:val="0B0B0B"/>
        </w:rPr>
        <w:t>Lu, Wuyuan</w:t>
      </w:r>
      <w:r>
        <w:rPr>
          <w:color w:val="0B0B0B"/>
        </w:rPr>
        <w:t>, (R), Professor, Biochemistry and Molecular Biology, School of Medicine. PhD, Purdue University, 1994; MS, Nanjing University, 1989; BS, Nanjing University, 1984.</w:t>
      </w:r>
    </w:p>
    <w:p>
      <w:pPr>
        <w:pStyle w:val="BodyText"/>
        <w:spacing w:line="249" w:lineRule="auto"/>
        <w:ind w:left="199" w:right="69"/>
      </w:pPr>
      <w:r>
        <w:rPr>
          <w:b/>
          <w:color w:val="0B0B0B"/>
        </w:rPr>
        <w:t>Lu-Chang, A-Lien</w:t>
      </w:r>
      <w:r>
        <w:rPr>
          <w:color w:val="0B0B0B"/>
        </w:rPr>
        <w:t>, (R), Professor, Biochemistry and Molecular Biology, School of Medicine. PhD, University of North Carolina, 1980; MS, National Taiwan University, 1973; BS, National Taiwan University, 1971.</w:t>
      </w:r>
    </w:p>
    <w:p>
      <w:pPr>
        <w:pStyle w:val="BodyText"/>
        <w:spacing w:line="249" w:lineRule="auto" w:before="180"/>
        <w:ind w:left="199" w:right="391"/>
      </w:pPr>
      <w:r>
        <w:rPr>
          <w:b/>
          <w:color w:val="0B0B0B"/>
        </w:rPr>
        <w:t>Ludeman, Emilie, </w:t>
      </w:r>
      <w:r>
        <w:rPr>
          <w:color w:val="0B0B0B"/>
        </w:rPr>
        <w:t>(A), Librarian. BA, The College of Wooster, 2002; MSLIS, Drexel University, 2009.</w:t>
      </w:r>
    </w:p>
    <w:p>
      <w:pPr>
        <w:pStyle w:val="BodyText"/>
        <w:spacing w:line="249" w:lineRule="auto" w:before="184"/>
        <w:ind w:left="199" w:right="98"/>
      </w:pPr>
      <w:r>
        <w:rPr>
          <w:b/>
          <w:color w:val="0B0B0B"/>
        </w:rPr>
        <w:t>Lukashevich, Igor</w:t>
      </w:r>
      <w:r>
        <w:rPr>
          <w:color w:val="0B0B0B"/>
        </w:rPr>
        <w:t>, (A), Associate Professor, Microbiology and Immunology, School of Medicine. DrSci, Institute of Virology Academy of Medical Science, 1987; PhD, Institute of Virology Academy of Medical</w:t>
      </w:r>
    </w:p>
    <w:p>
      <w:pPr>
        <w:pStyle w:val="BodyText"/>
        <w:spacing w:before="96"/>
        <w:ind w:left="199"/>
      </w:pPr>
      <w:r>
        <w:rPr/>
        <w:br w:type="column"/>
      </w:r>
      <w:r>
        <w:rPr>
          <w:color w:val="0B0B0B"/>
        </w:rPr>
        <w:t>Science, 1976; MD, Minsk Medical Institute, 1973.</w:t>
      </w:r>
    </w:p>
    <w:p>
      <w:pPr>
        <w:pStyle w:val="BodyText"/>
        <w:spacing w:line="249" w:lineRule="auto" w:before="187"/>
        <w:ind w:left="199" w:right="628"/>
      </w:pPr>
      <w:r>
        <w:rPr>
          <w:b/>
          <w:color w:val="0B0B0B"/>
        </w:rPr>
        <w:t>Lum, Peter</w:t>
      </w:r>
      <w:r>
        <w:rPr>
          <w:color w:val="0B0B0B"/>
        </w:rPr>
        <w:t>, (S), Professor, Biomedical Engineering, School of Medicine. PhD, University of California, Berkeley, 1993; MS, California Institute of Technology, 1988; BS, George Washington University, 1987.</w:t>
      </w:r>
    </w:p>
    <w:p>
      <w:pPr>
        <w:pStyle w:val="BodyText"/>
        <w:spacing w:line="249" w:lineRule="auto" w:before="186"/>
        <w:ind w:left="199" w:right="848"/>
      </w:pPr>
      <w:r>
        <w:rPr>
          <w:b/>
          <w:color w:val="0B0B0B"/>
        </w:rPr>
        <w:t>Macek, Mark D.</w:t>
      </w:r>
      <w:r>
        <w:rPr>
          <w:color w:val="0B0B0B"/>
        </w:rPr>
        <w:t>, (A), Assistant Professor, Health Promotion and Policy, School of Dentistry. DrPH, University of Michigan School of Public Health, 1998; MPH, University of Illinois at Chicago School of Public Health, 1994; DDS, University of Nebraska Medical Center College of Dentistry, 1989.</w:t>
      </w:r>
    </w:p>
    <w:p>
      <w:pPr>
        <w:pStyle w:val="BodyText"/>
        <w:spacing w:line="249" w:lineRule="auto" w:before="182"/>
        <w:ind w:left="199" w:right="566"/>
      </w:pPr>
      <w:r>
        <w:rPr>
          <w:b/>
          <w:color w:val="0B0B0B"/>
        </w:rPr>
        <w:t>MacKenzie, Colin</w:t>
      </w:r>
      <w:r>
        <w:rPr>
          <w:color w:val="0B0B0B"/>
        </w:rPr>
        <w:t>, (R), Professor, Anesthesiology, School of Medicine. MD, Aberdeen University, 1968.</w:t>
      </w:r>
    </w:p>
    <w:p>
      <w:pPr>
        <w:pStyle w:val="BodyText"/>
        <w:spacing w:line="249" w:lineRule="auto" w:before="184"/>
        <w:ind w:left="199" w:right="611"/>
      </w:pPr>
      <w:r>
        <w:rPr>
          <w:b/>
          <w:color w:val="0B0B0B"/>
        </w:rPr>
        <w:t>MacKerell Jr., Alexander</w:t>
      </w:r>
      <w:r>
        <w:rPr>
          <w:color w:val="0B0B0B"/>
        </w:rPr>
        <w:t>, (R), Professor, Pharmaceutical Sciences, School of Pharmacy. PhD, Rutgers University, 1985; BS, University of Hawaii, 1981.</w:t>
      </w:r>
    </w:p>
    <w:p>
      <w:pPr>
        <w:pStyle w:val="BodyText"/>
        <w:spacing w:line="249" w:lineRule="auto" w:before="179"/>
        <w:ind w:left="199" w:right="837"/>
      </w:pPr>
      <w:r>
        <w:rPr>
          <w:b/>
          <w:color w:val="0B0B0B"/>
        </w:rPr>
        <w:t>Macko, Richard</w:t>
      </w:r>
      <w:r>
        <w:rPr>
          <w:color w:val="0B0B0B"/>
        </w:rPr>
        <w:t>, (R), Professor, Neurology, School of Medicine. MD, Ohio State University, 1987; BA, Hiram College, 1979.</w:t>
      </w:r>
    </w:p>
    <w:p>
      <w:pPr>
        <w:pStyle w:val="BodyText"/>
        <w:spacing w:line="249" w:lineRule="auto"/>
        <w:ind w:left="199" w:right="698"/>
      </w:pPr>
      <w:r>
        <w:rPr>
          <w:b/>
          <w:color w:val="0B0B0B"/>
        </w:rPr>
        <w:t>MacVittie, Thomas</w:t>
      </w:r>
      <w:r>
        <w:rPr>
          <w:color w:val="0B0B0B"/>
        </w:rPr>
        <w:t>, (R), Professor, Pathology, School of Medicine. PhD, State University of New York, 1970; MS, State University of New York, 1966; BA, Alfred University, 1964.</w:t>
      </w:r>
    </w:p>
    <w:p>
      <w:pPr>
        <w:pStyle w:val="BodyText"/>
        <w:spacing w:line="249" w:lineRule="auto" w:before="181"/>
        <w:ind w:left="199" w:right="671"/>
      </w:pPr>
      <w:r>
        <w:rPr>
          <w:b/>
          <w:color w:val="0B0B0B"/>
        </w:rPr>
        <w:t>Magaziner, Jay</w:t>
      </w:r>
      <w:r>
        <w:rPr>
          <w:color w:val="0B0B0B"/>
        </w:rPr>
        <w:t>, (R), Professor, Epidemiology and Public Health, School of Medicine. MS, University of Pittsburgh, 1982; PhD, University of Chicago, 1980; BA, Case Western Reserve University, 1970.</w:t>
      </w:r>
    </w:p>
    <w:p>
      <w:pPr>
        <w:pStyle w:val="BodyText"/>
        <w:spacing w:line="249" w:lineRule="auto"/>
        <w:ind w:left="199" w:right="843"/>
      </w:pPr>
      <w:r>
        <w:rPr>
          <w:b/>
          <w:color w:val="0B0B0B"/>
        </w:rPr>
        <w:t>Magder, Laurence</w:t>
      </w:r>
      <w:r>
        <w:rPr>
          <w:color w:val="0B0B0B"/>
        </w:rPr>
        <w:t>, (R), Professor, Epidemiology and Public Health, School of Medicine. PhD, Johns Hopkins University, 1994; MPH, University of Michigan, 1982; BA, Michigan State University, 1976.</w:t>
      </w:r>
    </w:p>
    <w:p>
      <w:pPr>
        <w:pStyle w:val="BodyText"/>
        <w:spacing w:line="249" w:lineRule="auto" w:before="180"/>
        <w:ind w:left="199" w:right="938"/>
      </w:pPr>
      <w:r>
        <w:rPr>
          <w:b/>
          <w:color w:val="0B0B0B"/>
        </w:rPr>
        <w:t>Maguire, James H.</w:t>
      </w:r>
      <w:r>
        <w:rPr>
          <w:color w:val="0B0B0B"/>
        </w:rPr>
        <w:t>, (R), Professor, Epidemiology and Public Health, School of Medicine. MPH, Harvard University, 1978; MD, Harvard University, 1974; AB, Princeton University, 1970.</w:t>
      </w:r>
    </w:p>
    <w:p>
      <w:pPr>
        <w:pStyle w:val="BodyText"/>
        <w:spacing w:line="249" w:lineRule="auto" w:before="186"/>
        <w:ind w:left="199" w:right="699"/>
      </w:pPr>
      <w:r>
        <w:rPr>
          <w:b/>
          <w:color w:val="0B0B0B"/>
        </w:rPr>
        <w:t>Mann, David</w:t>
      </w:r>
      <w:r>
        <w:rPr>
          <w:color w:val="0B0B0B"/>
        </w:rPr>
        <w:t>, (A), Instructor, Epidemiology and Public Health, School of Medicine. PhD, University of Maryland School of Medicine, 2007; MS, 1999; MD, Harvard Medical School, 1982; BA, Johns Hopkins University, 1978.</w:t>
      </w:r>
    </w:p>
    <w:p>
      <w:pPr>
        <w:pStyle w:val="BodyText"/>
        <w:spacing w:line="249" w:lineRule="auto" w:before="181"/>
        <w:ind w:left="199" w:right="865"/>
      </w:pPr>
      <w:r>
        <w:rPr>
          <w:b/>
          <w:color w:val="0B0B0B"/>
        </w:rPr>
        <w:t>Mann, Dean</w:t>
      </w:r>
      <w:r>
        <w:rPr>
          <w:color w:val="0B0B0B"/>
        </w:rPr>
        <w:t>, (R), Professor, Pathology, School of Medicine. MD, St. Louis University, 1963; BA, Goshen College, 1956.</w:t>
      </w:r>
    </w:p>
    <w:p>
      <w:pPr>
        <w:spacing w:before="185"/>
        <w:ind w:left="199" w:right="0" w:firstLine="0"/>
        <w:jc w:val="left"/>
        <w:rPr>
          <w:sz w:val="20"/>
        </w:rPr>
      </w:pPr>
      <w:r>
        <w:rPr>
          <w:b/>
          <w:color w:val="0B0B0B"/>
          <w:sz w:val="20"/>
        </w:rPr>
        <w:t>Manski, Marion</w:t>
      </w:r>
      <w:r>
        <w:rPr>
          <w:color w:val="0B0B0B"/>
          <w:sz w:val="20"/>
        </w:rPr>
        <w:t>, (A), Assistant Professor, Dental</w:t>
      </w:r>
    </w:p>
    <w:p>
      <w:pPr>
        <w:spacing w:after="0"/>
        <w:jc w:val="left"/>
        <w:rPr>
          <w:sz w:val="20"/>
        </w:rPr>
        <w:sectPr>
          <w:headerReference w:type="default" r:id="rId120"/>
          <w:headerReference w:type="even" r:id="rId121"/>
          <w:pgSz w:w="12240" w:h="15840"/>
          <w:pgMar w:header="746" w:footer="0" w:top="1320" w:bottom="280" w:left="880" w:right="300"/>
          <w:cols w:num="2" w:equalWidth="0">
            <w:col w:w="4988" w:space="499"/>
            <w:col w:w="5573"/>
          </w:cols>
        </w:sectPr>
      </w:pPr>
    </w:p>
    <w:p>
      <w:pPr>
        <w:pStyle w:val="BodyText"/>
        <w:spacing w:line="249" w:lineRule="auto" w:before="100"/>
        <w:ind w:right="154"/>
      </w:pPr>
      <w:r>
        <w:rPr>
          <w:color w:val="0B0B0B"/>
        </w:rPr>
        <w:t>Hygiene, School of Dentistry. MS, University of Maryland, Baltimore, 2004; BS, University of Maryland, Baltimore, 1988.</w:t>
      </w:r>
    </w:p>
    <w:p>
      <w:pPr>
        <w:pStyle w:val="BodyText"/>
        <w:spacing w:line="249" w:lineRule="auto" w:before="180"/>
        <w:ind w:left="199" w:right="551"/>
      </w:pPr>
      <w:r>
        <w:rPr>
          <w:b/>
          <w:color w:val="0B0B0B"/>
        </w:rPr>
        <w:t>Mao, Li</w:t>
      </w:r>
      <w:r>
        <w:rPr>
          <w:color w:val="0B0B0B"/>
        </w:rPr>
        <w:t>, (R), Professor, Oncology and Diagnostic Sciences, School </w:t>
      </w:r>
      <w:r>
        <w:rPr>
          <w:color w:val="0B0B0B"/>
          <w:spacing w:val="-3"/>
        </w:rPr>
        <w:t>of </w:t>
      </w:r>
      <w:r>
        <w:rPr>
          <w:color w:val="0B0B0B"/>
        </w:rPr>
        <w:t>Dentistry. MD, Nanjing Medical University,</w:t>
      </w:r>
      <w:r>
        <w:rPr>
          <w:color w:val="0B0B0B"/>
          <w:spacing w:val="4"/>
        </w:rPr>
        <w:t> </w:t>
      </w:r>
      <w:r>
        <w:rPr>
          <w:color w:val="0B0B0B"/>
        </w:rPr>
        <w:t>1982.</w:t>
      </w:r>
    </w:p>
    <w:p>
      <w:pPr>
        <w:pStyle w:val="BodyText"/>
        <w:spacing w:line="249" w:lineRule="auto" w:before="184"/>
        <w:ind w:left="199" w:right="154"/>
      </w:pPr>
      <w:r>
        <w:rPr>
          <w:b/>
          <w:color w:val="0B0B0B"/>
        </w:rPr>
        <w:t>Marchese, Victoria</w:t>
      </w:r>
      <w:r>
        <w:rPr>
          <w:color w:val="0B0B0B"/>
        </w:rPr>
        <w:t>, (A), Associate Professor, </w:t>
      </w:r>
      <w:r>
        <w:rPr>
          <w:color w:val="0B0B0B"/>
          <w:spacing w:val="-3"/>
        </w:rPr>
        <w:t>Physical </w:t>
      </w:r>
      <w:r>
        <w:rPr>
          <w:color w:val="0B0B0B"/>
        </w:rPr>
        <w:t>Therapy and Rehabilitation Science. </w:t>
      </w:r>
      <w:r>
        <w:rPr>
          <w:color w:val="0B0B0B"/>
          <w:spacing w:val="-3"/>
        </w:rPr>
        <w:t>PhD, </w:t>
      </w:r>
      <w:r>
        <w:rPr>
          <w:color w:val="0B0B0B"/>
        </w:rPr>
        <w:t>MCP Hahnemann University, 2001; </w:t>
      </w:r>
      <w:r>
        <w:rPr>
          <w:color w:val="0B0B0B"/>
          <w:spacing w:val="-3"/>
        </w:rPr>
        <w:t>BS, </w:t>
      </w:r>
      <w:r>
        <w:rPr>
          <w:color w:val="0B0B0B"/>
        </w:rPr>
        <w:t>University </w:t>
      </w:r>
      <w:r>
        <w:rPr>
          <w:color w:val="0B0B0B"/>
          <w:spacing w:val="-3"/>
        </w:rPr>
        <w:t>of </w:t>
      </w:r>
      <w:r>
        <w:rPr>
          <w:color w:val="0B0B0B"/>
        </w:rPr>
        <w:t>Tennessee,</w:t>
      </w:r>
      <w:r>
        <w:rPr>
          <w:color w:val="0B0B0B"/>
          <w:spacing w:val="4"/>
        </w:rPr>
        <w:t> </w:t>
      </w:r>
      <w:r>
        <w:rPr>
          <w:color w:val="0B0B0B"/>
        </w:rPr>
        <w:t>1994.</w:t>
      </w:r>
    </w:p>
    <w:p>
      <w:pPr>
        <w:pStyle w:val="BodyText"/>
        <w:spacing w:line="249" w:lineRule="auto" w:before="181"/>
        <w:ind w:left="199" w:right="264"/>
      </w:pPr>
      <w:r>
        <w:rPr>
          <w:b/>
          <w:color w:val="0B0B0B"/>
        </w:rPr>
        <w:t>Marconi, Katherine, </w:t>
      </w:r>
      <w:r>
        <w:rPr>
          <w:color w:val="0B0B0B"/>
        </w:rPr>
        <w:t>(A), Graduate School. BA, St. Joseph's College, 1970; MA, SUNY Buffalo, 1972; MS, University of Maryland, University College, 2006; PhD, George Washington University, 1976.</w:t>
      </w:r>
    </w:p>
    <w:p>
      <w:pPr>
        <w:pStyle w:val="BodyText"/>
        <w:spacing w:line="249" w:lineRule="auto"/>
        <w:ind w:right="647"/>
      </w:pPr>
      <w:r>
        <w:rPr>
          <w:b/>
          <w:color w:val="0B0B0B"/>
        </w:rPr>
        <w:t>Margolis, Frank</w:t>
      </w:r>
      <w:r>
        <w:rPr>
          <w:color w:val="0B0B0B"/>
        </w:rPr>
        <w:t>, (R), Professor, Anatomy and Neurobiology, School of Medicine. PhD, Columbia University, 1964; BS, Antioch College, 1959.</w:t>
      </w:r>
    </w:p>
    <w:p>
      <w:pPr>
        <w:pStyle w:val="BodyText"/>
        <w:spacing w:line="249" w:lineRule="auto" w:before="180"/>
        <w:ind w:left="199" w:right="86"/>
      </w:pPr>
      <w:r>
        <w:rPr>
          <w:b/>
          <w:color w:val="0B0B0B"/>
        </w:rPr>
        <w:t>Markelonis, George</w:t>
      </w:r>
      <w:r>
        <w:rPr>
          <w:color w:val="0B0B0B"/>
        </w:rPr>
        <w:t>, (R), Associate Professor, Anatomy and Neurobiology, School of Medicine., MS, Villanova University, 1972; PhD, University of Maryland, 1976; BS, University of Maryland, 1969.</w:t>
      </w:r>
    </w:p>
    <w:p>
      <w:pPr>
        <w:pStyle w:val="BodyText"/>
        <w:spacing w:line="249" w:lineRule="auto"/>
        <w:ind w:right="74"/>
      </w:pPr>
      <w:r>
        <w:rPr>
          <w:b/>
          <w:color w:val="0B0B0B"/>
        </w:rPr>
        <w:t>Markham, Julie</w:t>
      </w:r>
      <w:r>
        <w:rPr>
          <w:color w:val="0B0B0B"/>
        </w:rPr>
        <w:t>, (A), Assistant Professor, Psychiatry, School of Medicine. PhD, University of Illinois, 2004; MA, University of Illinois, 2000; BS, Washington and Lee University, 1998.</w:t>
      </w:r>
    </w:p>
    <w:p>
      <w:pPr>
        <w:pStyle w:val="BodyText"/>
        <w:spacing w:line="249" w:lineRule="auto" w:before="181"/>
        <w:ind w:right="272"/>
        <w:jc w:val="both"/>
      </w:pPr>
      <w:r>
        <w:rPr>
          <w:b/>
          <w:color w:val="0B0B0B"/>
        </w:rPr>
        <w:t>Martin, Carey, </w:t>
      </w:r>
      <w:r>
        <w:rPr>
          <w:color w:val="0B0B0B"/>
        </w:rPr>
        <w:t>(A), Adjunct Faculty, Graduate School. BS, Villa Julie College, 2002; MBA, Strayer University, 2006; MA, College of Notre Dame, 2006.</w:t>
      </w:r>
    </w:p>
    <w:p>
      <w:pPr>
        <w:pStyle w:val="BodyText"/>
        <w:spacing w:line="249" w:lineRule="auto" w:before="184"/>
        <w:ind w:right="19"/>
        <w:rPr>
          <w:b/>
        </w:rPr>
      </w:pPr>
      <w:r>
        <w:rPr>
          <w:b/>
          <w:color w:val="0B0B0B"/>
        </w:rPr>
        <w:t>Martin, Diane, </w:t>
      </w:r>
      <w:r>
        <w:rPr>
          <w:color w:val="0B0B0B"/>
        </w:rPr>
        <w:t>(A), Associate Professor, Graduate School. BA, Notre Dame of Maryland University, 1988; MA, Towson University, 1991; PhD, Northcentral University, 2007</w:t>
      </w:r>
      <w:r>
        <w:rPr>
          <w:b/>
          <w:color w:val="0B0B0B"/>
        </w:rPr>
        <w:t>.</w:t>
      </w:r>
    </w:p>
    <w:p>
      <w:pPr>
        <w:pStyle w:val="BodyText"/>
        <w:spacing w:line="249" w:lineRule="auto" w:before="181"/>
        <w:ind w:right="52"/>
      </w:pPr>
      <w:r>
        <w:rPr>
          <w:b/>
          <w:color w:val="0B0B0B"/>
        </w:rPr>
        <w:t>Martin, Stuart S.</w:t>
      </w:r>
      <w:r>
        <w:rPr>
          <w:color w:val="0B0B0B"/>
        </w:rPr>
        <w:t>, (R), Professor, Physiology, School of Medicine. PhD, University of California, San Diego, 1998; BA, University of Virginia, 1992.</w:t>
      </w:r>
    </w:p>
    <w:p>
      <w:pPr>
        <w:pStyle w:val="BodyText"/>
        <w:spacing w:line="249" w:lineRule="auto" w:before="184"/>
        <w:ind w:left="199" w:right="42"/>
      </w:pPr>
      <w:r>
        <w:rPr>
          <w:b/>
          <w:color w:val="0B0B0B"/>
        </w:rPr>
        <w:t>Masri, Radi</w:t>
      </w:r>
      <w:r>
        <w:rPr>
          <w:color w:val="0B0B0B"/>
        </w:rPr>
        <w:t>, (R), Research Assistant Professor, Biomedical Sciences, School of Dentistry. PhD, University of Maryland, Baltimore, 2005; MS, University of Maryland, Baltimore, 2001; BDS, University of Jordan, 1997.</w:t>
      </w:r>
    </w:p>
    <w:p>
      <w:pPr>
        <w:pStyle w:val="BodyText"/>
        <w:spacing w:line="249" w:lineRule="auto" w:before="182"/>
        <w:ind w:left="199"/>
      </w:pPr>
      <w:r>
        <w:rPr>
          <w:b/>
          <w:color w:val="0B0B0B"/>
        </w:rPr>
        <w:t>Massey, Ward</w:t>
      </w:r>
      <w:r>
        <w:rPr>
          <w:color w:val="0B0B0B"/>
        </w:rPr>
        <w:t>, (A), Associate Professor, Restorative Dentistry, School of Dentistry. PhD, University of Sydney, 1993; BS, University of Adelaide, 1982.</w:t>
      </w:r>
    </w:p>
    <w:p>
      <w:pPr>
        <w:spacing w:before="184"/>
        <w:ind w:left="199" w:right="0" w:firstLine="0"/>
        <w:jc w:val="left"/>
        <w:rPr>
          <w:sz w:val="20"/>
        </w:rPr>
      </w:pPr>
      <w:r>
        <w:rPr>
          <w:b/>
          <w:color w:val="0B0B0B"/>
          <w:sz w:val="20"/>
        </w:rPr>
        <w:t>Matarese, Marlene</w:t>
      </w:r>
      <w:r>
        <w:rPr>
          <w:color w:val="0B0B0B"/>
          <w:sz w:val="20"/>
        </w:rPr>
        <w:t>, (A), Assistant Professor, Social</w:t>
      </w:r>
    </w:p>
    <w:p>
      <w:pPr>
        <w:pStyle w:val="BodyText"/>
        <w:spacing w:line="249" w:lineRule="auto" w:before="96"/>
        <w:ind w:left="199" w:right="1082"/>
      </w:pPr>
      <w:r>
        <w:rPr/>
        <w:br w:type="column"/>
      </w:r>
      <w:r>
        <w:rPr>
          <w:color w:val="0B0B0B"/>
        </w:rPr>
        <w:t>Work. PhD, University of Maryland School of Social Work, 2013; MSW, Rutgers, 2001; BA, 1999.</w:t>
      </w:r>
    </w:p>
    <w:p>
      <w:pPr>
        <w:pStyle w:val="BodyText"/>
        <w:spacing w:line="249" w:lineRule="auto" w:before="179"/>
        <w:ind w:left="199" w:right="756"/>
        <w:jc w:val="both"/>
      </w:pPr>
      <w:r>
        <w:rPr>
          <w:b/>
          <w:color w:val="0B0B0B"/>
        </w:rPr>
        <w:t>Matteson, Donald</w:t>
      </w:r>
      <w:r>
        <w:rPr>
          <w:color w:val="0B0B0B"/>
        </w:rPr>
        <w:t>, (R), Associate Professor, </w:t>
      </w:r>
      <w:r>
        <w:rPr>
          <w:color w:val="0B0B0B"/>
          <w:spacing w:val="-3"/>
        </w:rPr>
        <w:t>Physiology, </w:t>
      </w:r>
      <w:r>
        <w:rPr>
          <w:color w:val="0B0B0B"/>
        </w:rPr>
        <w:t>School of Medicine. PhD, State University of New York, 1979; </w:t>
      </w:r>
      <w:r>
        <w:rPr>
          <w:color w:val="0B0B0B"/>
          <w:spacing w:val="-3"/>
        </w:rPr>
        <w:t>BS, </w:t>
      </w:r>
      <w:r>
        <w:rPr>
          <w:color w:val="0B0B0B"/>
        </w:rPr>
        <w:t>Massachusetts Institute </w:t>
      </w:r>
      <w:r>
        <w:rPr>
          <w:color w:val="0B0B0B"/>
          <w:spacing w:val="-3"/>
        </w:rPr>
        <w:t>of </w:t>
      </w:r>
      <w:r>
        <w:rPr>
          <w:color w:val="0B0B0B"/>
        </w:rPr>
        <w:t>Technology, 1972.</w:t>
      </w:r>
    </w:p>
    <w:p>
      <w:pPr>
        <w:pStyle w:val="BodyText"/>
        <w:spacing w:line="249" w:lineRule="auto"/>
        <w:ind w:left="199" w:right="749"/>
      </w:pPr>
      <w:r>
        <w:rPr>
          <w:b/>
          <w:color w:val="0B0B0B"/>
        </w:rPr>
        <w:t>May, Isabell, </w:t>
      </w:r>
      <w:r>
        <w:rPr>
          <w:color w:val="0B0B0B"/>
        </w:rPr>
        <w:t>(A), Associate Professor, Graduate School. MA, University of Maryland, 2001; PhD, 2008.</w:t>
      </w:r>
    </w:p>
    <w:p>
      <w:pPr>
        <w:pStyle w:val="BodyText"/>
        <w:spacing w:line="249" w:lineRule="auto" w:before="179"/>
        <w:ind w:left="199" w:right="887"/>
      </w:pPr>
      <w:r>
        <w:rPr>
          <w:b/>
          <w:color w:val="0B0B0B"/>
        </w:rPr>
        <w:t>Mays, Keith</w:t>
      </w:r>
      <w:r>
        <w:rPr>
          <w:color w:val="0B0B0B"/>
        </w:rPr>
        <w:t>, (A), Assistant Professor, Biomedical Sciences, School of Dentistry. MS, University of Iowa, 1994; DDS, University of Michigan, 1989; BS, Morgan State University, 1983.</w:t>
      </w:r>
    </w:p>
    <w:p>
      <w:pPr>
        <w:spacing w:line="249" w:lineRule="auto" w:before="185"/>
        <w:ind w:left="199" w:right="1135" w:firstLine="0"/>
        <w:jc w:val="both"/>
        <w:rPr>
          <w:sz w:val="20"/>
        </w:rPr>
      </w:pPr>
      <w:r>
        <w:rPr>
          <w:b/>
          <w:color w:val="0B0B0B"/>
          <w:sz w:val="20"/>
        </w:rPr>
        <w:t>Maxfield- DeCarlo, Jennifer, </w:t>
      </w:r>
      <w:r>
        <w:rPr>
          <w:color w:val="0B0B0B"/>
          <w:sz w:val="20"/>
        </w:rPr>
        <w:t>(A), Adjunct Faculty, Graduate School. BS, University of Maryland, 1998; MSW, 1999; PhD, Capella University, 2010.</w:t>
      </w:r>
    </w:p>
    <w:p>
      <w:pPr>
        <w:pStyle w:val="BodyText"/>
        <w:spacing w:line="249" w:lineRule="auto" w:before="180"/>
        <w:ind w:left="199" w:right="822"/>
      </w:pPr>
      <w:r>
        <w:rPr>
          <w:b/>
          <w:color w:val="0B0B0B"/>
        </w:rPr>
        <w:t>McArdle, Patrick</w:t>
      </w:r>
      <w:r>
        <w:rPr>
          <w:color w:val="0B0B0B"/>
        </w:rPr>
        <w:t>, (A), Instructor, Molecular Medicine, School of Medicine. PhD, University of Maryland, Baltimore; BS, Cornell University, 1994.</w:t>
      </w:r>
    </w:p>
    <w:p>
      <w:pPr>
        <w:pStyle w:val="BodyText"/>
        <w:spacing w:line="249" w:lineRule="auto" w:before="184"/>
        <w:ind w:left="199" w:right="654"/>
      </w:pPr>
      <w:r>
        <w:rPr>
          <w:b/>
          <w:color w:val="0B0B0B"/>
        </w:rPr>
        <w:t>McCarthy, Margaret</w:t>
      </w:r>
      <w:r>
        <w:rPr>
          <w:color w:val="0B0B0B"/>
        </w:rPr>
        <w:t>, (R), Associate Professor, Physiology, School of Medicine. PhD, Rutgers University, 1989; MA, University of Missouri, 1984; BA, University of Missouri, 1981.</w:t>
      </w:r>
    </w:p>
    <w:p>
      <w:pPr>
        <w:pStyle w:val="BodyText"/>
        <w:spacing w:line="249" w:lineRule="auto" w:before="181"/>
        <w:ind w:left="199" w:right="704"/>
      </w:pPr>
      <w:r>
        <w:rPr>
          <w:b/>
          <w:color w:val="0B0B0B"/>
        </w:rPr>
        <w:t>McCombe -Waller, Sandra</w:t>
      </w:r>
      <w:r>
        <w:rPr>
          <w:color w:val="0B0B0B"/>
        </w:rPr>
        <w:t>, (R), Associate Professor, Physical Therapy and Rehabilitation Science, School of Medicine. PhD, University of Maryland, 2004; MS, Johns Hopkins University, 1991; BS, University of Maryland, 1985.</w:t>
      </w:r>
    </w:p>
    <w:p>
      <w:pPr>
        <w:pStyle w:val="BodyText"/>
        <w:spacing w:line="249" w:lineRule="auto" w:before="186"/>
        <w:ind w:left="199" w:right="804"/>
      </w:pPr>
      <w:r>
        <w:rPr>
          <w:b/>
          <w:color w:val="0B0B0B"/>
        </w:rPr>
        <w:t>McComiskey, Carmel</w:t>
      </w:r>
      <w:r>
        <w:rPr>
          <w:color w:val="0B0B0B"/>
        </w:rPr>
        <w:t>, (A), Assistant Professor, Family and Community Health, School of Nursing. DNP, University of Maryland School of Nursing, 2010; MS, University of Maryland School of Nursing, 1996; BSN, William Patterson College of New Jersey, 1978.</w:t>
      </w:r>
    </w:p>
    <w:p>
      <w:pPr>
        <w:pStyle w:val="BodyText"/>
        <w:spacing w:line="249" w:lineRule="auto" w:before="181"/>
        <w:ind w:left="199" w:right="655"/>
      </w:pPr>
      <w:r>
        <w:rPr>
          <w:b/>
          <w:color w:val="0B0B0B"/>
        </w:rPr>
        <w:t>McDiarmid, Melissa</w:t>
      </w:r>
      <w:r>
        <w:rPr>
          <w:color w:val="0B0B0B"/>
        </w:rPr>
        <w:t>, (R), Associate Professor, Medicine, School of Medicine. MPH, Johns Hopkins University, 1986; MD, University of Maryland, 1979; BA, University of Maryland, 1975.</w:t>
      </w:r>
    </w:p>
    <w:p>
      <w:pPr>
        <w:pStyle w:val="BodyText"/>
        <w:spacing w:line="249" w:lineRule="auto" w:before="186"/>
        <w:ind w:left="199" w:right="632"/>
      </w:pPr>
      <w:r>
        <w:rPr>
          <w:b/>
          <w:color w:val="0B0B0B"/>
        </w:rPr>
        <w:t>McElroy, Kathleen</w:t>
      </w:r>
      <w:r>
        <w:rPr>
          <w:color w:val="0B0B0B"/>
        </w:rPr>
        <w:t>, (A), Assistant Professor, Family and Community Health, School of Nursing. PhD, University of Maryland School of Nursing, 2016; MSN, University of Maryland School of Nursing, 2010; BSN, University of Maryland School of Nursing, 1997.</w:t>
      </w:r>
    </w:p>
    <w:p>
      <w:pPr>
        <w:spacing w:line="249" w:lineRule="auto" w:before="181"/>
        <w:ind w:left="200" w:right="903" w:firstLine="0"/>
        <w:jc w:val="left"/>
        <w:rPr>
          <w:sz w:val="20"/>
        </w:rPr>
      </w:pPr>
      <w:r>
        <w:rPr>
          <w:b/>
          <w:color w:val="0B0B0B"/>
          <w:sz w:val="20"/>
        </w:rPr>
        <w:t>McKenna, Mary</w:t>
      </w:r>
      <w:r>
        <w:rPr>
          <w:color w:val="0B0B0B"/>
          <w:sz w:val="20"/>
        </w:rPr>
        <w:t>, Professor, Pediatrics, School of Medicine.</w:t>
      </w:r>
    </w:p>
    <w:p>
      <w:pPr>
        <w:pStyle w:val="BodyText"/>
        <w:spacing w:line="249" w:lineRule="auto" w:before="184"/>
        <w:ind w:right="787"/>
      </w:pPr>
      <w:r>
        <w:rPr>
          <w:b/>
          <w:color w:val="0B0B0B"/>
        </w:rPr>
        <w:t>McLaine, Patricia</w:t>
      </w:r>
      <w:r>
        <w:rPr>
          <w:color w:val="0B0B0B"/>
        </w:rPr>
        <w:t>, (A), Assistant Professor, Family and Community Health, School of Nursing. DrPH, Johns</w:t>
      </w:r>
    </w:p>
    <w:p>
      <w:pPr>
        <w:spacing w:after="0" w:line="249" w:lineRule="auto"/>
        <w:sectPr>
          <w:pgSz w:w="12240" w:h="15840"/>
          <w:pgMar w:header="746" w:footer="0" w:top="1320" w:bottom="280" w:left="880" w:right="300"/>
          <w:cols w:num="2" w:equalWidth="0">
            <w:col w:w="5000" w:space="487"/>
            <w:col w:w="5573"/>
          </w:cols>
        </w:sectPr>
      </w:pPr>
    </w:p>
    <w:p>
      <w:pPr>
        <w:pStyle w:val="BodyText"/>
        <w:spacing w:line="249" w:lineRule="auto" w:before="100"/>
        <w:ind w:right="24"/>
      </w:pPr>
      <w:r>
        <w:rPr>
          <w:color w:val="0B0B0B"/>
        </w:rPr>
        <w:t>Hopkins University, 2010; MPH, Johns Hopkins University, 1987; BSN, Case Western Reserve University, 1981.</w:t>
      </w:r>
    </w:p>
    <w:p>
      <w:pPr>
        <w:pStyle w:val="BodyText"/>
        <w:spacing w:line="249" w:lineRule="auto" w:before="180"/>
        <w:ind w:right="273"/>
      </w:pPr>
      <w:r>
        <w:rPr>
          <w:b/>
          <w:color w:val="0B0B0B"/>
        </w:rPr>
        <w:t>McLenithan, John C.</w:t>
      </w:r>
      <w:r>
        <w:rPr>
          <w:color w:val="0B0B0B"/>
        </w:rPr>
        <w:t>, (R), Assistant Professor, Physiology, School of Medicine. PhD, Johns Hopkins University School of Medicine, 1994; BS, University of Rochester, 1983.</w:t>
      </w:r>
    </w:p>
    <w:p>
      <w:pPr>
        <w:pStyle w:val="BodyText"/>
        <w:spacing w:line="249" w:lineRule="auto"/>
        <w:ind w:left="199" w:right="146"/>
      </w:pPr>
      <w:r>
        <w:rPr>
          <w:b/>
          <w:color w:val="0B0B0B"/>
        </w:rPr>
        <w:t>McPherson, Mary Lynn</w:t>
      </w:r>
      <w:r>
        <w:rPr>
          <w:color w:val="0B0B0B"/>
        </w:rPr>
        <w:t>, (A), Professor, Pharmacy Practice and Science, School of Pharmacy. MA, UMBC, 2014; PharmD, University of Maryland, Baltimore, 1986.</w:t>
      </w:r>
    </w:p>
    <w:p>
      <w:pPr>
        <w:pStyle w:val="BodyText"/>
        <w:spacing w:line="249" w:lineRule="auto" w:before="180"/>
        <w:ind w:left="199" w:right="96"/>
      </w:pPr>
      <w:r>
        <w:rPr>
          <w:b/>
          <w:color w:val="0B0B0B"/>
        </w:rPr>
        <w:t>Mech, Ann</w:t>
      </w:r>
      <w:r>
        <w:rPr>
          <w:color w:val="0B0B0B"/>
        </w:rPr>
        <w:t>, (A), Assistant Professor, Partnerships, Professional Education and Practice, School of Nursing. JD, George Washington University, 1982; MS, University of Maryland, 1978; BSN, University of Maryland, 1976.</w:t>
      </w:r>
    </w:p>
    <w:p>
      <w:pPr>
        <w:pStyle w:val="BodyText"/>
        <w:spacing w:line="249" w:lineRule="auto"/>
        <w:ind w:left="199" w:right="24"/>
      </w:pPr>
      <w:r>
        <w:rPr>
          <w:b/>
          <w:color w:val="0B0B0B"/>
        </w:rPr>
        <w:t>Medina de Jesus, Alexandre</w:t>
      </w:r>
      <w:r>
        <w:rPr>
          <w:color w:val="0B0B0B"/>
        </w:rPr>
        <w:t>, (R), Associate Professor, Pediatrics, School of Medicine. PhD, Universidade Estado, 2000; MSc, Universidade Federal, 1996; BS, Universidade Santa Ursula, 1990.</w:t>
      </w:r>
    </w:p>
    <w:p>
      <w:pPr>
        <w:pStyle w:val="BodyText"/>
        <w:spacing w:line="249" w:lineRule="auto" w:before="181"/>
        <w:ind w:left="199" w:right="179"/>
      </w:pPr>
      <w:r>
        <w:rPr>
          <w:b/>
          <w:color w:val="0B0B0B"/>
        </w:rPr>
        <w:t>Medoff, Deborah</w:t>
      </w:r>
      <w:r>
        <w:rPr>
          <w:color w:val="0B0B0B"/>
        </w:rPr>
        <w:t>, (A), Associate Professor, Psychiatry, School of Medicine. PhD, University of Maryland, 1989; MS, University of Maryland, 1984; BA, University of Virginia, 1981.</w:t>
      </w:r>
    </w:p>
    <w:p>
      <w:pPr>
        <w:pStyle w:val="BodyText"/>
        <w:spacing w:line="249" w:lineRule="auto"/>
        <w:ind w:left="199" w:right="24"/>
      </w:pPr>
      <w:r>
        <w:rPr>
          <w:b/>
          <w:color w:val="0B0B0B"/>
        </w:rPr>
        <w:t>Medved, Leonid</w:t>
      </w:r>
      <w:r>
        <w:rPr>
          <w:color w:val="0B0B0B"/>
        </w:rPr>
        <w:t>, (R), Professor, Biochemistry and Molecular Biology, School of Medicine. DrSci, Institute of Biochemistry, 1991; PhD, Institute of Biochemistry, 1980; MS, Kiev State University, 1977.</w:t>
      </w:r>
    </w:p>
    <w:p>
      <w:pPr>
        <w:pStyle w:val="BodyText"/>
        <w:spacing w:line="249" w:lineRule="auto" w:before="180"/>
        <w:ind w:left="199" w:right="152"/>
      </w:pPr>
      <w:r>
        <w:rPr>
          <w:b/>
          <w:color w:val="0B0B0B"/>
        </w:rPr>
        <w:t>Mei, Yuping</w:t>
      </w:r>
      <w:r>
        <w:rPr>
          <w:color w:val="0B0B0B"/>
        </w:rPr>
        <w:t>, (A), Research Associate, Oncology and Diagnostic Science, School of Dentistry. PhD, University of Maryland Baltimore, 2005; MS, Hunan Normal University; PhD, BS, Hunan Normal University, 1995.</w:t>
      </w:r>
    </w:p>
    <w:p>
      <w:pPr>
        <w:pStyle w:val="BodyText"/>
        <w:spacing w:line="249" w:lineRule="auto" w:before="186"/>
        <w:ind w:left="199" w:right="96"/>
      </w:pPr>
      <w:r>
        <w:rPr>
          <w:b/>
          <w:color w:val="0B0B0B"/>
        </w:rPr>
        <w:t>Meiller, Timothy</w:t>
      </w:r>
      <w:r>
        <w:rPr>
          <w:color w:val="0B0B0B"/>
        </w:rPr>
        <w:t>, (R), Professor, Oral Medicine, School of Dentistry. PhD, University of Maryland, 1975; DDS, University of Maryland, 1975; MS, Johns Hopkins University, 1979.</w:t>
      </w:r>
    </w:p>
    <w:p>
      <w:pPr>
        <w:pStyle w:val="BodyText"/>
        <w:spacing w:line="249" w:lineRule="auto" w:before="180"/>
        <w:ind w:left="199" w:right="24"/>
      </w:pPr>
      <w:r>
        <w:rPr>
          <w:b/>
          <w:color w:val="0B0B0B"/>
        </w:rPr>
        <w:t>Melemedjian, Ohannes</w:t>
      </w:r>
      <w:r>
        <w:rPr>
          <w:color w:val="0B0B0B"/>
        </w:rPr>
        <w:t>, (A), Assistant Professor, Neural and Pain Sciences, School of Dentistry. PhD, University of Arizona, 2007; MSc, American University of Beirut, 2002; BSc, Haigazian University, 1999.</w:t>
      </w:r>
    </w:p>
    <w:p>
      <w:pPr>
        <w:pStyle w:val="BodyText"/>
        <w:spacing w:line="249" w:lineRule="auto" w:before="186"/>
        <w:ind w:left="199" w:right="51"/>
      </w:pPr>
      <w:r>
        <w:rPr>
          <w:b/>
          <w:color w:val="0B0B0B"/>
        </w:rPr>
        <w:t>Melikian, Gregory B.</w:t>
      </w:r>
      <w:r>
        <w:rPr>
          <w:color w:val="0B0B0B"/>
        </w:rPr>
        <w:t>, (R), Associate Professor, Microbiology and Immunology, School of Medicine. PhD, Moscow Institute of Information Transition Problems Academy of Science, 1984; MS, Yeren State University, 1980.</w:t>
      </w:r>
    </w:p>
    <w:p>
      <w:pPr>
        <w:spacing w:before="181"/>
        <w:ind w:left="199" w:right="0" w:firstLine="0"/>
        <w:jc w:val="left"/>
        <w:rPr>
          <w:sz w:val="20"/>
        </w:rPr>
      </w:pPr>
      <w:r>
        <w:rPr>
          <w:b/>
          <w:color w:val="0B0B0B"/>
          <w:sz w:val="20"/>
        </w:rPr>
        <w:t>Mellinger, Marcela</w:t>
      </w:r>
      <w:r>
        <w:rPr>
          <w:color w:val="0B0B0B"/>
          <w:sz w:val="20"/>
        </w:rPr>
        <w:t>, (A), Assistant Professor, School of</w:t>
      </w:r>
    </w:p>
    <w:p>
      <w:pPr>
        <w:pStyle w:val="BodyText"/>
        <w:spacing w:line="249" w:lineRule="auto" w:before="96"/>
        <w:ind w:left="199" w:right="904"/>
      </w:pPr>
      <w:r>
        <w:rPr/>
        <w:br w:type="column"/>
      </w:r>
      <w:r>
        <w:rPr>
          <w:color w:val="0B0B0B"/>
        </w:rPr>
        <w:t>Social Work. PhD, University of Georgia, 2011; MSW, Temple University, 1999; BA, Millersville University, 1998.</w:t>
      </w:r>
    </w:p>
    <w:p>
      <w:pPr>
        <w:pStyle w:val="BodyText"/>
        <w:spacing w:line="249" w:lineRule="auto" w:before="180"/>
        <w:ind w:left="199" w:right="671"/>
      </w:pPr>
      <w:r>
        <w:rPr>
          <w:b/>
          <w:color w:val="0B0B0B"/>
        </w:rPr>
        <w:t>Melo, Mary Anne</w:t>
      </w:r>
      <w:r>
        <w:rPr>
          <w:color w:val="0B0B0B"/>
        </w:rPr>
        <w:t>, (A), Assistant Professor, Endodontics, School of Dentistry. PhD, Federal University of Dentistry, 2012; MSD, Federal University of Dentistry, 2009; DDS, University of Fortaleza, 2000.</w:t>
      </w:r>
    </w:p>
    <w:p>
      <w:pPr>
        <w:pStyle w:val="BodyText"/>
        <w:spacing w:line="249" w:lineRule="auto"/>
        <w:ind w:left="199" w:right="594"/>
      </w:pPr>
      <w:r>
        <w:rPr>
          <w:b/>
          <w:color w:val="0B0B0B"/>
        </w:rPr>
        <w:t>Memiah, Peter, </w:t>
      </w:r>
      <w:r>
        <w:rPr>
          <w:color w:val="0B0B0B"/>
        </w:rPr>
        <w:t>(A), Associate Professor, School of Medicine. BA, Catholic University of Eastern Africa, MSc, United States International University, 2002; DrPH, Morgan State University, 2006.</w:t>
      </w:r>
    </w:p>
    <w:p>
      <w:pPr>
        <w:pStyle w:val="BodyText"/>
        <w:spacing w:line="249" w:lineRule="auto" w:before="181"/>
        <w:ind w:left="199" w:right="676"/>
      </w:pPr>
      <w:r>
        <w:rPr>
          <w:b/>
          <w:color w:val="0B0B0B"/>
        </w:rPr>
        <w:t>Meltzer, Stephen</w:t>
      </w:r>
      <w:r>
        <w:rPr>
          <w:color w:val="0B0B0B"/>
        </w:rPr>
        <w:t>, (R), Professor, Medicine, School of Medicine. M Music, University of Colorado, 1983; MD, State University of New York, 1979; BA, State University of New York, 1975.</w:t>
      </w:r>
    </w:p>
    <w:p>
      <w:pPr>
        <w:pStyle w:val="BodyText"/>
        <w:spacing w:line="249" w:lineRule="auto"/>
        <w:ind w:left="199" w:right="649"/>
      </w:pPr>
      <w:r>
        <w:rPr>
          <w:b/>
          <w:color w:val="0B0B0B"/>
        </w:rPr>
        <w:t>Merchenthaler, Istvan</w:t>
      </w:r>
      <w:r>
        <w:rPr>
          <w:color w:val="0B0B0B"/>
        </w:rPr>
        <w:t>, (R), Professor, Epidemiology and Public Health, School of Medicine. DSc, Hungarian Academy of Sciences, 1992; PhD, Hungarian Academy of Sciences, 1986; MD, University of Pecs, Hungary, 1974.</w:t>
      </w:r>
    </w:p>
    <w:p>
      <w:pPr>
        <w:pStyle w:val="BodyText"/>
        <w:spacing w:line="249" w:lineRule="auto" w:before="180"/>
        <w:ind w:left="199" w:right="628"/>
      </w:pPr>
      <w:r>
        <w:rPr>
          <w:b/>
          <w:color w:val="0B0B0B"/>
        </w:rPr>
        <w:t>Meredith, Andrea</w:t>
      </w:r>
      <w:r>
        <w:rPr>
          <w:color w:val="0B0B0B"/>
        </w:rPr>
        <w:t>, (A), Associate Professor, Physiology, School of Medicine. PhD, University of Texas Southwestern, 2000; BS, University of Maryland, Baltimore County, 1994.</w:t>
      </w:r>
    </w:p>
    <w:p>
      <w:pPr>
        <w:pStyle w:val="BodyText"/>
        <w:spacing w:line="249" w:lineRule="auto" w:before="186"/>
        <w:ind w:left="199" w:right="971"/>
      </w:pPr>
      <w:r>
        <w:rPr>
          <w:b/>
          <w:color w:val="0B0B0B"/>
        </w:rPr>
        <w:t>Meyer, Megan</w:t>
      </w:r>
      <w:r>
        <w:rPr>
          <w:color w:val="0B0B0B"/>
        </w:rPr>
        <w:t>, (R), Associate Dean, School of Social Work. PhD, University of California, 1999; MSW, University of California, 1995; BA, Hamilton College, 1989.</w:t>
      </w:r>
    </w:p>
    <w:p>
      <w:pPr>
        <w:pStyle w:val="BodyText"/>
        <w:spacing w:line="249" w:lineRule="auto" w:before="180"/>
        <w:ind w:left="199" w:right="987"/>
      </w:pPr>
      <w:r>
        <w:rPr>
          <w:b/>
          <w:color w:val="0B0B0B"/>
        </w:rPr>
        <w:t>Michael, Kathleen</w:t>
      </w:r>
      <w:r>
        <w:rPr>
          <w:color w:val="0B0B0B"/>
        </w:rPr>
        <w:t>, (A), Associate Professor, Organizational Systems and Adult Health, School of Nursing. PhD, Johns Hopkins University, 2005; MSN, Seattle Pacific University, 1996; BS, University of Washington, 1975.</w:t>
      </w:r>
    </w:p>
    <w:p>
      <w:pPr>
        <w:pStyle w:val="BodyText"/>
        <w:spacing w:line="249" w:lineRule="auto" w:before="186"/>
        <w:ind w:left="199" w:right="965"/>
      </w:pPr>
      <w:r>
        <w:rPr>
          <w:b/>
          <w:color w:val="0B0B0B"/>
        </w:rPr>
        <w:t>Michael, Michele</w:t>
      </w:r>
      <w:r>
        <w:rPr>
          <w:color w:val="0B0B0B"/>
        </w:rPr>
        <w:t>, (A), Assistant Professor, Child, Women’s and Family Health, School of Nursing. PhD, University of Maryland, 1984; MS, University of Maryland, 1974; BSN, Creighton University, 1968.</w:t>
      </w:r>
    </w:p>
    <w:p>
      <w:pPr>
        <w:pStyle w:val="BodyText"/>
        <w:spacing w:line="249" w:lineRule="auto" w:before="181"/>
        <w:ind w:left="199" w:right="617"/>
      </w:pPr>
      <w:r>
        <w:rPr>
          <w:b/>
          <w:color w:val="0B0B0B"/>
        </w:rPr>
        <w:t>Michel, Sarah L.</w:t>
      </w:r>
      <w:r>
        <w:rPr>
          <w:color w:val="0B0B0B"/>
        </w:rPr>
        <w:t>, (R), Professor, Pharmaceutical Sciences, School </w:t>
      </w:r>
      <w:r>
        <w:rPr>
          <w:color w:val="0B0B0B"/>
          <w:spacing w:val="-3"/>
        </w:rPr>
        <w:t>of </w:t>
      </w:r>
      <w:r>
        <w:rPr>
          <w:color w:val="0B0B0B"/>
        </w:rPr>
        <w:t>Pharmacy. PhD, Northwestern University, 2000; MS, Northwestern University, 1996; </w:t>
      </w:r>
      <w:r>
        <w:rPr>
          <w:color w:val="0B0B0B"/>
          <w:spacing w:val="-3"/>
        </w:rPr>
        <w:t>BA, </w:t>
      </w:r>
      <w:r>
        <w:rPr>
          <w:color w:val="0B0B0B"/>
        </w:rPr>
        <w:t>Cornell University,</w:t>
      </w:r>
      <w:r>
        <w:rPr>
          <w:color w:val="0B0B0B"/>
          <w:spacing w:val="3"/>
        </w:rPr>
        <w:t> </w:t>
      </w:r>
      <w:r>
        <w:rPr>
          <w:color w:val="0B0B0B"/>
        </w:rPr>
        <w:t>1995.</w:t>
      </w:r>
    </w:p>
    <w:p>
      <w:pPr>
        <w:pStyle w:val="BodyText"/>
        <w:spacing w:line="249" w:lineRule="auto"/>
        <w:ind w:left="199" w:right="1005"/>
      </w:pPr>
      <w:r>
        <w:rPr>
          <w:b/>
          <w:color w:val="0B0B0B"/>
        </w:rPr>
        <w:t>Mijares, Lilia</w:t>
      </w:r>
      <w:r>
        <w:rPr>
          <w:color w:val="0B0B0B"/>
        </w:rPr>
        <w:t>, (A), Assistant Professor, Medical and Research Technology, School of Medicine. PhD, Yale University, 2008; BS, University of Texas, 2001.</w:t>
      </w:r>
    </w:p>
    <w:p>
      <w:pPr>
        <w:spacing w:before="180"/>
        <w:ind w:left="199" w:right="0" w:firstLine="0"/>
        <w:jc w:val="left"/>
        <w:rPr>
          <w:sz w:val="20"/>
        </w:rPr>
      </w:pPr>
      <w:r>
        <w:rPr>
          <w:b/>
          <w:color w:val="0B0B0B"/>
          <w:sz w:val="20"/>
        </w:rPr>
        <w:t>Miller, Ram R.</w:t>
      </w:r>
      <w:r>
        <w:rPr>
          <w:color w:val="0B0B0B"/>
          <w:sz w:val="20"/>
        </w:rPr>
        <w:t>, (R), Adjunct Professor, Epidemiology</w:t>
      </w:r>
    </w:p>
    <w:p>
      <w:pPr>
        <w:spacing w:after="0"/>
        <w:jc w:val="left"/>
        <w:rPr>
          <w:sz w:val="20"/>
        </w:rPr>
        <w:sectPr>
          <w:headerReference w:type="even" r:id="rId122"/>
          <w:headerReference w:type="default" r:id="rId123"/>
          <w:pgSz w:w="12240" w:h="15840"/>
          <w:pgMar w:header="746" w:footer="0" w:top="1320" w:bottom="280" w:left="880" w:right="300"/>
          <w:pgNumType w:start="192"/>
          <w:cols w:num="2" w:equalWidth="0">
            <w:col w:w="4976" w:space="511"/>
            <w:col w:w="5573"/>
          </w:cols>
        </w:sectPr>
      </w:pPr>
    </w:p>
    <w:p>
      <w:pPr>
        <w:pStyle w:val="BodyText"/>
        <w:spacing w:line="249" w:lineRule="auto" w:before="100"/>
        <w:ind w:right="15"/>
      </w:pPr>
      <w:r>
        <w:rPr>
          <w:color w:val="0B0B0B"/>
        </w:rPr>
        <w:t>and Public Health, School of Medicine. MSc, Boston University, 2003; MD, CM, McGill University, 1995; BSc, McGill University, 1991.</w:t>
      </w:r>
    </w:p>
    <w:p>
      <w:pPr>
        <w:pStyle w:val="BodyText"/>
        <w:spacing w:line="249" w:lineRule="auto" w:before="180"/>
        <w:ind w:right="199"/>
      </w:pPr>
      <w:r>
        <w:rPr>
          <w:b/>
          <w:color w:val="0B0B0B"/>
        </w:rPr>
        <w:t>Minah, Glenn</w:t>
      </w:r>
      <w:r>
        <w:rPr>
          <w:color w:val="0B0B0B"/>
        </w:rPr>
        <w:t>, (R), Professor, Oral Biology, School of Dentistry. PhD, University of Michigan, 1976; MS, University of Michigan, 1970; DDS, University of North Carolina, 1966.</w:t>
      </w:r>
    </w:p>
    <w:p>
      <w:pPr>
        <w:pStyle w:val="BodyText"/>
        <w:spacing w:line="249" w:lineRule="auto"/>
        <w:ind w:right="226"/>
      </w:pPr>
      <w:r>
        <w:rPr>
          <w:b/>
          <w:color w:val="0B0B0B"/>
        </w:rPr>
        <w:t>Minjoung, Kyoung</w:t>
      </w:r>
      <w:r>
        <w:rPr>
          <w:color w:val="0B0B0B"/>
        </w:rPr>
        <w:t>, Assistant Professor, Chemistry and Biochemistry, School of Medicine.</w:t>
      </w:r>
    </w:p>
    <w:p>
      <w:pPr>
        <w:pStyle w:val="BodyText"/>
        <w:spacing w:line="249" w:lineRule="auto" w:before="179"/>
        <w:ind w:right="321"/>
      </w:pPr>
      <w:r>
        <w:rPr>
          <w:b/>
          <w:color w:val="0B0B0B"/>
        </w:rPr>
        <w:t>Misono, Hiroaki</w:t>
      </w:r>
      <w:r>
        <w:rPr>
          <w:color w:val="0B0B0B"/>
        </w:rPr>
        <w:t>, (A), Assistant Professor, Biomedical Sciences, School of Dentistry. PhD, Sophia University, 1998; MS, Sophia University, 1995; BA, Sophia University, 1993.</w:t>
      </w:r>
    </w:p>
    <w:p>
      <w:pPr>
        <w:pStyle w:val="BodyText"/>
        <w:spacing w:line="249" w:lineRule="auto"/>
        <w:ind w:left="199" w:right="44"/>
      </w:pPr>
      <w:r>
        <w:rPr>
          <w:b/>
          <w:color w:val="0B0B0B"/>
        </w:rPr>
        <w:t>Mitchell, Braxton</w:t>
      </w:r>
      <w:r>
        <w:rPr>
          <w:color w:val="0B0B0B"/>
        </w:rPr>
        <w:t>, (R), Professor, Epidemiology and Public Health, School of Medicine. PhD, University of Michigan, 1987; MPH, University of Michigan, 1982; BA, Princeton University, 1978.</w:t>
      </w:r>
    </w:p>
    <w:p>
      <w:pPr>
        <w:pStyle w:val="BodyText"/>
        <w:spacing w:line="249" w:lineRule="auto" w:before="181"/>
        <w:ind w:left="199" w:right="15"/>
      </w:pPr>
      <w:r>
        <w:rPr>
          <w:b/>
          <w:color w:val="0B0B0B"/>
        </w:rPr>
        <w:t>Mixson, Archibald</w:t>
      </w:r>
      <w:r>
        <w:rPr>
          <w:color w:val="0B0B0B"/>
        </w:rPr>
        <w:t>, (A), Assistant Professor, Pathology, School of Medicine. MD, Emory University, 1979; BA, Vanderbilt University, 1974.</w:t>
      </w:r>
    </w:p>
    <w:p>
      <w:pPr>
        <w:pStyle w:val="BodyText"/>
        <w:spacing w:line="249" w:lineRule="auto" w:before="184"/>
        <w:ind w:left="199" w:right="67"/>
      </w:pPr>
      <w:r>
        <w:rPr>
          <w:b/>
          <w:color w:val="0B0B0B"/>
        </w:rPr>
        <w:t>Mong, Jessica A.</w:t>
      </w:r>
      <w:r>
        <w:rPr>
          <w:color w:val="0B0B0B"/>
        </w:rPr>
        <w:t>, (R), Assistant Professor, Pharmacology and Experimental Therapeutics, School of Medicine. PhD, University of Maryland School of Medicine, 2000; BS, Gettysburg College, 1991.</w:t>
      </w:r>
    </w:p>
    <w:p>
      <w:pPr>
        <w:pStyle w:val="BodyText"/>
        <w:spacing w:line="249" w:lineRule="auto" w:before="181"/>
        <w:ind w:left="199" w:right="255"/>
      </w:pPr>
      <w:r>
        <w:rPr>
          <w:b/>
          <w:color w:val="0B0B0B"/>
        </w:rPr>
        <w:t>Montaner, Silvia</w:t>
      </w:r>
      <w:r>
        <w:rPr>
          <w:color w:val="0B0B0B"/>
        </w:rPr>
        <w:t>, (R), Assistant Professor, Oral and Experimental Pathology, School of Dentistry., MPH, Pontificia Commillas University, 1998; PhD, Autonoma University, 1997; MS, University of Murcia, 1993.</w:t>
      </w:r>
    </w:p>
    <w:p>
      <w:pPr>
        <w:pStyle w:val="BodyText"/>
        <w:spacing w:line="249" w:lineRule="auto"/>
        <w:ind w:left="199" w:right="134"/>
      </w:pPr>
      <w:r>
        <w:rPr>
          <w:b/>
          <w:color w:val="0B0B0B"/>
        </w:rPr>
        <w:t>Montgomery, Kathryn</w:t>
      </w:r>
      <w:r>
        <w:rPr>
          <w:color w:val="0B0B0B"/>
        </w:rPr>
        <w:t>, (A), Associate Professor, Partnerships, Professional Education and Practice, School of Nursing. PhD, University of Maryland, 1997; MS, Catholic University of America, 1979; BS, Barry University, 1973.</w:t>
      </w:r>
    </w:p>
    <w:p>
      <w:pPr>
        <w:pStyle w:val="BodyText"/>
        <w:spacing w:line="249" w:lineRule="auto" w:before="181"/>
        <w:ind w:left="199" w:right="327"/>
      </w:pPr>
      <w:r>
        <w:rPr>
          <w:b/>
          <w:color w:val="0B0B0B"/>
        </w:rPr>
        <w:t>Moreton, Edward J.</w:t>
      </w:r>
      <w:r>
        <w:rPr>
          <w:color w:val="0B0B0B"/>
        </w:rPr>
        <w:t>, (R), Professor, Pharmaceutical Sciences, School of Pharmacy. PhD, University of Mississippi, 1971; BS, University of Mississippi, 1966.</w:t>
      </w:r>
    </w:p>
    <w:p>
      <w:pPr>
        <w:pStyle w:val="BodyText"/>
        <w:spacing w:line="249" w:lineRule="auto"/>
        <w:ind w:left="199" w:right="15"/>
      </w:pPr>
      <w:r>
        <w:rPr>
          <w:b/>
          <w:color w:val="0B0B0B"/>
        </w:rPr>
        <w:t>Morgan, Daniel</w:t>
      </w:r>
      <w:r>
        <w:rPr>
          <w:color w:val="0B0B0B"/>
        </w:rPr>
        <w:t>, (R), Associate Professor, Epidemiology, School of Medicine. MS, University of Rochester, 2001; BS, Reed College, 1996.</w:t>
      </w:r>
    </w:p>
    <w:p>
      <w:pPr>
        <w:pStyle w:val="BodyText"/>
        <w:spacing w:line="249" w:lineRule="auto" w:before="180"/>
        <w:ind w:left="199" w:right="61"/>
      </w:pPr>
      <w:r>
        <w:rPr>
          <w:b/>
          <w:color w:val="0B0B0B"/>
        </w:rPr>
        <w:t>Morgan, William</w:t>
      </w:r>
      <w:r>
        <w:rPr>
          <w:color w:val="0B0B0B"/>
        </w:rPr>
        <w:t>, (R), Professor, Radiation Oncology, School of Medicine. PhD, University of Canterbury, 1980; MS, University of Canterbury, 1977; BS, University of Canterbury, 1975.</w:t>
      </w:r>
    </w:p>
    <w:p>
      <w:pPr>
        <w:spacing w:before="185"/>
        <w:ind w:left="199" w:right="0" w:firstLine="0"/>
        <w:jc w:val="left"/>
        <w:rPr>
          <w:sz w:val="20"/>
        </w:rPr>
      </w:pPr>
      <w:r>
        <w:rPr>
          <w:b/>
          <w:color w:val="0B0B0B"/>
          <w:sz w:val="20"/>
        </w:rPr>
        <w:t>Moudgil, Kamal</w:t>
      </w:r>
      <w:r>
        <w:rPr>
          <w:color w:val="0B0B0B"/>
          <w:sz w:val="20"/>
        </w:rPr>
        <w:t>, (R), Associate Professor, Microbiology</w:t>
      </w:r>
    </w:p>
    <w:p>
      <w:pPr>
        <w:pStyle w:val="BodyText"/>
        <w:spacing w:line="249" w:lineRule="auto" w:before="96"/>
        <w:ind w:left="199" w:right="1033"/>
      </w:pPr>
      <w:r>
        <w:rPr/>
        <w:br w:type="column"/>
      </w:r>
      <w:r>
        <w:rPr>
          <w:color w:val="0B0B0B"/>
        </w:rPr>
        <w:t>and Immunology, School of Medicine. PhD, All India Institute of Medical Sciences, 1988; MD, All India Institute of Medical Sciences, 1983; MD, Medicine Punjabi University, 1979.</w:t>
      </w:r>
    </w:p>
    <w:p>
      <w:pPr>
        <w:pStyle w:val="BodyText"/>
        <w:spacing w:line="249" w:lineRule="auto" w:before="180"/>
        <w:ind w:left="199" w:right="655"/>
      </w:pPr>
      <w:r>
        <w:rPr>
          <w:b/>
          <w:color w:val="0B0B0B"/>
        </w:rPr>
        <w:t>Mueller-Burke, Dawn</w:t>
      </w:r>
      <w:r>
        <w:rPr>
          <w:color w:val="0B0B0B"/>
        </w:rPr>
        <w:t>, (A), Assistant Professor, Family and Community Health, School of Nursing.PhD, University of Maryland, Baltimore, 2001; MS, University of Maryland, Baltimore, 1997; BSN, Indiana University of Pennsylvania, 1990.</w:t>
      </w:r>
    </w:p>
    <w:p>
      <w:pPr>
        <w:pStyle w:val="BodyText"/>
        <w:spacing w:line="249" w:lineRule="auto" w:before="186"/>
        <w:ind w:left="199" w:right="1156"/>
      </w:pPr>
      <w:r>
        <w:rPr>
          <w:b/>
          <w:color w:val="0B0B0B"/>
        </w:rPr>
        <w:t>Mullins, Daniel C.</w:t>
      </w:r>
      <w:r>
        <w:rPr>
          <w:color w:val="0B0B0B"/>
        </w:rPr>
        <w:t>, (R), Professor and Chair, Pharmaceutical Health Services Research, School of Pharmacy. PhD, Duke University, 1994; MA, Duke University, 1991; BS, Massachusetts Institute of Technology, 1986.</w:t>
      </w:r>
    </w:p>
    <w:p>
      <w:pPr>
        <w:pStyle w:val="BodyText"/>
        <w:spacing w:line="249" w:lineRule="auto" w:before="182"/>
        <w:ind w:left="199" w:right="616"/>
      </w:pPr>
      <w:r>
        <w:rPr>
          <w:b/>
          <w:color w:val="0B0B0B"/>
        </w:rPr>
        <w:t>Monteiro, Mervyn</w:t>
      </w:r>
      <w:r>
        <w:rPr>
          <w:color w:val="0B0B0B"/>
        </w:rPr>
        <w:t>, (R), Professor, Anatomy and Neurobiology, School of Medicine. PhD, National Institute for Medical Research, 1983; BS, University of London, 1979.</w:t>
      </w:r>
    </w:p>
    <w:p>
      <w:pPr>
        <w:pStyle w:val="BodyText"/>
        <w:spacing w:line="249" w:lineRule="auto"/>
        <w:ind w:left="199" w:right="811"/>
      </w:pPr>
      <w:r>
        <w:rPr>
          <w:b/>
          <w:color w:val="0B0B0B"/>
        </w:rPr>
        <w:t>Munger, Steven</w:t>
      </w:r>
      <w:r>
        <w:rPr>
          <w:color w:val="0B0B0B"/>
        </w:rPr>
        <w:t>, (R), Assistant Professor, Anatomy and Neurobiology, School of Medicine. PhD, University of Florida, 1996; BA, University of Virginia, 1989.</w:t>
      </w:r>
    </w:p>
    <w:p>
      <w:pPr>
        <w:pStyle w:val="BodyText"/>
        <w:spacing w:line="249" w:lineRule="auto" w:before="180"/>
        <w:ind w:left="199" w:right="688"/>
      </w:pPr>
      <w:r>
        <w:rPr>
          <w:b/>
          <w:color w:val="0B0B0B"/>
        </w:rPr>
        <w:t>Munson, Carlton</w:t>
      </w:r>
      <w:r>
        <w:rPr>
          <w:color w:val="0B0B0B"/>
        </w:rPr>
        <w:t>, (R), Professor, School of Social Work. PhD, University of Maryland, 1975; MSW, University of Maryland, 1969; BA, Shepherd College, 1964.</w:t>
      </w:r>
    </w:p>
    <w:p>
      <w:pPr>
        <w:pStyle w:val="BodyText"/>
        <w:spacing w:line="249" w:lineRule="auto" w:before="184"/>
        <w:ind w:left="199" w:right="816"/>
      </w:pPr>
      <w:r>
        <w:rPr>
          <w:b/>
          <w:color w:val="0B0B0B"/>
        </w:rPr>
        <w:t>Murphy, Lyn</w:t>
      </w:r>
      <w:r>
        <w:rPr>
          <w:color w:val="0B0B0B"/>
        </w:rPr>
        <w:t>, (R), Associate Professor, Organizational Systems and Adult Health, School of Nursing. PhD, University of Maryland, Baltimore County, 2006; MBA, University of Baltimore, 2001; MS, University of Maryland, Baltimore, 2001.</w:t>
      </w:r>
    </w:p>
    <w:p>
      <w:pPr>
        <w:pStyle w:val="BodyText"/>
        <w:spacing w:line="249" w:lineRule="auto" w:before="182"/>
        <w:ind w:left="199" w:right="805"/>
      </w:pPr>
      <w:r>
        <w:rPr>
          <w:b/>
          <w:color w:val="0B0B0B"/>
        </w:rPr>
        <w:t>Murray, Linda</w:t>
      </w:r>
      <w:r>
        <w:rPr>
          <w:color w:val="0B0B0B"/>
        </w:rPr>
        <w:t>, (A), Assistant Professor, Family and Community Health, School of Nursing. DNP, University of Maryland School of Nursing, 2016; MS, 1984; BS, Syracuse University, 1977.</w:t>
      </w:r>
    </w:p>
    <w:p>
      <w:pPr>
        <w:pStyle w:val="BodyText"/>
        <w:spacing w:line="249" w:lineRule="auto"/>
        <w:ind w:left="199" w:right="860"/>
      </w:pPr>
      <w:r>
        <w:rPr>
          <w:b/>
          <w:color w:val="0B0B0B"/>
        </w:rPr>
        <w:t>Myslinski, Norbert</w:t>
      </w:r>
      <w:r>
        <w:rPr>
          <w:color w:val="0B0B0B"/>
        </w:rPr>
        <w:t>, (R), Associate Professor, Oral and Craniofacial Biological Sciences, School of Dentistry. PhD, University of Illinois, 1973; BS, Canisius College, 1969.</w:t>
      </w:r>
    </w:p>
    <w:p>
      <w:pPr>
        <w:pStyle w:val="BodyText"/>
        <w:spacing w:line="249" w:lineRule="auto" w:before="181"/>
        <w:ind w:left="199" w:right="600"/>
      </w:pPr>
      <w:r>
        <w:rPr>
          <w:b/>
          <w:color w:val="0B0B0B"/>
        </w:rPr>
        <w:t>Nahm, Eun-Shim</w:t>
      </w:r>
      <w:r>
        <w:rPr>
          <w:color w:val="0B0B0B"/>
        </w:rPr>
        <w:t>, (R), Professor, Organizational Systems and Adult Health, School of Nursing. PhD, University of Maryland School of Nursing, 2003; MS, University of Hawaii at Manoa, Honolulu, 1995; BSN, EWHA Woman’s University, Seoul, Korea, 1989.</w:t>
      </w:r>
    </w:p>
    <w:p>
      <w:pPr>
        <w:pStyle w:val="BodyText"/>
        <w:spacing w:line="249" w:lineRule="auto" w:before="186"/>
        <w:ind w:left="199" w:right="833"/>
      </w:pPr>
      <w:r>
        <w:rPr>
          <w:b/>
          <w:color w:val="0B0B0B"/>
        </w:rPr>
        <w:t>Nataro, James</w:t>
      </w:r>
      <w:r>
        <w:rPr>
          <w:color w:val="0B0B0B"/>
        </w:rPr>
        <w:t>, (R), Professor, Pediatrics, School of Medicine. MD, PhD, University of Maryland, 1987; BS, University of Notre Dame, 1981.</w:t>
      </w:r>
    </w:p>
    <w:p>
      <w:pPr>
        <w:spacing w:after="0" w:line="249" w:lineRule="auto"/>
        <w:sectPr>
          <w:pgSz w:w="12240" w:h="15840"/>
          <w:pgMar w:header="746" w:footer="0" w:top="1320" w:bottom="280" w:left="880" w:right="300"/>
          <w:cols w:num="2" w:equalWidth="0">
            <w:col w:w="4980" w:space="506"/>
            <w:col w:w="5574"/>
          </w:cols>
        </w:sectPr>
      </w:pPr>
    </w:p>
    <w:p>
      <w:pPr>
        <w:pStyle w:val="BodyText"/>
        <w:spacing w:line="249" w:lineRule="auto" w:before="100"/>
        <w:ind w:right="214"/>
      </w:pPr>
      <w:r>
        <w:rPr>
          <w:b/>
          <w:color w:val="0B0B0B"/>
        </w:rPr>
        <w:t>Nauman, Robert</w:t>
      </w:r>
      <w:r>
        <w:rPr>
          <w:color w:val="0B0B0B"/>
        </w:rPr>
        <w:t>, (R), Professor Emeritus, Oral and Craniofacial Biological Sciences, School of Dentistry. PhD, University of Massachusetts, 1968; MS, University of Massachusetts, 1965; BS, Pennsylvania State University, 1963.</w:t>
      </w:r>
    </w:p>
    <w:p>
      <w:pPr>
        <w:pStyle w:val="BodyText"/>
        <w:spacing w:line="249" w:lineRule="auto" w:before="181"/>
        <w:ind w:left="199" w:right="42"/>
      </w:pPr>
      <w:r>
        <w:rPr>
          <w:b/>
          <w:color w:val="0B0B0B"/>
        </w:rPr>
        <w:t>Neapolitan, Jane, </w:t>
      </w:r>
      <w:r>
        <w:rPr>
          <w:color w:val="0B0B0B"/>
        </w:rPr>
        <w:t>(A), Professor, Towson University. BA, Sacred Heart University; MS, University of Bridgeport; EdD, Columbia University.</w:t>
      </w:r>
    </w:p>
    <w:p>
      <w:pPr>
        <w:pStyle w:val="BodyText"/>
        <w:spacing w:line="249" w:lineRule="auto"/>
        <w:ind w:left="199" w:right="33"/>
      </w:pPr>
      <w:r>
        <w:rPr>
          <w:b/>
          <w:color w:val="0B0B0B"/>
        </w:rPr>
        <w:t>Negi, Nalini</w:t>
      </w:r>
      <w:r>
        <w:rPr>
          <w:color w:val="0B0B0B"/>
        </w:rPr>
        <w:t>, (A), Assistant Professor, </w:t>
      </w:r>
      <w:r>
        <w:rPr>
          <w:color w:val="0B0B0B"/>
          <w:spacing w:val="-2"/>
        </w:rPr>
        <w:t>School </w:t>
      </w:r>
      <w:r>
        <w:rPr>
          <w:color w:val="0B0B0B"/>
          <w:spacing w:val="-3"/>
        </w:rPr>
        <w:t>of </w:t>
      </w:r>
      <w:r>
        <w:rPr>
          <w:color w:val="0B0B0B"/>
        </w:rPr>
        <w:t>Social Work. </w:t>
      </w:r>
      <w:r>
        <w:rPr>
          <w:color w:val="0B0B0B"/>
          <w:spacing w:val="-3"/>
        </w:rPr>
        <w:t>PhD, </w:t>
      </w:r>
      <w:r>
        <w:rPr>
          <w:color w:val="0B0B0B"/>
        </w:rPr>
        <w:t>University of Texas, 2008; MSW, University of Southern California, 2003; </w:t>
      </w:r>
      <w:r>
        <w:rPr>
          <w:color w:val="0B0B0B"/>
          <w:spacing w:val="-3"/>
        </w:rPr>
        <w:t>BA, </w:t>
      </w:r>
      <w:r>
        <w:rPr>
          <w:color w:val="0B0B0B"/>
        </w:rPr>
        <w:t>University of California, 2000.</w:t>
      </w:r>
    </w:p>
    <w:p>
      <w:pPr>
        <w:pStyle w:val="BodyText"/>
        <w:spacing w:line="249" w:lineRule="auto" w:before="180"/>
        <w:ind w:right="60" w:hanging="1"/>
      </w:pPr>
      <w:r>
        <w:rPr>
          <w:b/>
          <w:color w:val="0B0B0B"/>
        </w:rPr>
        <w:t>Netzel-Arnett, Sarah</w:t>
      </w:r>
      <w:r>
        <w:rPr>
          <w:color w:val="0B0B0B"/>
        </w:rPr>
        <w:t>, (A), Assistant Professor, Molecular Medicine, School </w:t>
      </w:r>
      <w:r>
        <w:rPr>
          <w:color w:val="0B0B0B"/>
          <w:spacing w:val="-3"/>
        </w:rPr>
        <w:t>of </w:t>
      </w:r>
      <w:r>
        <w:rPr>
          <w:color w:val="0B0B0B"/>
        </w:rPr>
        <w:t>Medicine. </w:t>
      </w:r>
      <w:r>
        <w:rPr>
          <w:color w:val="0B0B0B"/>
          <w:spacing w:val="-3"/>
        </w:rPr>
        <w:t>PhD, </w:t>
      </w:r>
      <w:r>
        <w:rPr>
          <w:color w:val="0B0B0B"/>
        </w:rPr>
        <w:t>Florida State University, 1994; </w:t>
      </w:r>
      <w:r>
        <w:rPr>
          <w:color w:val="0B0B0B"/>
          <w:spacing w:val="-3"/>
        </w:rPr>
        <w:t>BS, </w:t>
      </w:r>
      <w:r>
        <w:rPr>
          <w:color w:val="0B0B0B"/>
        </w:rPr>
        <w:t>University of Alaska Anchorage, 1988.</w:t>
      </w:r>
    </w:p>
    <w:p>
      <w:pPr>
        <w:pStyle w:val="BodyText"/>
        <w:spacing w:line="249" w:lineRule="auto"/>
        <w:ind w:right="272"/>
        <w:jc w:val="both"/>
      </w:pPr>
      <w:r>
        <w:rPr>
          <w:b/>
          <w:color w:val="0B0B0B"/>
        </w:rPr>
        <w:t>Neumann, Theresa, </w:t>
      </w:r>
      <w:r>
        <w:rPr>
          <w:color w:val="0B0B0B"/>
        </w:rPr>
        <w:t>(A), Associate Professor, Graduate School. BA, College of Notre Dame of Maryland, 1987; PA-C, University of Nebraska Medical Center, 2014.</w:t>
      </w:r>
    </w:p>
    <w:p>
      <w:pPr>
        <w:pStyle w:val="BodyText"/>
        <w:spacing w:line="249" w:lineRule="auto" w:before="180"/>
        <w:ind w:right="80"/>
      </w:pPr>
      <w:r>
        <w:rPr>
          <w:b/>
          <w:color w:val="0B0B0B"/>
        </w:rPr>
        <w:t>Neuwald, Andrew F.</w:t>
      </w:r>
      <w:r>
        <w:rPr>
          <w:color w:val="0B0B0B"/>
        </w:rPr>
        <w:t>, (R), Professor, Biochemistry and Molecular Biology, School of Medicine. PhD, Iowa University, 1987; MS, University of Wisconsin, 1983; BS, University of Wisconsin, 1978.</w:t>
      </w:r>
    </w:p>
    <w:p>
      <w:pPr>
        <w:pStyle w:val="BodyText"/>
        <w:spacing w:line="249" w:lineRule="auto" w:before="186"/>
      </w:pPr>
      <w:r>
        <w:rPr>
          <w:b/>
          <w:color w:val="0B0B0B"/>
        </w:rPr>
        <w:t>Nicholson, Ebony</w:t>
      </w:r>
      <w:r>
        <w:rPr>
          <w:color w:val="0B0B0B"/>
        </w:rPr>
        <w:t>, (A), Graduate School. BA, American University, 2011; MSW, University of Maryland, Baltimore, 2016.</w:t>
      </w:r>
    </w:p>
    <w:p>
      <w:pPr>
        <w:pStyle w:val="BodyText"/>
        <w:spacing w:line="249" w:lineRule="auto" w:before="179"/>
        <w:ind w:right="262"/>
        <w:jc w:val="both"/>
      </w:pPr>
      <w:r>
        <w:rPr>
          <w:b/>
          <w:color w:val="0B0B0B"/>
        </w:rPr>
        <w:t>Ning, Yi</w:t>
      </w:r>
      <w:r>
        <w:rPr>
          <w:color w:val="0B0B0B"/>
        </w:rPr>
        <w:t>, (R), Assistant Professor, Pathology, School of Medicine. PhD, Baylor College of Medicine, 1991; MD, Shanghai First Medical College, 1984.</w:t>
      </w:r>
    </w:p>
    <w:p>
      <w:pPr>
        <w:pStyle w:val="BodyText"/>
        <w:spacing w:line="249" w:lineRule="auto"/>
        <w:ind w:right="347"/>
      </w:pPr>
      <w:r>
        <w:rPr>
          <w:b/>
          <w:color w:val="0B0B0B"/>
        </w:rPr>
        <w:t>Njar, Vincent</w:t>
      </w:r>
      <w:r>
        <w:rPr>
          <w:color w:val="0B0B0B"/>
        </w:rPr>
        <w:t>, (R), Assistant Professor, Pharmacology and Experimental Therapeutics, School of Medicine.</w:t>
      </w:r>
    </w:p>
    <w:p>
      <w:pPr>
        <w:pStyle w:val="BodyText"/>
        <w:spacing w:line="249" w:lineRule="auto" w:before="1"/>
        <w:ind w:right="536"/>
      </w:pPr>
      <w:r>
        <w:rPr>
          <w:color w:val="0B0B0B"/>
        </w:rPr>
        <w:t>PhD,University of London, 1980; BSc, University of Ibadan, 1976.</w:t>
      </w:r>
    </w:p>
    <w:p>
      <w:pPr>
        <w:pStyle w:val="BodyText"/>
        <w:spacing w:line="249" w:lineRule="auto" w:before="179"/>
        <w:ind w:right="492"/>
      </w:pPr>
      <w:r>
        <w:rPr>
          <w:b/>
          <w:color w:val="0B0B0B"/>
        </w:rPr>
        <w:t>Njie-Carr, Veronica</w:t>
      </w:r>
      <w:r>
        <w:rPr>
          <w:color w:val="0B0B0B"/>
        </w:rPr>
        <w:t>, (A), Assistant Professor, Organizational Systems and Adult Health, School of Nursing. PhD, Catholic University of America, 2007; MSN, Catholic University of America, 1996; BSN, Howard University, 1992.</w:t>
      </w:r>
    </w:p>
    <w:p>
      <w:pPr>
        <w:pStyle w:val="BodyText"/>
        <w:spacing w:line="249" w:lineRule="auto" w:before="187"/>
        <w:ind w:right="192"/>
      </w:pPr>
      <w:r>
        <w:rPr>
          <w:b/>
          <w:color w:val="0B0B0B"/>
        </w:rPr>
        <w:t>Noel, Jason</w:t>
      </w:r>
      <w:r>
        <w:rPr>
          <w:color w:val="0B0B0B"/>
        </w:rPr>
        <w:t>, (A), Assistant Professor, Pharmaceutical Health Services Research, School of Pharmacy. PharmD, Rutgers University College of Pharmacy, 1999; BS, Rutgers University College of Pharmacy, 1999.</w:t>
      </w:r>
    </w:p>
    <w:p>
      <w:pPr>
        <w:pStyle w:val="BodyText"/>
        <w:spacing w:line="249" w:lineRule="auto" w:before="180"/>
        <w:ind w:right="64"/>
      </w:pPr>
      <w:r>
        <w:rPr>
          <w:b/>
          <w:color w:val="0B0B0B"/>
        </w:rPr>
        <w:t>Nurminskaya, Maria</w:t>
      </w:r>
      <w:r>
        <w:rPr>
          <w:color w:val="0B0B0B"/>
        </w:rPr>
        <w:t>, (R), Associate Professor, Biochemistry and Molecular Biology, School of Medicine.</w:t>
      </w:r>
    </w:p>
    <w:p>
      <w:pPr>
        <w:pStyle w:val="BodyText"/>
        <w:spacing w:line="249" w:lineRule="auto" w:before="96"/>
        <w:ind w:right="628"/>
      </w:pPr>
      <w:r>
        <w:rPr/>
        <w:br w:type="column"/>
      </w:r>
      <w:r>
        <w:rPr>
          <w:color w:val="0B0B0B"/>
        </w:rPr>
        <w:t>PhD, </w:t>
      </w:r>
      <w:r>
        <w:rPr>
          <w:color w:val="0B0B0B"/>
          <w:spacing w:val="-3"/>
        </w:rPr>
        <w:t>Moscow </w:t>
      </w:r>
      <w:r>
        <w:rPr>
          <w:color w:val="0B0B0B"/>
        </w:rPr>
        <w:t>State University, 1993; </w:t>
      </w:r>
      <w:r>
        <w:rPr>
          <w:color w:val="0B0B0B"/>
          <w:spacing w:val="-3"/>
        </w:rPr>
        <w:t>BSc, Moscow </w:t>
      </w:r>
      <w:r>
        <w:rPr>
          <w:color w:val="0B0B0B"/>
        </w:rPr>
        <w:t>State University,</w:t>
      </w:r>
      <w:r>
        <w:rPr>
          <w:color w:val="0B0B0B"/>
          <w:spacing w:val="4"/>
        </w:rPr>
        <w:t> </w:t>
      </w:r>
      <w:r>
        <w:rPr>
          <w:color w:val="0B0B0B"/>
        </w:rPr>
        <w:t>1987.</w:t>
      </w:r>
    </w:p>
    <w:p>
      <w:pPr>
        <w:pStyle w:val="BodyText"/>
        <w:spacing w:line="249" w:lineRule="auto" w:before="179"/>
        <w:ind w:right="869"/>
      </w:pPr>
      <w:r>
        <w:rPr>
          <w:b/>
          <w:color w:val="0B0B0B"/>
        </w:rPr>
        <w:t>O’Connor, Timothy</w:t>
      </w:r>
      <w:r>
        <w:rPr>
          <w:color w:val="0B0B0B"/>
        </w:rPr>
        <w:t>, (A), Assistant Professor, Institute for Genome Sciences, School </w:t>
      </w:r>
      <w:r>
        <w:rPr>
          <w:color w:val="0B0B0B"/>
          <w:spacing w:val="-3"/>
        </w:rPr>
        <w:t>of </w:t>
      </w:r>
      <w:r>
        <w:rPr>
          <w:color w:val="0B0B0B"/>
        </w:rPr>
        <w:t>Medicine. </w:t>
      </w:r>
      <w:r>
        <w:rPr>
          <w:color w:val="0B0B0B"/>
          <w:spacing w:val="-3"/>
        </w:rPr>
        <w:t>PhD, </w:t>
      </w:r>
      <w:r>
        <w:rPr>
          <w:color w:val="0B0B0B"/>
        </w:rPr>
        <w:t>University of Cambridge, 2011; </w:t>
      </w:r>
      <w:r>
        <w:rPr>
          <w:color w:val="0B0B0B"/>
          <w:spacing w:val="-3"/>
        </w:rPr>
        <w:t>BS, </w:t>
      </w:r>
      <w:r>
        <w:rPr>
          <w:color w:val="0B0B0B"/>
        </w:rPr>
        <w:t>Brigham Young University,</w:t>
      </w:r>
      <w:r>
        <w:rPr>
          <w:color w:val="0B0B0B"/>
          <w:spacing w:val="4"/>
        </w:rPr>
        <w:t> </w:t>
      </w:r>
      <w:r>
        <w:rPr>
          <w:color w:val="0B0B0B"/>
        </w:rPr>
        <w:t>2007.</w:t>
      </w:r>
    </w:p>
    <w:p>
      <w:pPr>
        <w:pStyle w:val="BodyText"/>
        <w:spacing w:line="249" w:lineRule="auto"/>
        <w:ind w:right="1125"/>
        <w:jc w:val="both"/>
      </w:pPr>
      <w:r>
        <w:rPr>
          <w:b/>
          <w:color w:val="0B0B0B"/>
        </w:rPr>
        <w:t>Odessky, Larisa, </w:t>
      </w:r>
      <w:r>
        <w:rPr>
          <w:color w:val="0B0B0B"/>
        </w:rPr>
        <w:t>(A), Assistant Professor, Graduate School. BHS, Florida International University, 2010; PharmD, Nova Southeastern University, 2014.</w:t>
      </w:r>
    </w:p>
    <w:p>
      <w:pPr>
        <w:pStyle w:val="BodyText"/>
        <w:spacing w:line="249" w:lineRule="auto" w:before="180"/>
        <w:ind w:right="645"/>
        <w:jc w:val="both"/>
      </w:pPr>
      <w:r>
        <w:rPr>
          <w:b/>
          <w:color w:val="0B0B0B"/>
        </w:rPr>
        <w:t>O’Donnell, Patricio</w:t>
      </w:r>
      <w:r>
        <w:rPr>
          <w:color w:val="0B0B0B"/>
        </w:rPr>
        <w:t>, (R), Professor, Neuroscience, </w:t>
      </w:r>
      <w:r>
        <w:rPr>
          <w:color w:val="0B0B0B"/>
          <w:spacing w:val="-3"/>
        </w:rPr>
        <w:t>School </w:t>
      </w:r>
      <w:r>
        <w:rPr>
          <w:color w:val="0B0B0B"/>
        </w:rPr>
        <w:t>of Medicine. PhD, University of Buenos Aires, 1990; </w:t>
      </w:r>
      <w:r>
        <w:rPr>
          <w:color w:val="0B0B0B"/>
          <w:spacing w:val="-2"/>
        </w:rPr>
        <w:t>MD, </w:t>
      </w:r>
      <w:r>
        <w:rPr>
          <w:color w:val="0B0B0B"/>
        </w:rPr>
        <w:t>University of Buenos Aires, 1989.</w:t>
      </w:r>
    </w:p>
    <w:p>
      <w:pPr>
        <w:pStyle w:val="BodyText"/>
        <w:spacing w:line="249" w:lineRule="auto"/>
        <w:ind w:right="628"/>
      </w:pPr>
      <w:r>
        <w:rPr>
          <w:b/>
          <w:color w:val="0B0B0B"/>
        </w:rPr>
        <w:t>Ofonedu, Mirian, </w:t>
      </w:r>
      <w:r>
        <w:rPr>
          <w:color w:val="0B0B0B"/>
        </w:rPr>
        <w:t>(A), Adjunct Faculty, Graduate School. BA, University of Nigeria, 1995; MSW, University of Maryland, Baltimore, 1991; PhD, Cappella University, 2011.</w:t>
      </w:r>
    </w:p>
    <w:p>
      <w:pPr>
        <w:pStyle w:val="BodyText"/>
        <w:spacing w:line="249" w:lineRule="auto" w:before="180"/>
        <w:ind w:right="741"/>
      </w:pPr>
      <w:r>
        <w:rPr>
          <w:b/>
          <w:color w:val="0B0B0B"/>
        </w:rPr>
        <w:t>Ogbolu, Yolanda</w:t>
      </w:r>
      <w:r>
        <w:rPr>
          <w:color w:val="0B0B0B"/>
        </w:rPr>
        <w:t>, (A), Assistant Professor, Partnerships, Professional Education, and Practice, School of Nursing. PhD, University of Maryland, Baltimore, 2010; MS, University of Maryland, Baltimore, 2006; BS, University of Maryland, Baltimore, 2004.</w:t>
      </w:r>
    </w:p>
    <w:p>
      <w:pPr>
        <w:pStyle w:val="BodyText"/>
        <w:spacing w:line="249" w:lineRule="auto" w:before="186"/>
        <w:ind w:right="675"/>
      </w:pPr>
      <w:r>
        <w:rPr>
          <w:b/>
          <w:color w:val="0B0B0B"/>
        </w:rPr>
        <w:t>Oglesby-Sherrouse, Amanda</w:t>
      </w:r>
      <w:r>
        <w:rPr>
          <w:color w:val="0B0B0B"/>
        </w:rPr>
        <w:t>, (R), Assistant Professor, Pharmaceutical Sciences, School of Pharmacy. PhD, University of Texas, 2005; BS, University of Texas, 2000.</w:t>
      </w:r>
    </w:p>
    <w:p>
      <w:pPr>
        <w:pStyle w:val="BodyText"/>
        <w:spacing w:line="249" w:lineRule="auto" w:before="180"/>
        <w:ind w:right="986"/>
      </w:pPr>
      <w:r>
        <w:rPr>
          <w:b/>
          <w:color w:val="0B0B0B"/>
        </w:rPr>
        <w:t>Oh, Se-Lim</w:t>
      </w:r>
      <w:r>
        <w:rPr>
          <w:color w:val="0B0B0B"/>
        </w:rPr>
        <w:t>, (A), Assistant Professor, Biomedical Sciences, School of Dentistry. DMD, Kyung Hee University, Korea, 1995; MS, University of Maryland, Baltimore, 2006.</w:t>
      </w:r>
    </w:p>
    <w:p>
      <w:pPr>
        <w:pStyle w:val="BodyText"/>
        <w:spacing w:line="249" w:lineRule="auto"/>
        <w:ind w:right="688"/>
        <w:jc w:val="both"/>
      </w:pPr>
      <w:r>
        <w:rPr>
          <w:b/>
          <w:color w:val="0B0B0B"/>
        </w:rPr>
        <w:t>Ohm, Colleen, (A), </w:t>
      </w:r>
      <w:r>
        <w:rPr>
          <w:color w:val="0B0B0B"/>
        </w:rPr>
        <w:t>Assistant Professor, Graduate School. BS, Towson University, 2002; MS, St. Francis University, 2007; PA-C, AACC, 2007.</w:t>
      </w:r>
    </w:p>
    <w:p>
      <w:pPr>
        <w:pStyle w:val="BodyText"/>
        <w:spacing w:line="249" w:lineRule="auto" w:before="180"/>
        <w:ind w:right="770"/>
      </w:pPr>
      <w:r>
        <w:rPr>
          <w:b/>
          <w:color w:val="0B0B0B"/>
        </w:rPr>
        <w:t>Olsen, Josephine</w:t>
      </w:r>
      <w:r>
        <w:rPr>
          <w:color w:val="0B0B0B"/>
        </w:rPr>
        <w:t>, (A), Visiting Professor, </w:t>
      </w:r>
      <w:r>
        <w:rPr>
          <w:color w:val="0B0B0B"/>
          <w:spacing w:val="-3"/>
        </w:rPr>
        <w:t>School </w:t>
      </w:r>
      <w:r>
        <w:rPr>
          <w:color w:val="0B0B0B"/>
        </w:rPr>
        <w:t>of Social Work. PhD, University of Maryland, 1979; MSW, University of Maryland, 1972; </w:t>
      </w:r>
      <w:r>
        <w:rPr>
          <w:color w:val="0B0B0B"/>
          <w:spacing w:val="-3"/>
        </w:rPr>
        <w:t>BS, </w:t>
      </w:r>
      <w:r>
        <w:rPr>
          <w:color w:val="0B0B0B"/>
        </w:rPr>
        <w:t>University of Utah, 1965.</w:t>
      </w:r>
    </w:p>
    <w:p>
      <w:pPr>
        <w:pStyle w:val="BodyText"/>
        <w:spacing w:line="249" w:lineRule="auto" w:before="186"/>
        <w:ind w:right="798"/>
      </w:pPr>
      <w:r>
        <w:rPr>
          <w:b/>
          <w:color w:val="0B0B0B"/>
        </w:rPr>
        <w:t>Olson Jr., John A.</w:t>
      </w:r>
      <w:r>
        <w:rPr>
          <w:color w:val="0B0B0B"/>
        </w:rPr>
        <w:t>, (A), Professor, </w:t>
      </w:r>
      <w:r>
        <w:rPr>
          <w:color w:val="0B0B0B"/>
          <w:spacing w:val="-3"/>
        </w:rPr>
        <w:t>Surgery, </w:t>
      </w:r>
      <w:r>
        <w:rPr>
          <w:color w:val="0B0B0B"/>
          <w:spacing w:val="-2"/>
        </w:rPr>
        <w:t>School </w:t>
      </w:r>
      <w:r>
        <w:rPr>
          <w:color w:val="0B0B0B"/>
          <w:spacing w:val="-5"/>
        </w:rPr>
        <w:t>of </w:t>
      </w:r>
      <w:r>
        <w:rPr>
          <w:color w:val="0B0B0B"/>
        </w:rPr>
        <w:t>Medicine. MD, University of Florida, 1992; PhD, University of Florida, 1990; </w:t>
      </w:r>
      <w:r>
        <w:rPr>
          <w:color w:val="0B0B0B"/>
          <w:spacing w:val="-3"/>
        </w:rPr>
        <w:t>BS, </w:t>
      </w:r>
      <w:r>
        <w:rPr>
          <w:color w:val="0B0B0B"/>
        </w:rPr>
        <w:t>University of Michigan, 1986.</w:t>
      </w:r>
    </w:p>
    <w:p>
      <w:pPr>
        <w:pStyle w:val="BodyText"/>
        <w:spacing w:line="249" w:lineRule="auto" w:before="180"/>
        <w:ind w:right="797"/>
      </w:pPr>
      <w:r>
        <w:rPr>
          <w:b/>
          <w:color w:val="0B0B0B"/>
        </w:rPr>
        <w:t>O’Neil, Carol</w:t>
      </w:r>
      <w:r>
        <w:rPr>
          <w:color w:val="0B0B0B"/>
        </w:rPr>
        <w:t>, (A), Assistant Professor, Partnerships, Professional Education, and Practice, School of Nursing. PhD, University of South Florida, 1988; MEd, Columbia University, 1978; MA, Columbia University, 1976.</w:t>
      </w:r>
    </w:p>
    <w:p>
      <w:pPr>
        <w:spacing w:before="185"/>
        <w:ind w:left="200" w:right="0" w:firstLine="0"/>
        <w:jc w:val="left"/>
        <w:rPr>
          <w:sz w:val="20"/>
        </w:rPr>
      </w:pPr>
      <w:r>
        <w:rPr>
          <w:b/>
          <w:color w:val="0B0B0B"/>
          <w:sz w:val="20"/>
        </w:rPr>
        <w:t>Onukwugha, Eberechukwu</w:t>
      </w:r>
      <w:r>
        <w:rPr>
          <w:color w:val="0B0B0B"/>
          <w:sz w:val="20"/>
        </w:rPr>
        <w:t>, (R), Research Assistant</w:t>
      </w:r>
    </w:p>
    <w:p>
      <w:pPr>
        <w:spacing w:after="0"/>
        <w:jc w:val="left"/>
        <w:rPr>
          <w:sz w:val="20"/>
        </w:rPr>
        <w:sectPr>
          <w:pgSz w:w="12240" w:h="15840"/>
          <w:pgMar w:header="746" w:footer="0" w:top="1320" w:bottom="280" w:left="880" w:right="300"/>
          <w:cols w:num="2" w:equalWidth="0">
            <w:col w:w="4995" w:space="492"/>
            <w:col w:w="5573"/>
          </w:cols>
        </w:sectPr>
      </w:pPr>
    </w:p>
    <w:p>
      <w:pPr>
        <w:pStyle w:val="BodyText"/>
        <w:spacing w:line="249" w:lineRule="auto" w:before="100"/>
        <w:ind w:right="153"/>
      </w:pPr>
      <w:r>
        <w:rPr>
          <w:color w:val="0B0B0B"/>
        </w:rPr>
        <w:t>Professor, Pharmaceutical Health Services Research, School of Pharmacy. PhD, Virginia Polytechnic Institute and State University, 2004; MSc, Virginia Polytechnic Institute and State University, 1997; BA, State University of New York, 1995.</w:t>
      </w:r>
    </w:p>
    <w:p>
      <w:pPr>
        <w:pStyle w:val="BodyText"/>
        <w:spacing w:line="249" w:lineRule="auto" w:before="181"/>
        <w:ind w:left="199"/>
      </w:pPr>
      <w:r>
        <w:rPr>
          <w:b/>
          <w:color w:val="0B0B0B"/>
        </w:rPr>
        <w:t>Oram, Diana</w:t>
      </w:r>
      <w:r>
        <w:rPr>
          <w:color w:val="0B0B0B"/>
        </w:rPr>
        <w:t>, (A), Assistant Professor, Biomedical Sciences, School of Dentistry. PhD, Emory University, 1999; BS, Georgia Institute of Technology, 1992.</w:t>
      </w:r>
    </w:p>
    <w:p>
      <w:pPr>
        <w:pStyle w:val="BodyText"/>
        <w:spacing w:line="249" w:lineRule="auto"/>
        <w:ind w:left="199" w:right="38"/>
      </w:pPr>
      <w:r>
        <w:rPr>
          <w:b/>
          <w:color w:val="0B0B0B"/>
        </w:rPr>
        <w:t>Orwig, Denise</w:t>
      </w:r>
      <w:r>
        <w:rPr>
          <w:color w:val="0B0B0B"/>
        </w:rPr>
        <w:t>, (R), Associate Professor, Epidemiology and Public Health, School of Medicine. PhD, Pennsylvania State University, 1998; MS, Johns Hopkins University, 1993; BS, University of Pittsburgh, 1989.</w:t>
      </w:r>
    </w:p>
    <w:p>
      <w:pPr>
        <w:spacing w:line="249" w:lineRule="auto" w:before="180"/>
        <w:ind w:left="199" w:right="471" w:firstLine="0"/>
        <w:jc w:val="left"/>
        <w:rPr>
          <w:sz w:val="20"/>
        </w:rPr>
      </w:pPr>
      <w:r>
        <w:rPr>
          <w:b/>
          <w:color w:val="0B0B0B"/>
          <w:sz w:val="20"/>
        </w:rPr>
        <w:t>Ostrand-Rosenberg, Suzanne</w:t>
      </w:r>
      <w:r>
        <w:rPr>
          <w:color w:val="0B0B0B"/>
          <w:sz w:val="20"/>
        </w:rPr>
        <w:t>, Professor, Biological Sciences, School of Medicine.</w:t>
      </w:r>
    </w:p>
    <w:p>
      <w:pPr>
        <w:pStyle w:val="BodyText"/>
        <w:spacing w:line="249" w:lineRule="auto" w:before="184"/>
        <w:ind w:left="199" w:right="49"/>
      </w:pPr>
      <w:r>
        <w:rPr>
          <w:b/>
          <w:color w:val="0B0B0B"/>
        </w:rPr>
        <w:t>Oswald, Lynn M.</w:t>
      </w:r>
      <w:r>
        <w:rPr>
          <w:color w:val="0B0B0B"/>
        </w:rPr>
        <w:t>, (A), Associate Professor, Family and Community Health, School of Nursing. PhD, University of Texas, 2001; MSN, University of Texas, 1990; BS, University of Wisconsin, 1971.</w:t>
      </w:r>
    </w:p>
    <w:p>
      <w:pPr>
        <w:pStyle w:val="BodyText"/>
        <w:spacing w:line="249" w:lineRule="auto" w:before="181"/>
        <w:ind w:left="199" w:right="365"/>
      </w:pPr>
      <w:r>
        <w:rPr>
          <w:b/>
          <w:color w:val="0B0B0B"/>
        </w:rPr>
        <w:t>Otis, Linda</w:t>
      </w:r>
      <w:r>
        <w:rPr>
          <w:color w:val="0B0B0B"/>
        </w:rPr>
        <w:t>, (R), Professor, School of Dentistry. DDS, University of Nebraska, 1984; MS, University of Nebraska, 1979; BS, University of Nebraska, 1976.</w:t>
      </w:r>
    </w:p>
    <w:p>
      <w:pPr>
        <w:pStyle w:val="BodyText"/>
        <w:spacing w:line="249" w:lineRule="auto" w:before="184"/>
        <w:ind w:left="199" w:right="255"/>
      </w:pPr>
      <w:r>
        <w:rPr>
          <w:b/>
          <w:color w:val="0B0B0B"/>
        </w:rPr>
        <w:t>Ouattara, Ahmed</w:t>
      </w:r>
      <w:r>
        <w:rPr>
          <w:color w:val="0B0B0B"/>
        </w:rPr>
        <w:t>, (A), Research Associate, Global Health. PhD, University of Maryland, Baltimore, 2012; PharmD, School of Medicine and Pharmacy Mali, 1998; BS, Lycee Modern Sya, 1989.</w:t>
      </w:r>
    </w:p>
    <w:p>
      <w:pPr>
        <w:pStyle w:val="BodyText"/>
        <w:spacing w:line="249" w:lineRule="auto" w:before="181"/>
        <w:ind w:left="199" w:right="415"/>
      </w:pPr>
      <w:r>
        <w:rPr>
          <w:b/>
          <w:color w:val="0B0B0B"/>
        </w:rPr>
        <w:t>Overby, Casey</w:t>
      </w:r>
      <w:r>
        <w:rPr>
          <w:color w:val="0B0B0B"/>
        </w:rPr>
        <w:t>, (A), Assistant Professor, School of Medicine. PhD, University of Washington, 2011; MB, University of Pennsylvania, 2006; BS, University of Michigan, 2004.</w:t>
      </w:r>
    </w:p>
    <w:p>
      <w:pPr>
        <w:pStyle w:val="BodyText"/>
        <w:spacing w:line="249" w:lineRule="auto"/>
        <w:ind w:left="199" w:right="21"/>
      </w:pPr>
      <w:r>
        <w:rPr>
          <w:b/>
          <w:color w:val="0B0B0B"/>
        </w:rPr>
        <w:t>Overholser, C. Daniel</w:t>
      </w:r>
      <w:r>
        <w:rPr>
          <w:color w:val="0B0B0B"/>
        </w:rPr>
        <w:t>, (R), Professor, Oral Medicine, School of Dentistry. MSD, Indiana University, 1972; DDS, Indiana University, 1970; BS, University of Notre Dame, 1966.</w:t>
      </w:r>
    </w:p>
    <w:p>
      <w:pPr>
        <w:pStyle w:val="BodyText"/>
        <w:spacing w:line="249" w:lineRule="auto" w:before="180"/>
        <w:ind w:left="199" w:right="87"/>
      </w:pPr>
      <w:r>
        <w:rPr>
          <w:b/>
          <w:color w:val="0B0B0B"/>
        </w:rPr>
        <w:t>Owens, Jennifer, </w:t>
      </w:r>
      <w:r>
        <w:rPr>
          <w:color w:val="0B0B0B"/>
        </w:rPr>
        <w:t>(A), Associate Professor, Graduate School. BA, University of North Carolina, Chapel Hill, 2007; MS, East Stroudsburg University; DS, University of Baltimore, 2016.</w:t>
      </w:r>
    </w:p>
    <w:p>
      <w:pPr>
        <w:pStyle w:val="BodyText"/>
        <w:spacing w:line="249" w:lineRule="auto" w:before="186"/>
        <w:ind w:left="199" w:right="121"/>
      </w:pPr>
      <w:r>
        <w:rPr>
          <w:b/>
          <w:color w:val="0B0B0B"/>
        </w:rPr>
        <w:t>Pae, Eung-Kwon</w:t>
      </w:r>
      <w:r>
        <w:rPr>
          <w:color w:val="0B0B0B"/>
        </w:rPr>
        <w:t>, (A), Associate Professor, Orthodontics and Pediatric Dentistry, School of Dentistry. PhD, University of British Columbia, Vancouver, 1993; MSc, University of British Columbia, Vancouver; 1989, DDS, Yonsei University, 1980.</w:t>
      </w:r>
    </w:p>
    <w:p>
      <w:pPr>
        <w:spacing w:line="249" w:lineRule="auto" w:before="181"/>
        <w:ind w:left="199" w:right="555" w:firstLine="0"/>
        <w:jc w:val="left"/>
        <w:rPr>
          <w:sz w:val="20"/>
        </w:rPr>
      </w:pPr>
      <w:r>
        <w:rPr>
          <w:b/>
          <w:color w:val="0B0B0B"/>
          <w:sz w:val="20"/>
        </w:rPr>
        <w:t>Paffrath, Dennis J., </w:t>
      </w:r>
      <w:r>
        <w:rPr>
          <w:color w:val="0B0B0B"/>
          <w:sz w:val="20"/>
        </w:rPr>
        <w:t>(A), Adjunct Faculty, Graduate School. BS, Arizona State University, 1989; MBA,</w:t>
      </w:r>
    </w:p>
    <w:p>
      <w:pPr>
        <w:pStyle w:val="BodyText"/>
        <w:spacing w:before="96"/>
      </w:pPr>
      <w:r>
        <w:rPr/>
        <w:br w:type="column"/>
      </w:r>
      <w:r>
        <w:rPr>
          <w:color w:val="0B0B0B"/>
        </w:rPr>
        <w:t>University of Maryland University College, 2014.</w:t>
      </w:r>
    </w:p>
    <w:p>
      <w:pPr>
        <w:pStyle w:val="BodyText"/>
        <w:spacing w:line="249" w:lineRule="auto" w:before="187"/>
        <w:ind w:right="605"/>
      </w:pPr>
      <w:r>
        <w:rPr>
          <w:b/>
          <w:color w:val="0B0B0B"/>
        </w:rPr>
        <w:t>Palley, Howard</w:t>
      </w:r>
      <w:r>
        <w:rPr>
          <w:color w:val="0B0B0B"/>
        </w:rPr>
        <w:t>, (R), Professor, School of Social Work. PhD, Syracuse University, 1963; MS, Yeshiva University, 1950; BA, Brooklyn College, 1957.</w:t>
      </w:r>
    </w:p>
    <w:p>
      <w:pPr>
        <w:pStyle w:val="BodyText"/>
        <w:spacing w:line="249" w:lineRule="auto"/>
        <w:ind w:right="668"/>
        <w:jc w:val="both"/>
      </w:pPr>
      <w:r>
        <w:rPr>
          <w:b/>
          <w:color w:val="0B0B0B"/>
        </w:rPr>
        <w:t>Palumbo, Francis</w:t>
      </w:r>
      <w:r>
        <w:rPr>
          <w:color w:val="0B0B0B"/>
        </w:rPr>
        <w:t>, (R), Professor, Pharmaceutical Health Services Research, School of Pharmacy. PhD, University of Mississippi, 1974; MS, University of Mississippi, 1973; BSP, Medical College of South Carolina, 1968.</w:t>
      </w:r>
    </w:p>
    <w:p>
      <w:pPr>
        <w:pStyle w:val="BodyText"/>
        <w:spacing w:line="249" w:lineRule="auto" w:before="181"/>
        <w:ind w:right="993"/>
      </w:pPr>
      <w:r>
        <w:rPr>
          <w:b/>
          <w:color w:val="0B0B0B"/>
        </w:rPr>
        <w:t>Papadimitriou, John</w:t>
      </w:r>
      <w:r>
        <w:rPr>
          <w:color w:val="0B0B0B"/>
        </w:rPr>
        <w:t>, (A), Associate Professor, Pathology, School of Medicine. PhD, University of Maryland, 1991; MD, University of Heidelberg, 1978; MD, University of Athens, 1975.</w:t>
      </w:r>
    </w:p>
    <w:p>
      <w:pPr>
        <w:pStyle w:val="BodyText"/>
        <w:spacing w:line="249" w:lineRule="auto"/>
        <w:ind w:right="648"/>
      </w:pPr>
      <w:r>
        <w:rPr>
          <w:b/>
          <w:color w:val="0B0B0B"/>
        </w:rPr>
        <w:t>Parente, Frederick</w:t>
      </w:r>
      <w:r>
        <w:rPr>
          <w:color w:val="0B0B0B"/>
        </w:rPr>
        <w:t>, (A), Assistant Professor, Oral and Craniofacial Biological Sciences, </w:t>
      </w:r>
      <w:r>
        <w:rPr>
          <w:color w:val="0B0B0B"/>
          <w:spacing w:val="-3"/>
        </w:rPr>
        <w:t>School </w:t>
      </w:r>
      <w:r>
        <w:rPr>
          <w:color w:val="0B0B0B"/>
        </w:rPr>
        <w:t>of Dentistry. PhD, University of New Mexico, 1975; </w:t>
      </w:r>
      <w:r>
        <w:rPr>
          <w:color w:val="0B0B0B"/>
          <w:spacing w:val="-3"/>
        </w:rPr>
        <w:t>MS, </w:t>
      </w:r>
      <w:r>
        <w:rPr>
          <w:color w:val="0B0B0B"/>
        </w:rPr>
        <w:t>University of New Mexico, 1974; </w:t>
      </w:r>
      <w:r>
        <w:rPr>
          <w:color w:val="0B0B0B"/>
          <w:spacing w:val="-3"/>
        </w:rPr>
        <w:t>BA, </w:t>
      </w:r>
      <w:r>
        <w:rPr>
          <w:color w:val="0B0B0B"/>
        </w:rPr>
        <w:t>California State University at </w:t>
      </w:r>
      <w:r>
        <w:rPr>
          <w:color w:val="0B0B0B"/>
          <w:spacing w:val="-2"/>
        </w:rPr>
        <w:t>San </w:t>
      </w:r>
      <w:r>
        <w:rPr>
          <w:color w:val="0B0B0B"/>
          <w:spacing w:val="-3"/>
        </w:rPr>
        <w:t>Diego.</w:t>
      </w:r>
    </w:p>
    <w:p>
      <w:pPr>
        <w:pStyle w:val="BodyText"/>
        <w:spacing w:line="249" w:lineRule="auto" w:before="181"/>
        <w:ind w:right="621"/>
      </w:pPr>
      <w:r>
        <w:rPr>
          <w:b/>
          <w:color w:val="0B0B0B"/>
        </w:rPr>
        <w:t>Parker, M. Elaine</w:t>
      </w:r>
      <w:r>
        <w:rPr>
          <w:color w:val="0B0B0B"/>
        </w:rPr>
        <w:t>, (A), Associate Professor, Dental Hygiene, School of Dentistry. PhD, University of Maryland, 1994; BS, University of Maryland, 1978; RDH, University of Detroit, 1964.</w:t>
      </w:r>
    </w:p>
    <w:p>
      <w:pPr>
        <w:pStyle w:val="BodyText"/>
        <w:spacing w:line="249" w:lineRule="auto"/>
        <w:ind w:right="732"/>
      </w:pPr>
      <w:r>
        <w:rPr>
          <w:b/>
          <w:color w:val="0B0B0B"/>
        </w:rPr>
        <w:t>Parsons, Molly</w:t>
      </w:r>
      <w:r>
        <w:rPr>
          <w:color w:val="0B0B0B"/>
        </w:rPr>
        <w:t>, (R ), Assistant Professor, Organizational Systems and Adult Health, School of Nursing. EdD, University of Delaware, 2008; MS, Salisbury State University, 1998; BSN, Salisbury State University, 1995.</w:t>
      </w:r>
    </w:p>
    <w:p>
      <w:pPr>
        <w:pStyle w:val="BodyText"/>
        <w:spacing w:line="249" w:lineRule="auto" w:before="181"/>
        <w:ind w:right="698"/>
        <w:jc w:val="both"/>
      </w:pPr>
      <w:r>
        <w:rPr>
          <w:b/>
          <w:color w:val="0B0B0B"/>
        </w:rPr>
        <w:t>Pasetti, Marcela F.</w:t>
      </w:r>
      <w:r>
        <w:rPr>
          <w:color w:val="0B0B0B"/>
        </w:rPr>
        <w:t>, (A), Assistant Professor, Department of Pediatrics and Chief. PhD, University of Buenos Aires, 1994; MS, University of Buenos Aires, 1990.</w:t>
      </w:r>
    </w:p>
    <w:p>
      <w:pPr>
        <w:pStyle w:val="BodyText"/>
        <w:spacing w:line="249" w:lineRule="auto"/>
        <w:ind w:right="604"/>
      </w:pPr>
      <w:r>
        <w:rPr>
          <w:b/>
          <w:color w:val="0B0B0B"/>
        </w:rPr>
        <w:t>Passaniti, Antonino</w:t>
      </w:r>
      <w:r>
        <w:rPr>
          <w:color w:val="0B0B0B"/>
        </w:rPr>
        <w:t>, (R), Professor, Pathology, School of Medicine. PhD, University of Virginia, 1982; BA, Catholic University, 1976.</w:t>
      </w:r>
    </w:p>
    <w:p>
      <w:pPr>
        <w:pStyle w:val="BodyText"/>
        <w:spacing w:line="249" w:lineRule="auto" w:before="179"/>
        <w:ind w:right="971"/>
      </w:pPr>
      <w:r>
        <w:rPr>
          <w:b/>
          <w:color w:val="0B0B0B"/>
        </w:rPr>
        <w:t>Pauza, David C.</w:t>
      </w:r>
      <w:r>
        <w:rPr>
          <w:color w:val="0B0B0B"/>
        </w:rPr>
        <w:t>, (R), Professor, Microbiology and Immunology, School of Medicine. PhD, University of California, 1981; BA, San Jose State University, 1975.</w:t>
      </w:r>
    </w:p>
    <w:p>
      <w:pPr>
        <w:pStyle w:val="BodyText"/>
        <w:spacing w:line="249" w:lineRule="auto"/>
        <w:ind w:left="199" w:right="650"/>
      </w:pPr>
      <w:r>
        <w:rPr>
          <w:b/>
          <w:color w:val="0B0B0B"/>
        </w:rPr>
        <w:t>Pazgier, Marzena</w:t>
      </w:r>
      <w:r>
        <w:rPr>
          <w:color w:val="0B0B0B"/>
        </w:rPr>
        <w:t>, (A), Assistant Professor, Biochemistry and Molecular Biology, School of Medicine. PhD, Technical University of Lodz, Poland, 2001; MS, Technical University of Lodz, Poland, 1996.</w:t>
      </w:r>
    </w:p>
    <w:p>
      <w:pPr>
        <w:pStyle w:val="BodyText"/>
        <w:spacing w:line="249" w:lineRule="auto" w:before="181"/>
        <w:ind w:left="199" w:right="599"/>
      </w:pPr>
      <w:r>
        <w:rPr>
          <w:b/>
          <w:color w:val="0B0B0B"/>
        </w:rPr>
        <w:t>Pearce, Michelle</w:t>
      </w:r>
      <w:r>
        <w:rPr>
          <w:color w:val="303030"/>
        </w:rPr>
        <w:t>, </w:t>
      </w:r>
      <w:r>
        <w:rPr>
          <w:color w:val="0B0B0B"/>
        </w:rPr>
        <w:t>(A), Professor, Graduate School. BA, University of Waterloo, 2000; MS, Yale University, 2002; M.Phil, Yale University, 2003; PhD, Yale University 2007.</w:t>
      </w:r>
    </w:p>
    <w:p>
      <w:pPr>
        <w:pStyle w:val="BodyText"/>
        <w:spacing w:line="249" w:lineRule="auto" w:before="184"/>
        <w:ind w:left="199" w:right="605"/>
      </w:pPr>
      <w:r>
        <w:rPr>
          <w:b/>
          <w:color w:val="0B0B0B"/>
        </w:rPr>
        <w:t>Pecukonis, Edward </w:t>
      </w:r>
      <w:r>
        <w:rPr>
          <w:color w:val="0B0B0B"/>
        </w:rPr>
        <w:t>, (R), Associate Professor, Center for Social Work Education in Maternal and Child Health, School of Social Work. PhD, University of Maryland,</w:t>
      </w:r>
    </w:p>
    <w:p>
      <w:pPr>
        <w:spacing w:after="0" w:line="249" w:lineRule="auto"/>
        <w:sectPr>
          <w:pgSz w:w="12240" w:h="15840"/>
          <w:pgMar w:header="746" w:footer="0" w:top="1320" w:bottom="280" w:left="880" w:right="300"/>
          <w:cols w:num="2" w:equalWidth="0">
            <w:col w:w="4990" w:space="496"/>
            <w:col w:w="5574"/>
          </w:cols>
        </w:sectPr>
      </w:pPr>
    </w:p>
    <w:p>
      <w:pPr>
        <w:pStyle w:val="BodyText"/>
        <w:spacing w:line="249" w:lineRule="auto" w:before="100"/>
        <w:ind w:right="957"/>
      </w:pPr>
      <w:r>
        <w:rPr>
          <w:color w:val="0B0B0B"/>
        </w:rPr>
        <w:t>1993; MSW, Smith College, 1982; BS, Towson University, 1978.</w:t>
      </w:r>
    </w:p>
    <w:p>
      <w:pPr>
        <w:pStyle w:val="BodyText"/>
        <w:spacing w:line="249" w:lineRule="auto" w:before="179"/>
        <w:ind w:right="230"/>
      </w:pPr>
      <w:r>
        <w:rPr>
          <w:b/>
          <w:color w:val="0B0B0B"/>
        </w:rPr>
        <w:t>Pedra, Joao</w:t>
      </w:r>
      <w:r>
        <w:rPr>
          <w:color w:val="0B0B0B"/>
        </w:rPr>
        <w:t>, (R), Assistant Professor, Microbiology and Immunology, School of Medicine. PhD, Purdue University, 2004; MSc, Universidade Federal de Vicosa, 2000; BSc, Universidade Federal de Vicosa, 1998.</w:t>
      </w:r>
    </w:p>
    <w:p>
      <w:pPr>
        <w:pStyle w:val="BodyText"/>
        <w:spacing w:line="249" w:lineRule="auto"/>
        <w:ind w:right="102"/>
      </w:pPr>
      <w:r>
        <w:rPr>
          <w:b/>
          <w:color w:val="0B0B0B"/>
        </w:rPr>
        <w:t>Pellegrini, Joseph</w:t>
      </w:r>
      <w:r>
        <w:rPr>
          <w:color w:val="0B0B0B"/>
        </w:rPr>
        <w:t>, (R), Associate Professor, Nurse Anesthesia Program, School of Nursing. DNP, Rush University, 1996; MS, Rush University, 1995; BS, George Washington University, 1990.</w:t>
      </w:r>
    </w:p>
    <w:p>
      <w:pPr>
        <w:pStyle w:val="BodyText"/>
        <w:spacing w:line="249" w:lineRule="auto" w:before="181"/>
        <w:ind w:right="503"/>
      </w:pPr>
      <w:r>
        <w:rPr>
          <w:b/>
          <w:color w:val="0B0B0B"/>
        </w:rPr>
        <w:t>Pellegrini, Vincent</w:t>
      </w:r>
      <w:r>
        <w:rPr>
          <w:color w:val="0B0B0B"/>
        </w:rPr>
        <w:t>, (R), Professor, Orthopedics and James Lawrence Kernan Professor and Chair in the Department of Orthopedics. MD, Dartmouth Medical School, 1979; BA, Dartmouth College, 1976.</w:t>
      </w:r>
    </w:p>
    <w:p>
      <w:pPr>
        <w:pStyle w:val="BodyText"/>
        <w:spacing w:line="249" w:lineRule="auto"/>
        <w:ind w:right="142"/>
      </w:pPr>
      <w:r>
        <w:rPr>
          <w:b/>
          <w:color w:val="0B0B0B"/>
        </w:rPr>
        <w:t>Penn, Raymond B.</w:t>
      </w:r>
      <w:r>
        <w:rPr>
          <w:color w:val="0B0B0B"/>
        </w:rPr>
        <w:t>, (R), Professor, Medicine, School of Medicine. PhD, Temple University, 1988; BA, University of Pennsylvania, 1980.</w:t>
      </w:r>
    </w:p>
    <w:p>
      <w:pPr>
        <w:pStyle w:val="BodyText"/>
        <w:spacing w:line="249" w:lineRule="auto" w:before="180"/>
        <w:ind w:right="48"/>
      </w:pPr>
      <w:r>
        <w:rPr>
          <w:b/>
          <w:color w:val="0B0B0B"/>
        </w:rPr>
        <w:t>Pennington, Dixie, </w:t>
      </w:r>
      <w:r>
        <w:rPr>
          <w:color w:val="0B0B0B"/>
        </w:rPr>
        <w:t>(A), Senior Lecturer, Graduate School. BS, Pennsylvania State University, 2013; MS, Drexel University, 2017.</w:t>
      </w:r>
    </w:p>
    <w:p>
      <w:pPr>
        <w:pStyle w:val="BodyText"/>
        <w:spacing w:line="249" w:lineRule="auto" w:before="184"/>
        <w:ind w:right="131"/>
      </w:pPr>
      <w:r>
        <w:rPr>
          <w:b/>
          <w:color w:val="0B0B0B"/>
        </w:rPr>
        <w:t>Pereira, Edna</w:t>
      </w:r>
      <w:r>
        <w:rPr>
          <w:color w:val="0B0B0B"/>
        </w:rPr>
        <w:t>, (R), Associate Professor, Epidemiology and Public Health, School of Medicine. MS, Federal University of Rio de Janeiro, 1989; PharmD, Federal University of Rio de Janeiro, 1987; BS, Federal Technical School of Chemistry, 1982.</w:t>
      </w:r>
    </w:p>
    <w:p>
      <w:pPr>
        <w:pStyle w:val="BodyText"/>
        <w:spacing w:line="249" w:lineRule="auto" w:before="182"/>
      </w:pPr>
      <w:r>
        <w:rPr>
          <w:b/>
          <w:color w:val="0B0B0B"/>
        </w:rPr>
        <w:t>Perencevich, Eli</w:t>
      </w:r>
      <w:r>
        <w:rPr>
          <w:color w:val="0B0B0B"/>
        </w:rPr>
        <w:t>, (R), Adjunct Associate, Epidemiology and Public Health, School of Medicine. MS, Harvard University, 2001; MD, Case Western Reserve University, 1994; BS, University of Michigan, 1990.</w:t>
      </w:r>
    </w:p>
    <w:p>
      <w:pPr>
        <w:pStyle w:val="BodyText"/>
        <w:spacing w:line="249" w:lineRule="auto"/>
        <w:ind w:right="67"/>
        <w:jc w:val="both"/>
      </w:pPr>
      <w:r>
        <w:rPr>
          <w:b/>
          <w:color w:val="0B0B0B"/>
        </w:rPr>
        <w:t>Perfetto, Eleanor</w:t>
      </w:r>
      <w:r>
        <w:rPr>
          <w:color w:val="0B0B0B"/>
        </w:rPr>
        <w:t>, (R), Professor, Pharmaceutical Health Services Research, School of Pharmacy. PhD, University of North Carolina at Chapel Hill, 1992; MS, University of Rhode Island, 1988; BS, University of Rhode Island, 1980.</w:t>
      </w:r>
    </w:p>
    <w:p>
      <w:pPr>
        <w:pStyle w:val="BodyText"/>
        <w:spacing w:line="249" w:lineRule="auto" w:before="180"/>
        <w:ind w:right="136"/>
      </w:pPr>
      <w:r>
        <w:rPr>
          <w:b/>
          <w:color w:val="0B0B0B"/>
        </w:rPr>
        <w:t>Phillips, Regina</w:t>
      </w:r>
      <w:r>
        <w:rPr>
          <w:color w:val="0B0B0B"/>
        </w:rPr>
        <w:t>, (A), Assistant Professor, Organizational Systems and Adult Health. PhD, University of Maryland, College Park, 2006; MS, University of Maryland, Baltimore, 1979; BSN, Villanova University, 1976.</w:t>
      </w:r>
    </w:p>
    <w:p>
      <w:pPr>
        <w:pStyle w:val="BodyText"/>
        <w:spacing w:line="249" w:lineRule="auto" w:before="186"/>
        <w:ind w:right="25"/>
      </w:pPr>
      <w:r>
        <w:rPr>
          <w:b/>
          <w:color w:val="0B0B0B"/>
        </w:rPr>
        <w:t>Phipps, Rebecca, </w:t>
      </w:r>
      <w:r>
        <w:rPr>
          <w:color w:val="0B0B0B"/>
        </w:rPr>
        <w:t>(A), Chief Toxicologist, Pathology, School of Medicine. BS, University of Maryland Baltimore County, 1994; PhD, University of Maryland Baltimore, 1999</w:t>
      </w:r>
    </w:p>
    <w:p>
      <w:pPr>
        <w:pStyle w:val="BodyText"/>
        <w:spacing w:line="249" w:lineRule="auto" w:before="180"/>
        <w:ind w:right="492"/>
      </w:pPr>
      <w:r>
        <w:rPr>
          <w:b/>
          <w:color w:val="0B0B0B"/>
        </w:rPr>
        <w:t>Piscotty, Ron</w:t>
      </w:r>
      <w:r>
        <w:rPr>
          <w:color w:val="0B0B0B"/>
        </w:rPr>
        <w:t>, (A), Assistant Professor, Organization Systems and Adult Health, School of Nursing. PhD, University of Michigan, 2013; MS, University of</w:t>
      </w:r>
    </w:p>
    <w:p>
      <w:pPr>
        <w:pStyle w:val="BodyText"/>
        <w:spacing w:before="96"/>
      </w:pPr>
      <w:r>
        <w:rPr/>
        <w:br w:type="column"/>
      </w:r>
      <w:r>
        <w:rPr>
          <w:color w:val="0B0B0B"/>
        </w:rPr>
        <w:t>Michigan, 2006; BSN, Wayne State University, 1998.</w:t>
      </w:r>
    </w:p>
    <w:p>
      <w:pPr>
        <w:pStyle w:val="BodyText"/>
        <w:spacing w:line="249" w:lineRule="auto" w:before="187"/>
        <w:ind w:right="609"/>
      </w:pPr>
      <w:r>
        <w:rPr>
          <w:b/>
          <w:color w:val="0B0B0B"/>
        </w:rPr>
        <w:t>Plachez, Celine</w:t>
      </w:r>
      <w:r>
        <w:rPr>
          <w:color w:val="0B0B0B"/>
        </w:rPr>
        <w:t>, (A), Assistant Professor, Pharmacology, School of Medicine. PhD, University of Montpellier, 2000; MSc, University of Montpellier, 1996; BSc, University of Montpellier, 1995.</w:t>
      </w:r>
    </w:p>
    <w:p>
      <w:pPr>
        <w:pStyle w:val="BodyText"/>
        <w:spacing w:line="249" w:lineRule="auto" w:before="186"/>
        <w:ind w:right="753"/>
      </w:pPr>
      <w:r>
        <w:rPr>
          <w:b/>
          <w:color w:val="0B0B0B"/>
        </w:rPr>
        <w:t>Plaut, Michael S.</w:t>
      </w:r>
      <w:r>
        <w:rPr>
          <w:color w:val="0B0B0B"/>
        </w:rPr>
        <w:t>, (R), Associate Professor, Psychiatry, School of Medicine. PhD, University of Rochester, 1969; BA, Adelphi University, 1965.</w:t>
      </w:r>
    </w:p>
    <w:p>
      <w:pPr>
        <w:pStyle w:val="BodyText"/>
        <w:spacing w:line="249" w:lineRule="auto" w:before="180"/>
        <w:ind w:right="592"/>
      </w:pPr>
      <w:r>
        <w:rPr>
          <w:b/>
          <w:color w:val="0B0B0B"/>
        </w:rPr>
        <w:t>Plowe, Christopher</w:t>
      </w:r>
      <w:r>
        <w:rPr>
          <w:color w:val="0B0B0B"/>
        </w:rPr>
        <w:t>, (R), Associate Professor, Center for Vaccine Development, School of Medicine. MPH, Columbia University, 1991; MD, Cornell University, 1986; BA, Cornell University, 1982.</w:t>
      </w:r>
    </w:p>
    <w:p>
      <w:pPr>
        <w:pStyle w:val="BodyText"/>
        <w:spacing w:line="249" w:lineRule="auto"/>
        <w:ind w:right="781"/>
      </w:pPr>
      <w:r>
        <w:rPr>
          <w:b/>
          <w:color w:val="0B0B0B"/>
        </w:rPr>
        <w:t>Pocivavsek, Ana</w:t>
      </w:r>
      <w:r>
        <w:rPr>
          <w:color w:val="0B0B0B"/>
        </w:rPr>
        <w:t>, (A), Assistant Professor, Psychiatry, School of Medicine. PhD, Georgetown University, 2009; BS, Duke University, 2003.</w:t>
      </w:r>
    </w:p>
    <w:p>
      <w:pPr>
        <w:pStyle w:val="BodyText"/>
        <w:spacing w:line="249" w:lineRule="auto" w:before="180"/>
        <w:ind w:right="742"/>
      </w:pPr>
      <w:r>
        <w:rPr>
          <w:b/>
          <w:color w:val="0B0B0B"/>
        </w:rPr>
        <w:t>Poedel, Robin</w:t>
      </w:r>
      <w:r>
        <w:rPr>
          <w:color w:val="0B0B0B"/>
        </w:rPr>
        <w:t>, (A), Assistant Professor, Family and Community Health; PhD, University of Wisconsin, 2010; BSN, 2003.</w:t>
      </w:r>
    </w:p>
    <w:p>
      <w:pPr>
        <w:pStyle w:val="BodyText"/>
        <w:spacing w:line="249" w:lineRule="auto" w:before="184"/>
        <w:ind w:right="742"/>
      </w:pPr>
      <w:r>
        <w:rPr>
          <w:b/>
          <w:color w:val="0B0B0B"/>
        </w:rPr>
        <w:t>Polli, James</w:t>
      </w:r>
      <w:r>
        <w:rPr>
          <w:color w:val="0B0B0B"/>
        </w:rPr>
        <w:t>, (R), Professor, Pharmaceutical Sciences, School of Pharmacy. PhD, University of Michigan, 1993; BS, Philadelphia College, 1989.</w:t>
      </w:r>
    </w:p>
    <w:p>
      <w:pPr>
        <w:pStyle w:val="BodyText"/>
        <w:spacing w:line="249" w:lineRule="auto" w:before="180"/>
        <w:ind w:right="636"/>
      </w:pPr>
      <w:r>
        <w:rPr>
          <w:b/>
          <w:color w:val="0B0B0B"/>
        </w:rPr>
        <w:t>Pollin, Toni I.</w:t>
      </w:r>
      <w:r>
        <w:rPr>
          <w:color w:val="0B0B0B"/>
        </w:rPr>
        <w:t>, (R), Associate Professor, Human Genetics, School of Medicine. PhD, University of Maryland, Baltimore, 2004; MS, University of Minnesota, 1997; BS, George Washington University, 1993.</w:t>
      </w:r>
    </w:p>
    <w:p>
      <w:pPr>
        <w:pStyle w:val="BodyText"/>
        <w:spacing w:line="249" w:lineRule="auto"/>
        <w:ind w:right="628"/>
      </w:pPr>
      <w:r>
        <w:rPr>
          <w:b/>
          <w:color w:val="0B0B0B"/>
        </w:rPr>
        <w:t>Polster, Brian</w:t>
      </w:r>
      <w:r>
        <w:rPr>
          <w:color w:val="0B0B0B"/>
        </w:rPr>
        <w:t>, (A), Associate Professor, Anesthesiology, School of Medicine, PhD, University of Maryland, 2002, BA, Cornell University, 1996.</w:t>
      </w:r>
    </w:p>
    <w:p>
      <w:pPr>
        <w:pStyle w:val="BodyText"/>
        <w:spacing w:line="249" w:lineRule="auto" w:before="180"/>
        <w:ind w:right="566"/>
      </w:pPr>
      <w:r>
        <w:rPr>
          <w:b/>
          <w:color w:val="0B0B0B"/>
        </w:rPr>
        <w:t>Porter, Judith</w:t>
      </w:r>
      <w:r>
        <w:rPr>
          <w:color w:val="0B0B0B"/>
        </w:rPr>
        <w:t>, (A), Assistant Professor, Health Promotion and Policy, School of Dentistry. MS, Marshall University, 1999; BA, West Virginia University, 1978; DDS, West Virginia University, 1976.</w:t>
      </w:r>
    </w:p>
    <w:p>
      <w:pPr>
        <w:pStyle w:val="BodyText"/>
        <w:spacing w:line="249" w:lineRule="auto" w:before="186"/>
        <w:ind w:right="942"/>
      </w:pPr>
      <w:r>
        <w:rPr>
          <w:b/>
          <w:color w:val="0B0B0B"/>
        </w:rPr>
        <w:t>Poulopoulos, Alexandros</w:t>
      </w:r>
      <w:r>
        <w:rPr>
          <w:color w:val="0B0B0B"/>
        </w:rPr>
        <w:t>, (A), Assistant Professor, Pharmacology. PhD, University of Gottingen and International Max Planck Research School, 2008; BSc, University of Athens, 2003.</w:t>
      </w:r>
    </w:p>
    <w:p>
      <w:pPr>
        <w:pStyle w:val="BodyText"/>
        <w:spacing w:line="249" w:lineRule="auto" w:before="180"/>
        <w:ind w:right="591"/>
      </w:pPr>
      <w:r>
        <w:rPr>
          <w:b/>
          <w:color w:val="0B0B0B"/>
        </w:rPr>
        <w:t>Powell, Elizabeth</w:t>
      </w:r>
      <w:r>
        <w:rPr>
          <w:color w:val="0B0B0B"/>
        </w:rPr>
        <w:t>, (R), Assistant Professor, Anatomy and Neurobiology, School of Medicine. PhD, Rutgers University, 1997; MS, Rutgers University, 1993; BS, Johns Hopkins University, 1990.</w:t>
      </w:r>
    </w:p>
    <w:p>
      <w:pPr>
        <w:pStyle w:val="BodyText"/>
        <w:spacing w:line="249" w:lineRule="auto"/>
        <w:ind w:right="591"/>
      </w:pPr>
      <w:r>
        <w:rPr>
          <w:b/>
          <w:color w:val="0B0B0B"/>
        </w:rPr>
        <w:t>Pozharskiy, Edvin</w:t>
      </w:r>
      <w:r>
        <w:rPr>
          <w:color w:val="0B0B0B"/>
        </w:rPr>
        <w:t>, (A), Assistant Professor, Biochemistry and Molecular Biology, School of Medicine. PhD, Institute of Theoretical and Experimental Biophysics, 1998; BSc, Moscow Institute of Physics and Technology, 1993.</w:t>
      </w:r>
    </w:p>
    <w:p>
      <w:pPr>
        <w:spacing w:after="0" w:line="249" w:lineRule="auto"/>
        <w:sectPr>
          <w:pgSz w:w="12240" w:h="15840"/>
          <w:pgMar w:header="746" w:footer="0" w:top="1320" w:bottom="280" w:left="880" w:right="300"/>
          <w:cols w:num="2" w:equalWidth="0">
            <w:col w:w="5006" w:space="481"/>
            <w:col w:w="5573"/>
          </w:cols>
        </w:sectPr>
      </w:pPr>
    </w:p>
    <w:p>
      <w:pPr>
        <w:pStyle w:val="BodyText"/>
        <w:spacing w:line="249" w:lineRule="auto" w:before="100"/>
        <w:ind w:left="199" w:right="148"/>
      </w:pPr>
      <w:r>
        <w:rPr>
          <w:b/>
          <w:color w:val="0B0B0B"/>
        </w:rPr>
        <w:t>Preis, Frederick</w:t>
      </w:r>
      <w:r>
        <w:rPr>
          <w:color w:val="0B0B0B"/>
        </w:rPr>
        <w:t>, (A), Clinical Professor, Orthodontics, School of Dentistry. DDS, Georgetown University, 1966; BS, Loyola College, 1959.</w:t>
      </w:r>
    </w:p>
    <w:p>
      <w:pPr>
        <w:pStyle w:val="BodyText"/>
        <w:spacing w:line="249" w:lineRule="auto" w:before="180"/>
        <w:ind w:right="25" w:hanging="1"/>
      </w:pPr>
      <w:r>
        <w:rPr>
          <w:b/>
          <w:color w:val="0B0B0B"/>
        </w:rPr>
        <w:t>Price, Jeffrey, </w:t>
      </w:r>
      <w:r>
        <w:rPr>
          <w:color w:val="0B0B0B"/>
        </w:rPr>
        <w:t>(A), Associate Professor, Oncology and Diagnostic Sciences, School of Dentistry. DDS, University of North Carolina, 1982.</w:t>
      </w:r>
    </w:p>
    <w:p>
      <w:pPr>
        <w:pStyle w:val="BodyText"/>
        <w:spacing w:line="249" w:lineRule="auto" w:before="184"/>
        <w:ind w:right="298"/>
      </w:pPr>
      <w:r>
        <w:rPr>
          <w:b/>
          <w:color w:val="0B0B0B"/>
        </w:rPr>
        <w:t>Puche, Adam</w:t>
      </w:r>
      <w:r>
        <w:rPr>
          <w:color w:val="0B0B0B"/>
        </w:rPr>
        <w:t>, (R), Assistant Professor, Anatomy and Neurobiology, School of Medicine. PhD, University of Melbourne, 1996; BSc, University of Melbourne, 1992.</w:t>
      </w:r>
    </w:p>
    <w:p>
      <w:pPr>
        <w:pStyle w:val="BodyText"/>
        <w:spacing w:line="249" w:lineRule="auto" w:before="180"/>
        <w:ind w:left="199" w:right="349"/>
      </w:pPr>
      <w:r>
        <w:rPr>
          <w:b/>
          <w:color w:val="0B0B0B"/>
        </w:rPr>
        <w:t>Pumplin, David</w:t>
      </w:r>
      <w:r>
        <w:rPr>
          <w:color w:val="0B0B0B"/>
        </w:rPr>
        <w:t>, (R), Professor, Anatomy and Neurobiology, School of Medicine. PhD, University of Illinois, 1973; BS, Michigan State University, 1963.</w:t>
      </w:r>
    </w:p>
    <w:p>
      <w:pPr>
        <w:pStyle w:val="BodyText"/>
        <w:spacing w:line="249" w:lineRule="auto"/>
        <w:ind w:left="199" w:right="226"/>
      </w:pPr>
      <w:r>
        <w:rPr>
          <w:b/>
          <w:color w:val="0B0B0B"/>
        </w:rPr>
        <w:t>Qi, Jianfei</w:t>
      </w:r>
      <w:r>
        <w:rPr>
          <w:color w:val="0B0B0B"/>
        </w:rPr>
        <w:t>, (A), Assistant Professor, Biochemistry and Molecular Biology, School of Medicine. PhD, Toronto University, 2006; MS, China Medicial University, 2000; BSc, China Medicial University, 1997.</w:t>
      </w:r>
    </w:p>
    <w:p>
      <w:pPr>
        <w:pStyle w:val="BodyText"/>
        <w:spacing w:line="249" w:lineRule="auto" w:before="180"/>
        <w:ind w:left="199" w:right="171"/>
      </w:pPr>
      <w:r>
        <w:rPr>
          <w:b/>
          <w:color w:val="0B0B0B"/>
        </w:rPr>
        <w:t>Qian, Feng</w:t>
      </w:r>
      <w:r>
        <w:rPr>
          <w:color w:val="0B0B0B"/>
        </w:rPr>
        <w:t>, (A), Assistant Professor, Division of Nephrology, School of Medicine. PhD, University of Heidelberg, 1993; MS, University of Freiburg, 1986; BS, Fudan University, 1981.</w:t>
      </w:r>
    </w:p>
    <w:p>
      <w:pPr>
        <w:pStyle w:val="BodyText"/>
        <w:spacing w:line="249" w:lineRule="auto"/>
        <w:ind w:left="199" w:right="87"/>
      </w:pPr>
      <w:r>
        <w:rPr>
          <w:b/>
          <w:color w:val="0B0B0B"/>
        </w:rPr>
        <w:t>Qiu, Yun</w:t>
      </w:r>
      <w:r>
        <w:rPr>
          <w:color w:val="0B0B0B"/>
        </w:rPr>
        <w:t>, (R), Professor, Molecular Medicine, School of Medicine. PhD, Rutgers University, 1995; BS, Zhongshan University, 1988.</w:t>
      </w:r>
    </w:p>
    <w:p>
      <w:pPr>
        <w:pStyle w:val="BodyText"/>
        <w:spacing w:line="249" w:lineRule="auto" w:before="180"/>
        <w:ind w:left="199" w:right="45"/>
      </w:pPr>
      <w:r>
        <w:rPr>
          <w:b/>
          <w:color w:val="0B0B0B"/>
        </w:rPr>
        <w:t>Quinn, Charlene C.</w:t>
      </w:r>
      <w:r>
        <w:rPr>
          <w:color w:val="0B0B0B"/>
        </w:rPr>
        <w:t>, (R), Associate Professor, Epidemiology and Public Health, </w:t>
      </w:r>
      <w:r>
        <w:rPr>
          <w:color w:val="0B0B0B"/>
          <w:spacing w:val="-3"/>
        </w:rPr>
        <w:t>School </w:t>
      </w:r>
      <w:r>
        <w:rPr>
          <w:color w:val="0B0B0B"/>
        </w:rPr>
        <w:t>of Medicine. PhD, Johns Hopkins </w:t>
      </w:r>
      <w:r>
        <w:rPr>
          <w:color w:val="0B0B0B"/>
          <w:spacing w:val="-3"/>
        </w:rPr>
        <w:t>School </w:t>
      </w:r>
      <w:r>
        <w:rPr>
          <w:color w:val="0B0B0B"/>
        </w:rPr>
        <w:t>of Hygiene and Public Health, 1998; MS, University of Maryland, Baltimore, 1981; </w:t>
      </w:r>
      <w:r>
        <w:rPr>
          <w:color w:val="0B0B0B"/>
          <w:spacing w:val="-3"/>
        </w:rPr>
        <w:t>BSN, </w:t>
      </w:r>
      <w:r>
        <w:rPr>
          <w:color w:val="0B0B0B"/>
        </w:rPr>
        <w:t>Duke University,</w:t>
      </w:r>
      <w:r>
        <w:rPr>
          <w:color w:val="0B0B0B"/>
          <w:spacing w:val="3"/>
        </w:rPr>
        <w:t> </w:t>
      </w:r>
      <w:r>
        <w:rPr>
          <w:color w:val="0B0B0B"/>
        </w:rPr>
        <w:t>1976.</w:t>
      </w:r>
    </w:p>
    <w:p>
      <w:pPr>
        <w:pStyle w:val="BodyText"/>
        <w:spacing w:line="249" w:lineRule="auto" w:before="186"/>
        <w:ind w:left="199" w:right="32"/>
      </w:pPr>
      <w:r>
        <w:rPr>
          <w:b/>
          <w:color w:val="0B0B0B"/>
        </w:rPr>
        <w:t>Quon, Michael</w:t>
      </w:r>
      <w:r>
        <w:rPr>
          <w:color w:val="0B0B0B"/>
        </w:rPr>
        <w:t>, (R), Professor, Medicine, School of Medicine. MD 1984, PhD, Northwestern University, 1987; BS, Northwestern University, 1982.</w:t>
      </w:r>
    </w:p>
    <w:p>
      <w:pPr>
        <w:pStyle w:val="BodyText"/>
        <w:spacing w:line="249" w:lineRule="auto" w:before="180"/>
        <w:ind w:right="53"/>
      </w:pPr>
      <w:r>
        <w:rPr>
          <w:b/>
          <w:color w:val="0B0B0B"/>
        </w:rPr>
        <w:t>Rabinowicz, Pablo</w:t>
      </w:r>
      <w:r>
        <w:rPr>
          <w:color w:val="0B0B0B"/>
        </w:rPr>
        <w:t>, (A), Assistant Professor, Biochemistry and Molecular Biology, School of Medicine.PhD, University of Buenos Aires, 1996; BS/MS, University of Buenos Aires, 1990.</w:t>
      </w:r>
    </w:p>
    <w:p>
      <w:pPr>
        <w:pStyle w:val="BodyText"/>
        <w:spacing w:line="249" w:lineRule="auto"/>
        <w:ind w:right="176"/>
      </w:pPr>
      <w:r>
        <w:rPr>
          <w:b/>
          <w:color w:val="0B0B0B"/>
        </w:rPr>
        <w:t>Randall, William</w:t>
      </w:r>
      <w:r>
        <w:rPr>
          <w:color w:val="0B0B0B"/>
        </w:rPr>
        <w:t>, (R), Associate Professor, Pharmacology and Experimental Therapeutics, School of Medicine. PhD, University of California, 1983; MS, University of California, 1978; BS, University of California, 1975.</w:t>
      </w:r>
    </w:p>
    <w:p>
      <w:pPr>
        <w:pStyle w:val="BodyText"/>
        <w:spacing w:line="249" w:lineRule="auto" w:before="182"/>
        <w:ind w:right="64"/>
      </w:pPr>
      <w:r>
        <w:rPr>
          <w:b/>
          <w:color w:val="0B0B0B"/>
        </w:rPr>
        <w:t>Rasko, David</w:t>
      </w:r>
      <w:r>
        <w:rPr>
          <w:color w:val="0B0B0B"/>
        </w:rPr>
        <w:t>, (R), Assistant Professor, Microbiology and Immunology, School of Medicine. PhD, University of Alberta, 2000; BSc, University of Alberta, 1995.</w:t>
      </w:r>
    </w:p>
    <w:p>
      <w:pPr>
        <w:spacing w:before="184"/>
        <w:ind w:left="200" w:right="0" w:firstLine="0"/>
        <w:jc w:val="left"/>
        <w:rPr>
          <w:sz w:val="20"/>
        </w:rPr>
      </w:pPr>
      <w:r>
        <w:rPr>
          <w:b/>
          <w:color w:val="0B0B0B"/>
          <w:sz w:val="20"/>
        </w:rPr>
        <w:t>Rassool, Feyruz</w:t>
      </w:r>
      <w:r>
        <w:rPr>
          <w:color w:val="0B0B0B"/>
          <w:sz w:val="20"/>
        </w:rPr>
        <w:t>, (R), Associate Professor, Molecular</w:t>
      </w:r>
    </w:p>
    <w:p>
      <w:pPr>
        <w:pStyle w:val="BodyText"/>
        <w:spacing w:line="249" w:lineRule="auto" w:before="96"/>
        <w:ind w:right="807"/>
      </w:pPr>
      <w:r>
        <w:rPr/>
        <w:br w:type="column"/>
      </w:r>
      <w:r>
        <w:rPr>
          <w:color w:val="0B0B0B"/>
        </w:rPr>
        <w:t>Medicine, School of Medicine. PhD, University of London, 1990; BSc, University of London, 1983.</w:t>
      </w:r>
    </w:p>
    <w:p>
      <w:pPr>
        <w:pStyle w:val="BodyText"/>
        <w:spacing w:line="249" w:lineRule="auto" w:before="179"/>
        <w:ind w:right="689"/>
      </w:pPr>
      <w:r>
        <w:rPr>
          <w:b/>
          <w:color w:val="0B0B0B"/>
        </w:rPr>
        <w:t>Raufman, Jean-Pierre</w:t>
      </w:r>
      <w:r>
        <w:rPr>
          <w:color w:val="0B0B0B"/>
        </w:rPr>
        <w:t>, (R), Professor, Medicine, School of Medicine. MD, Einstein College of Medicine, 1975; BA, New York University, 1972.</w:t>
      </w:r>
    </w:p>
    <w:p>
      <w:pPr>
        <w:pStyle w:val="BodyText"/>
        <w:spacing w:line="249" w:lineRule="auto"/>
        <w:ind w:right="687"/>
      </w:pPr>
      <w:r>
        <w:rPr>
          <w:b/>
          <w:color w:val="0B0B0B"/>
        </w:rPr>
        <w:t>Ravel, Jacques</w:t>
      </w:r>
      <w:r>
        <w:rPr>
          <w:color w:val="0B0B0B"/>
        </w:rPr>
        <w:t>, (R), Associate Professor, Microbiology and Immunology, School of Medicine. PhD, University of Maryland, 1999; MSc, University of Nancy I, 1992; BSc, University of Nancy I, 1990.</w:t>
      </w:r>
    </w:p>
    <w:p>
      <w:pPr>
        <w:pStyle w:val="BodyText"/>
        <w:spacing w:line="249" w:lineRule="auto" w:before="180"/>
        <w:ind w:right="632"/>
      </w:pPr>
      <w:r>
        <w:rPr>
          <w:b/>
          <w:color w:val="0B0B0B"/>
        </w:rPr>
        <w:t>Rawlett, Kristen</w:t>
      </w:r>
      <w:r>
        <w:rPr>
          <w:color w:val="0B0B0B"/>
        </w:rPr>
        <w:t>, (A), Assistant Professor, Family and Community Health, School of Nursing. PhD, University of Maryland Baltimore, 2014; MSN, University of South Carolina, 1999; BSN, Virginia Commonwealth University, 1996.</w:t>
      </w:r>
    </w:p>
    <w:p>
      <w:pPr>
        <w:pStyle w:val="BodyText"/>
        <w:spacing w:line="249" w:lineRule="auto" w:before="186"/>
        <w:ind w:right="754"/>
      </w:pPr>
      <w:r>
        <w:rPr>
          <w:b/>
          <w:color w:val="0B0B0B"/>
        </w:rPr>
        <w:t>Ray, Krishanu</w:t>
      </w:r>
      <w:r>
        <w:rPr>
          <w:color w:val="0B0B0B"/>
        </w:rPr>
        <w:t>, (A), Associate Professor, Biochemistry and Molecular Biology, School of Medicine. PhD, Indian Association for the Cultivation of Science, 1998; MSc, Indian Institute of Technology, 1993; BSc, University of Calcutta, 1990.</w:t>
      </w:r>
    </w:p>
    <w:p>
      <w:pPr>
        <w:pStyle w:val="BodyText"/>
        <w:spacing w:line="249" w:lineRule="auto" w:before="181"/>
        <w:ind w:right="810"/>
      </w:pPr>
      <w:r>
        <w:rPr>
          <w:b/>
          <w:color w:val="0B0B0B"/>
        </w:rPr>
        <w:t>Reece, E. Albert</w:t>
      </w:r>
      <w:r>
        <w:rPr>
          <w:color w:val="0B0B0B"/>
        </w:rPr>
        <w:t>, (R), Vice President, Medical Affairs, School of Medicine. PhD, University of the West Indies; MBA, Temple University; BS, Long Island University.</w:t>
      </w:r>
    </w:p>
    <w:p>
      <w:pPr>
        <w:pStyle w:val="BodyText"/>
        <w:spacing w:line="249" w:lineRule="auto"/>
        <w:ind w:right="807"/>
      </w:pPr>
      <w:r>
        <w:rPr>
          <w:b/>
          <w:color w:val="0B0B0B"/>
        </w:rPr>
        <w:t>Regan, Mary Jess</w:t>
      </w:r>
      <w:r>
        <w:rPr>
          <w:color w:val="0B0B0B"/>
        </w:rPr>
        <w:t>, (R), Associate Professor, School of Nursing. PhD, University of Minnesota, 2005; MS, University of Minnesota, 2002; BSN, York University, 1998.</w:t>
      </w:r>
    </w:p>
    <w:p>
      <w:pPr>
        <w:pStyle w:val="BodyText"/>
        <w:spacing w:line="249" w:lineRule="auto" w:before="181"/>
        <w:ind w:right="665"/>
      </w:pPr>
      <w:r>
        <w:rPr>
          <w:b/>
          <w:color w:val="0B0B0B"/>
        </w:rPr>
        <w:t>Reicherter, Elizabeth A.</w:t>
      </w:r>
      <w:r>
        <w:rPr>
          <w:color w:val="0B0B0B"/>
        </w:rPr>
        <w:t>, (A), Associate Professor, Physical Therapy and Rehabilitation Sciences, School of Medicine. MS, Pennsylvania State University, 1995; DPT, Massachusetts General Hospital Institute of Health Professions, 2005; BS, University of Pittsburgh, 1985.</w:t>
      </w:r>
    </w:p>
    <w:p>
      <w:pPr>
        <w:pStyle w:val="BodyText"/>
        <w:spacing w:line="249" w:lineRule="auto" w:before="186"/>
        <w:ind w:right="605"/>
      </w:pPr>
      <w:r>
        <w:rPr>
          <w:b/>
          <w:color w:val="0B0B0B"/>
        </w:rPr>
        <w:t>Reisch, Michael</w:t>
      </w:r>
      <w:r>
        <w:rPr>
          <w:color w:val="0B0B0B"/>
        </w:rPr>
        <w:t>, (R), Professor, School of Social Work. PhD, State University of New York, 1975; MA, State University of New York, 1971, BA, New York University, 1968.</w:t>
      </w:r>
    </w:p>
    <w:p>
      <w:pPr>
        <w:pStyle w:val="BodyText"/>
        <w:spacing w:line="249" w:lineRule="auto" w:before="180"/>
        <w:ind w:right="627"/>
      </w:pPr>
      <w:r>
        <w:rPr>
          <w:b/>
          <w:color w:val="0B0B0B"/>
        </w:rPr>
        <w:t>Reitz Jr., Marvin</w:t>
      </w:r>
      <w:r>
        <w:rPr>
          <w:color w:val="0B0B0B"/>
        </w:rPr>
        <w:t>, (R), Associate Professor, Microbiology and Immunology, School of Medicine. PhD, Purdue University, 1970; BS, Western Maryland College, 1965.</w:t>
      </w:r>
    </w:p>
    <w:p>
      <w:pPr>
        <w:pStyle w:val="BodyText"/>
        <w:spacing w:line="249" w:lineRule="auto"/>
        <w:ind w:left="199" w:right="716"/>
      </w:pPr>
      <w:r>
        <w:rPr>
          <w:b/>
          <w:color w:val="0B0B0B"/>
        </w:rPr>
        <w:t>Ren, Hening</w:t>
      </w:r>
      <w:r>
        <w:rPr>
          <w:color w:val="0B0B0B"/>
        </w:rPr>
        <w:t>, (A), Assistant Professor, Oral and Experimental Pathology, School of Dentistry. PhD, University of Hawaii, 1995; BS, Peking University, 1983.</w:t>
      </w:r>
    </w:p>
    <w:p>
      <w:pPr>
        <w:pStyle w:val="BodyText"/>
        <w:spacing w:line="249" w:lineRule="auto" w:before="180"/>
        <w:ind w:left="199" w:right="756"/>
        <w:jc w:val="both"/>
      </w:pPr>
      <w:r>
        <w:rPr>
          <w:b/>
          <w:color w:val="0B0B0B"/>
        </w:rPr>
        <w:t>Ren, Ke</w:t>
      </w:r>
      <w:r>
        <w:rPr>
          <w:color w:val="0B0B0B"/>
        </w:rPr>
        <w:t>, (R), Assistant Professor, Oral and Experimental Pathology, School of Dentistry. PhD, University of Iowa, 1990; MD, Hubei Medical University, 1981.</w:t>
      </w:r>
    </w:p>
    <w:p>
      <w:pPr>
        <w:spacing w:after="0" w:line="249" w:lineRule="auto"/>
        <w:jc w:val="both"/>
        <w:sectPr>
          <w:pgSz w:w="12240" w:h="15840"/>
          <w:pgMar w:header="746" w:footer="0" w:top="1320" w:bottom="280" w:left="880" w:right="300"/>
          <w:cols w:num="2" w:equalWidth="0">
            <w:col w:w="4973" w:space="513"/>
            <w:col w:w="5574"/>
          </w:cols>
        </w:sectPr>
      </w:pPr>
    </w:p>
    <w:p>
      <w:pPr>
        <w:pStyle w:val="BodyText"/>
        <w:spacing w:line="249" w:lineRule="auto" w:before="100"/>
        <w:ind w:right="280"/>
      </w:pPr>
      <w:r>
        <w:rPr>
          <w:b/>
          <w:color w:val="0B0B0B"/>
        </w:rPr>
        <w:t>Renn, Cynthia L.</w:t>
      </w:r>
      <w:r>
        <w:rPr>
          <w:color w:val="0B0B0B"/>
        </w:rPr>
        <w:t>, (R), Associate Professor, Organizational Systems and Adult Health, School of Nursing. MS, University of Maryland, Baltimore, 1997; BS, York College, 1991; BS, Indiana University of Pennsylvania, 1983.</w:t>
      </w:r>
    </w:p>
    <w:p>
      <w:pPr>
        <w:pStyle w:val="BodyText"/>
        <w:spacing w:line="249" w:lineRule="auto" w:before="181"/>
        <w:ind w:hanging="1"/>
      </w:pPr>
      <w:r>
        <w:rPr>
          <w:b/>
          <w:color w:val="0B0B0B"/>
        </w:rPr>
        <w:t>Resnick, Barbara</w:t>
      </w:r>
      <w:r>
        <w:rPr>
          <w:color w:val="0B0B0B"/>
        </w:rPr>
        <w:t>, (R), Professor, Adult Health, School of Nursing. PhD, University of Maryland, 1996; MSN, University of Pennsylvania, 1982; BSN, University of Connecticut, 1978.</w:t>
      </w:r>
    </w:p>
    <w:p>
      <w:pPr>
        <w:pStyle w:val="BodyText"/>
        <w:spacing w:line="249" w:lineRule="auto"/>
        <w:ind w:right="147"/>
      </w:pPr>
      <w:r>
        <w:rPr>
          <w:b/>
          <w:color w:val="0B0B0B"/>
        </w:rPr>
        <w:t>Reynolds, Mark</w:t>
      </w:r>
      <w:r>
        <w:rPr>
          <w:color w:val="0B0B0B"/>
        </w:rPr>
        <w:t>, (R), Associate Professor, Periodontics, School of Dentistry. DDS, University of Maryland, 1986; MA, University of Maryland, 1982; BA, University of Maryland, 1978.</w:t>
      </w:r>
    </w:p>
    <w:p>
      <w:pPr>
        <w:pStyle w:val="BodyText"/>
        <w:spacing w:line="249" w:lineRule="auto" w:before="181"/>
        <w:ind w:right="274"/>
      </w:pPr>
      <w:r>
        <w:rPr>
          <w:b/>
          <w:color w:val="0B0B0B"/>
        </w:rPr>
        <w:t>Rhee, Juong</w:t>
      </w:r>
      <w:r>
        <w:rPr>
          <w:color w:val="0B0B0B"/>
        </w:rPr>
        <w:t>, (R), Associate Professor, Radiation Oncology, School of Medicine. PhD, University of Minnesota, 1983; MS, Seoul National University, 1975; BS, Seoul National University, 1970.</w:t>
      </w:r>
    </w:p>
    <w:p>
      <w:pPr>
        <w:pStyle w:val="BodyText"/>
        <w:spacing w:line="249" w:lineRule="auto"/>
        <w:ind w:left="199" w:right="48"/>
      </w:pPr>
      <w:r>
        <w:rPr>
          <w:b/>
          <w:color w:val="0B0B0B"/>
        </w:rPr>
        <w:t>Riazuddin, Saimia</w:t>
      </w:r>
      <w:r>
        <w:rPr>
          <w:color w:val="0B0B0B"/>
        </w:rPr>
        <w:t>, Professor, Otorhinolaryngology-Head and Neck Surgery, School of Medicine.</w:t>
      </w:r>
    </w:p>
    <w:p>
      <w:pPr>
        <w:pStyle w:val="BodyText"/>
        <w:spacing w:line="249" w:lineRule="auto" w:before="179"/>
        <w:ind w:left="199" w:right="104"/>
      </w:pPr>
      <w:r>
        <w:rPr>
          <w:b/>
          <w:color w:val="0B0B0B"/>
        </w:rPr>
        <w:t>Riedel, David</w:t>
      </w:r>
      <w:r>
        <w:rPr>
          <w:color w:val="0B0B0B"/>
        </w:rPr>
        <w:t>, (A), Assistant Professor, Institute of Human Virology and Division of Infectious Diseases, School of Medicine. MPH, University of Maryland, 2014; MD, Pennsylvania State University College of Medicine, 2002; BA, Middlebury College, 1998.</w:t>
      </w:r>
    </w:p>
    <w:p>
      <w:pPr>
        <w:pStyle w:val="BodyText"/>
        <w:spacing w:line="249" w:lineRule="auto" w:before="186"/>
        <w:ind w:left="199" w:right="309"/>
      </w:pPr>
      <w:r>
        <w:rPr>
          <w:b/>
          <w:color w:val="0B0B0B"/>
        </w:rPr>
        <w:t>Ringel, Shoshana</w:t>
      </w:r>
      <w:r>
        <w:rPr>
          <w:color w:val="0B0B0B"/>
        </w:rPr>
        <w:t>, (A), Assistant Professor, School of Social Work. PhD, Smith College, 2001; MSW, Hunter College, 1984; BA, Hunter College, 1982.</w:t>
      </w:r>
    </w:p>
    <w:p>
      <w:pPr>
        <w:pStyle w:val="BodyText"/>
        <w:spacing w:line="249" w:lineRule="auto" w:before="180"/>
        <w:ind w:left="199" w:right="215"/>
      </w:pPr>
      <w:r>
        <w:rPr>
          <w:b/>
          <w:color w:val="0B0B0B"/>
        </w:rPr>
        <w:t>Ripple, Mary</w:t>
      </w:r>
      <w:r>
        <w:rPr>
          <w:color w:val="0B0B0B"/>
        </w:rPr>
        <w:t>, (S), Deputy Chief Medical Examiner, School of Medicine. MD, University of Maryland, 1996; MS, University of Maryland, 1992; BS, Philadelphia College of Pharmacy and Science, 1985.</w:t>
      </w:r>
    </w:p>
    <w:p>
      <w:pPr>
        <w:pStyle w:val="BodyText"/>
        <w:spacing w:line="249" w:lineRule="auto"/>
        <w:ind w:left="199" w:right="20"/>
      </w:pPr>
      <w:r>
        <w:rPr>
          <w:b/>
          <w:color w:val="0B0B0B"/>
        </w:rPr>
        <w:t>Rizk, Mary Ann</w:t>
      </w:r>
      <w:r>
        <w:rPr>
          <w:color w:val="0B0B0B"/>
        </w:rPr>
        <w:t>, (R), Associate Professor, School of Dentistry. PhD, University of Maryland, 2002; BS, University of Maryland, 1989; BS, American University of Beirut, 1986.</w:t>
      </w:r>
    </w:p>
    <w:p>
      <w:pPr>
        <w:pStyle w:val="BodyText"/>
        <w:spacing w:line="249" w:lineRule="auto" w:before="181"/>
        <w:ind w:left="199"/>
      </w:pPr>
      <w:r>
        <w:rPr>
          <w:b/>
          <w:color w:val="0B0B0B"/>
        </w:rPr>
        <w:t>Rizzo, Mark</w:t>
      </w:r>
      <w:r>
        <w:rPr>
          <w:color w:val="0B0B0B"/>
        </w:rPr>
        <w:t>, (A), Assistant Professor, Physiology, School of Medicine. PhD, Molecular Pharmacology, 2000; BA, Biochemistry, 1996.</w:t>
      </w:r>
    </w:p>
    <w:p>
      <w:pPr>
        <w:pStyle w:val="BodyText"/>
        <w:spacing w:line="249" w:lineRule="auto"/>
        <w:ind w:left="199" w:right="192"/>
      </w:pPr>
      <w:r>
        <w:rPr>
          <w:b/>
          <w:color w:val="0B0B0B"/>
        </w:rPr>
        <w:t>Ro, Jin</w:t>
      </w:r>
      <w:r>
        <w:rPr>
          <w:color w:val="0B0B0B"/>
        </w:rPr>
        <w:t>, (R), Assistant Professor, Biomedical Sciences, School of Dentistry. PhD, University of Maryland, 1994; MA, Towson University, 1989; BS, Towson University, 1984.</w:t>
      </w:r>
    </w:p>
    <w:p>
      <w:pPr>
        <w:pStyle w:val="BodyText"/>
        <w:spacing w:line="249" w:lineRule="auto" w:before="180"/>
        <w:ind w:left="199"/>
      </w:pPr>
      <w:r>
        <w:rPr>
          <w:b/>
          <w:color w:val="0B0B0B"/>
        </w:rPr>
        <w:t>Roberts, Rosalinda</w:t>
      </w:r>
      <w:r>
        <w:rPr>
          <w:color w:val="0B0B0B"/>
        </w:rPr>
        <w:t>, (A), Professor, Psychiatry, School of Medicine. PhD, University of California, 1986; BS,</w:t>
      </w:r>
    </w:p>
    <w:p>
      <w:pPr>
        <w:pStyle w:val="BodyText"/>
        <w:spacing w:before="96"/>
        <w:ind w:left="199"/>
      </w:pPr>
      <w:r>
        <w:rPr/>
        <w:br w:type="column"/>
      </w:r>
      <w:r>
        <w:rPr>
          <w:color w:val="0B0B0B"/>
        </w:rPr>
        <w:t>University of California, 1979.</w:t>
      </w:r>
    </w:p>
    <w:p>
      <w:pPr>
        <w:pStyle w:val="BodyText"/>
        <w:spacing w:line="249" w:lineRule="auto" w:before="187"/>
        <w:ind w:left="199" w:right="794"/>
        <w:jc w:val="both"/>
      </w:pPr>
      <w:r>
        <w:rPr>
          <w:b/>
          <w:color w:val="0B0B0B"/>
        </w:rPr>
        <w:t>Roca III, Henri, </w:t>
      </w:r>
      <w:r>
        <w:rPr>
          <w:color w:val="0B0B0B"/>
        </w:rPr>
        <w:t>(A), Adjunct Faculty, Graduate School. MA, Washington University, 1982; MD, Louisiana State University School of Medicine, 1997.</w:t>
      </w:r>
    </w:p>
    <w:p>
      <w:pPr>
        <w:pStyle w:val="BodyText"/>
        <w:spacing w:line="249" w:lineRule="auto"/>
        <w:ind w:left="199" w:right="611"/>
      </w:pPr>
      <w:r>
        <w:rPr>
          <w:b/>
          <w:color w:val="0B0B0B"/>
        </w:rPr>
        <w:t>Rodgers, Mary</w:t>
      </w:r>
      <w:r>
        <w:rPr>
          <w:color w:val="0B0B0B"/>
        </w:rPr>
        <w:t>, (R), Professor Emiritus, Physical Therapy and Rehabilitation Science, School of Medicine, PhD, Pennsylvania State University, 1985, MS, University of North Carolina, 1981, BS, University of North Carolina, 1976.</w:t>
      </w:r>
    </w:p>
    <w:p>
      <w:pPr>
        <w:pStyle w:val="BodyText"/>
        <w:spacing w:line="249" w:lineRule="auto" w:before="181"/>
        <w:ind w:left="199" w:right="622"/>
      </w:pPr>
      <w:r>
        <w:rPr>
          <w:b/>
          <w:color w:val="0B0B0B"/>
        </w:rPr>
        <w:t>Rogers, Mark</w:t>
      </w:r>
      <w:r>
        <w:rPr>
          <w:color w:val="0B0B0B"/>
        </w:rPr>
        <w:t>, (R), Professor, Physical Therapy and Rehabilitation Science, School of Medicine. PhD, University of Iowa, 1985; MS, University of Massachusetts, 1977; BS, University of Connecticut, 1973.</w:t>
      </w:r>
    </w:p>
    <w:p>
      <w:pPr>
        <w:pStyle w:val="BodyText"/>
        <w:spacing w:line="249" w:lineRule="auto" w:before="186"/>
        <w:ind w:left="199" w:right="761"/>
      </w:pPr>
      <w:r>
        <w:rPr>
          <w:b/>
          <w:color w:val="0B0B0B"/>
        </w:rPr>
        <w:t>Rogers, Terry</w:t>
      </w:r>
      <w:r>
        <w:rPr>
          <w:color w:val="0B0B0B"/>
        </w:rPr>
        <w:t>, (R), Professor, Biochemistry and Molecular Biology, School of Medicine. PhD, University of California, 1977; MS, University of California, 1974; BA, Cornell University, 1970.</w:t>
      </w:r>
    </w:p>
    <w:p>
      <w:pPr>
        <w:pStyle w:val="BodyText"/>
        <w:spacing w:line="249" w:lineRule="auto" w:before="180"/>
        <w:ind w:left="199" w:right="633"/>
      </w:pPr>
      <w:r>
        <w:rPr>
          <w:b/>
          <w:color w:val="0B0B0B"/>
        </w:rPr>
        <w:t>Rogers, Valerie</w:t>
      </w:r>
      <w:r>
        <w:rPr>
          <w:color w:val="0B0B0B"/>
        </w:rPr>
        <w:t>, (A), Assistant Professor, Family and Community Health, School of Nursing. PhD, University of Maryland, Baltimore, 2009; MS, University of Maryland, Baltimore, 1997; BSN, Michigan State University, 1975.</w:t>
      </w:r>
    </w:p>
    <w:p>
      <w:pPr>
        <w:pStyle w:val="BodyText"/>
        <w:spacing w:line="249" w:lineRule="auto"/>
        <w:ind w:left="199" w:right="622"/>
      </w:pPr>
      <w:r>
        <w:rPr>
          <w:b/>
          <w:color w:val="0B0B0B"/>
        </w:rPr>
        <w:t>Roghmann, Mary-Claire</w:t>
      </w:r>
      <w:r>
        <w:rPr>
          <w:color w:val="0B0B0B"/>
        </w:rPr>
        <w:t>, (R), Associate Professor, Epidemiology and Public Health, School of Medicine. MS, University of Maryland, 1997; MD, Johns Hopkins University, 1990; BS, University of Rochester, 1986.</w:t>
      </w:r>
    </w:p>
    <w:p>
      <w:pPr>
        <w:pStyle w:val="BodyText"/>
        <w:spacing w:line="249" w:lineRule="auto" w:before="181"/>
        <w:ind w:left="199" w:right="807"/>
      </w:pPr>
      <w:r>
        <w:rPr>
          <w:b/>
          <w:color w:val="0B0B0B"/>
        </w:rPr>
        <w:t>Romberg, Elaine</w:t>
      </w:r>
      <w:r>
        <w:rPr>
          <w:color w:val="0B0B0B"/>
        </w:rPr>
        <w:t>, (A), Professor, Oral </w:t>
      </w:r>
      <w:r>
        <w:rPr>
          <w:color w:val="0B0B0B"/>
          <w:spacing w:val="-3"/>
        </w:rPr>
        <w:t>Health </w:t>
      </w:r>
      <w:r>
        <w:rPr>
          <w:color w:val="0B0B0B"/>
        </w:rPr>
        <w:t>Care Delivery, </w:t>
      </w:r>
      <w:r>
        <w:rPr>
          <w:color w:val="0B0B0B"/>
          <w:spacing w:val="-2"/>
        </w:rPr>
        <w:t>School </w:t>
      </w:r>
      <w:r>
        <w:rPr>
          <w:color w:val="0B0B0B"/>
          <w:spacing w:val="-3"/>
        </w:rPr>
        <w:t>of </w:t>
      </w:r>
      <w:r>
        <w:rPr>
          <w:color w:val="0B0B0B"/>
        </w:rPr>
        <w:t>Dentistry. PhD, University of Maryland, 1977; </w:t>
      </w:r>
      <w:r>
        <w:rPr>
          <w:color w:val="0B0B0B"/>
          <w:spacing w:val="-3"/>
        </w:rPr>
        <w:t>BA, Vassar </w:t>
      </w:r>
      <w:r>
        <w:rPr>
          <w:color w:val="0B0B0B"/>
        </w:rPr>
        <w:t>College,</w:t>
      </w:r>
      <w:r>
        <w:rPr>
          <w:color w:val="0B0B0B"/>
          <w:spacing w:val="22"/>
        </w:rPr>
        <w:t> </w:t>
      </w:r>
      <w:r>
        <w:rPr>
          <w:color w:val="0B0B0B"/>
        </w:rPr>
        <w:t>1960.</w:t>
      </w:r>
    </w:p>
    <w:p>
      <w:pPr>
        <w:pStyle w:val="BodyText"/>
        <w:spacing w:line="249" w:lineRule="auto"/>
        <w:ind w:left="199" w:right="644"/>
      </w:pPr>
      <w:r>
        <w:rPr>
          <w:b/>
          <w:color w:val="0B0B0B"/>
        </w:rPr>
        <w:t>Rose, Theda</w:t>
      </w:r>
      <w:r>
        <w:rPr>
          <w:color w:val="0B0B0B"/>
        </w:rPr>
        <w:t>, (A), Research Assistant Professor, </w:t>
      </w:r>
      <w:r>
        <w:rPr>
          <w:color w:val="0B0B0B"/>
          <w:spacing w:val="-3"/>
        </w:rPr>
        <w:t>School </w:t>
      </w:r>
      <w:r>
        <w:rPr>
          <w:color w:val="0B0B0B"/>
        </w:rPr>
        <w:t>of Social Work. PhD, Catholic University of America, 2010; MSW, State University of New York at Stony Brook, 1994; </w:t>
      </w:r>
      <w:r>
        <w:rPr>
          <w:color w:val="0B0B0B"/>
          <w:spacing w:val="-3"/>
        </w:rPr>
        <w:t>BA, </w:t>
      </w:r>
      <w:r>
        <w:rPr>
          <w:color w:val="0B0B0B"/>
        </w:rPr>
        <w:t>Johns Hopkins University,</w:t>
      </w:r>
      <w:r>
        <w:rPr>
          <w:color w:val="0B0B0B"/>
          <w:spacing w:val="7"/>
        </w:rPr>
        <w:t> </w:t>
      </w:r>
      <w:r>
        <w:rPr>
          <w:color w:val="0B0B0B"/>
        </w:rPr>
        <w:t>1990.</w:t>
      </w:r>
    </w:p>
    <w:p>
      <w:pPr>
        <w:pStyle w:val="BodyText"/>
        <w:spacing w:line="249" w:lineRule="auto" w:before="180"/>
        <w:ind w:left="199" w:right="778"/>
      </w:pPr>
      <w:r>
        <w:rPr>
          <w:b/>
          <w:color w:val="0B0B0B"/>
        </w:rPr>
        <w:t>Rosen, Gerald</w:t>
      </w:r>
      <w:r>
        <w:rPr>
          <w:color w:val="0B0B0B"/>
        </w:rPr>
        <w:t>, (R), Professor, Pharmaceutical Sciences, School of Pharmacy. JD, Duke University, 1979; PhD, Clarkson College of Technology, 1969; BS, Lowell Technological Institute, 1965.</w:t>
      </w:r>
    </w:p>
    <w:p>
      <w:pPr>
        <w:pStyle w:val="BodyText"/>
        <w:spacing w:line="249" w:lineRule="auto"/>
        <w:ind w:left="199" w:right="1033"/>
      </w:pPr>
      <w:r>
        <w:rPr>
          <w:b/>
          <w:color w:val="0B0B0B"/>
        </w:rPr>
        <w:t>Ross, Douglas</w:t>
      </w:r>
      <w:r>
        <w:rPr>
          <w:color w:val="0B0B0B"/>
        </w:rPr>
        <w:t>, (R), Professor, Medicine, School of Medicine. MD, Emory University, 1974; PhD, Emory University, 1972; BS, McGill University, 1968.</w:t>
      </w:r>
    </w:p>
    <w:p>
      <w:pPr>
        <w:pStyle w:val="BodyText"/>
        <w:spacing w:line="249" w:lineRule="auto" w:before="180"/>
        <w:ind w:left="199" w:right="805"/>
      </w:pPr>
      <w:r>
        <w:rPr>
          <w:b/>
          <w:color w:val="0B0B0B"/>
        </w:rPr>
        <w:t>Rowe, Gina</w:t>
      </w:r>
      <w:r>
        <w:rPr>
          <w:color w:val="0B0B0B"/>
        </w:rPr>
        <w:t>, (A), Assistant Professor, Universities at Shady Grove, School of Nursing. PhD, University of Maryland, 2013; MPH, Johns Hopkins University, 2002; BA, University of Nebraska at Ohama, 1988.</w:t>
      </w:r>
    </w:p>
    <w:p>
      <w:pPr>
        <w:spacing w:before="186"/>
        <w:ind w:left="199" w:right="0" w:firstLine="0"/>
        <w:jc w:val="left"/>
        <w:rPr>
          <w:sz w:val="20"/>
        </w:rPr>
      </w:pPr>
      <w:r>
        <w:rPr>
          <w:b/>
          <w:color w:val="0B0B0B"/>
          <w:sz w:val="20"/>
        </w:rPr>
        <w:t>Rowe, Jessica, </w:t>
      </w:r>
      <w:r>
        <w:rPr>
          <w:color w:val="0B0B0B"/>
          <w:sz w:val="20"/>
        </w:rPr>
        <w:t>(A), Adjunct Faculty, Graduate School.</w:t>
      </w:r>
    </w:p>
    <w:p>
      <w:pPr>
        <w:spacing w:after="0"/>
        <w:jc w:val="left"/>
        <w:rPr>
          <w:sz w:val="20"/>
        </w:rPr>
        <w:sectPr>
          <w:pgSz w:w="12240" w:h="15840"/>
          <w:pgMar w:header="746" w:footer="0" w:top="1320" w:bottom="280" w:left="880" w:right="300"/>
          <w:cols w:num="2" w:equalWidth="0">
            <w:col w:w="4978" w:space="508"/>
            <w:col w:w="5574"/>
          </w:cols>
        </w:sectPr>
      </w:pPr>
    </w:p>
    <w:p>
      <w:pPr>
        <w:pStyle w:val="BodyText"/>
        <w:spacing w:line="249" w:lineRule="auto" w:before="100"/>
        <w:ind w:right="323"/>
      </w:pPr>
      <w:r>
        <w:rPr>
          <w:color w:val="0B0B0B"/>
        </w:rPr>
        <w:t>BA, State University of New York College at Potsdam, 2004; MA, Pennsylvania State University Harrisburg, 2009; MS, University of Maryland, Baltimore, 2016.</w:t>
      </w:r>
    </w:p>
    <w:p>
      <w:pPr>
        <w:pStyle w:val="BodyText"/>
        <w:spacing w:line="249" w:lineRule="auto" w:before="180"/>
        <w:ind w:left="199" w:right="114"/>
        <w:jc w:val="both"/>
      </w:pPr>
      <w:r>
        <w:rPr>
          <w:b/>
          <w:color w:val="0B0B0B"/>
        </w:rPr>
        <w:t>Rowthorn, Virginia, </w:t>
      </w:r>
      <w:r>
        <w:rPr>
          <w:color w:val="0B0B0B"/>
        </w:rPr>
        <w:t>(A), Graduate School. </w:t>
      </w:r>
      <w:r>
        <w:rPr>
          <w:color w:val="0B0B0B"/>
          <w:spacing w:val="-3"/>
        </w:rPr>
        <w:t>BA, </w:t>
      </w:r>
      <w:r>
        <w:rPr>
          <w:color w:val="0B0B0B"/>
        </w:rPr>
        <w:t>Carleton College, 1986; JD University </w:t>
      </w:r>
      <w:r>
        <w:rPr>
          <w:color w:val="0B0B0B"/>
          <w:spacing w:val="-3"/>
        </w:rPr>
        <w:t>of </w:t>
      </w:r>
      <w:r>
        <w:rPr>
          <w:color w:val="0B0B0B"/>
        </w:rPr>
        <w:t>Maryland </w:t>
      </w:r>
      <w:r>
        <w:rPr>
          <w:color w:val="0B0B0B"/>
          <w:spacing w:val="-2"/>
        </w:rPr>
        <w:t>School </w:t>
      </w:r>
      <w:r>
        <w:rPr>
          <w:color w:val="0B0B0B"/>
          <w:spacing w:val="-3"/>
        </w:rPr>
        <w:t>of Law, </w:t>
      </w:r>
      <w:r>
        <w:rPr>
          <w:color w:val="0B0B0B"/>
        </w:rPr>
        <w:t>1997; </w:t>
      </w:r>
      <w:r>
        <w:rPr>
          <w:color w:val="0B0B0B"/>
          <w:spacing w:val="-3"/>
        </w:rPr>
        <w:t>LLM, Georgetown </w:t>
      </w:r>
      <w:r>
        <w:rPr>
          <w:color w:val="0B0B0B"/>
        </w:rPr>
        <w:t>University, 2016.</w:t>
      </w:r>
    </w:p>
    <w:p>
      <w:pPr>
        <w:pStyle w:val="BodyText"/>
        <w:spacing w:line="249" w:lineRule="auto" w:before="184"/>
        <w:ind w:left="199" w:right="18"/>
      </w:pPr>
      <w:r>
        <w:rPr>
          <w:b/>
          <w:color w:val="0B0B0B"/>
        </w:rPr>
        <w:t>Roy, Anindo</w:t>
      </w:r>
      <w:r>
        <w:rPr>
          <w:color w:val="0B0B0B"/>
        </w:rPr>
        <w:t>, (R), Associate Professor, Neurology, School of Medicine. PhD, University of Arkansas at Little Rock; 2005, M Phil, University of Sussex, 2000; Btech, JMI University, 1998.</w:t>
      </w:r>
    </w:p>
    <w:p>
      <w:pPr>
        <w:pStyle w:val="BodyText"/>
        <w:spacing w:line="249" w:lineRule="auto" w:before="181"/>
        <w:ind w:left="199" w:right="602"/>
      </w:pPr>
      <w:r>
        <w:rPr>
          <w:b/>
          <w:color w:val="0B0B0B"/>
        </w:rPr>
        <w:t>Royal III, Walter</w:t>
      </w:r>
      <w:r>
        <w:rPr>
          <w:color w:val="0B0B0B"/>
        </w:rPr>
        <w:t>, (A), Associate Professor, Neuroscience, School of Medicine. MD, Dartmouth Medical School, 1980; AB, Harvard College, 1977.</w:t>
      </w:r>
    </w:p>
    <w:p>
      <w:pPr>
        <w:pStyle w:val="BodyText"/>
        <w:spacing w:line="249" w:lineRule="auto" w:before="184"/>
        <w:ind w:left="199" w:right="301"/>
      </w:pPr>
      <w:r>
        <w:rPr>
          <w:b/>
          <w:color w:val="0B0B0B"/>
        </w:rPr>
        <w:t>Rubler, Constance</w:t>
      </w:r>
      <w:r>
        <w:rPr>
          <w:color w:val="0B0B0B"/>
        </w:rPr>
        <w:t>, (A), Assistant Clinical Professor, Orthodontics, School of Dentistry. MS, Rensselaer University, 1975; BS, Rensselaer University, 1974; BS, Rensselaer University, 1973.</w:t>
      </w:r>
    </w:p>
    <w:p>
      <w:pPr>
        <w:pStyle w:val="BodyText"/>
        <w:spacing w:line="249" w:lineRule="auto" w:before="181"/>
        <w:ind w:left="199" w:right="724"/>
      </w:pPr>
      <w:r>
        <w:rPr>
          <w:b/>
          <w:color w:val="0B0B0B"/>
        </w:rPr>
        <w:t>Rus, Horea</w:t>
      </w:r>
      <w:r>
        <w:rPr>
          <w:color w:val="0B0B0B"/>
        </w:rPr>
        <w:t>, (R), Assistant Professor, Neurology/Toxicology, School of Medicine. PhD, University of Medicine and Pharmacy, 1992; MD, University of Medicine and Pharmacy, 1980.</w:t>
      </w:r>
    </w:p>
    <w:p>
      <w:pPr>
        <w:pStyle w:val="BodyText"/>
        <w:spacing w:line="249" w:lineRule="auto"/>
        <w:ind w:left="199" w:right="301"/>
      </w:pPr>
      <w:r>
        <w:rPr>
          <w:b/>
          <w:color w:val="0B0B0B"/>
        </w:rPr>
        <w:t>Ryan, Alice</w:t>
      </w:r>
      <w:r>
        <w:rPr>
          <w:color w:val="0B0B0B"/>
        </w:rPr>
        <w:t>, (R), Professor, Gerontology, School of Medicine. PhD, University of Maryland, 1992; MS, Pennsylvania State University, 1990; BA, University of Arizona, 1985.</w:t>
      </w:r>
    </w:p>
    <w:p>
      <w:pPr>
        <w:pStyle w:val="BodyText"/>
        <w:spacing w:line="249" w:lineRule="auto" w:before="181"/>
        <w:ind w:left="199" w:right="74"/>
      </w:pPr>
      <w:r>
        <w:rPr>
          <w:b/>
          <w:color w:val="0B0B0B"/>
        </w:rPr>
        <w:t>Sabnis, Gauri</w:t>
      </w:r>
      <w:r>
        <w:rPr>
          <w:color w:val="0B0B0B"/>
        </w:rPr>
        <w:t>, (A), Assistant Professor, Pharmacology and Experimental Therapeutics, School of Medicine. PhD, University of Maryland, 2005; BP, Univerisity of Prune, 2001.</w:t>
      </w:r>
    </w:p>
    <w:p>
      <w:pPr>
        <w:pStyle w:val="BodyText"/>
        <w:spacing w:line="249" w:lineRule="auto"/>
        <w:ind w:left="199" w:right="90"/>
      </w:pPr>
      <w:r>
        <w:rPr>
          <w:b/>
          <w:color w:val="0B0B0B"/>
        </w:rPr>
        <w:t>Sacci, John Jr.</w:t>
      </w:r>
      <w:r>
        <w:rPr>
          <w:color w:val="0B0B0B"/>
        </w:rPr>
        <w:t>, (R), Assistant Professor, Microbiology and Immunology, School of Medicine. PhD, University of Maryland, 1989; BA, Bates College, 1978.</w:t>
      </w:r>
    </w:p>
    <w:p>
      <w:pPr>
        <w:pStyle w:val="BodyText"/>
        <w:spacing w:line="249" w:lineRule="auto" w:before="180"/>
        <w:ind w:left="199" w:right="38"/>
      </w:pPr>
      <w:r>
        <w:rPr>
          <w:b/>
          <w:color w:val="0B0B0B"/>
        </w:rPr>
        <w:t>Sacco, Paul</w:t>
      </w:r>
      <w:r>
        <w:rPr>
          <w:color w:val="0B0B0B"/>
        </w:rPr>
        <w:t>, (R), Assistant Professor, Social Work, </w:t>
      </w:r>
      <w:r>
        <w:rPr>
          <w:color w:val="0B0B0B"/>
          <w:spacing w:val="-3"/>
        </w:rPr>
        <w:t>School </w:t>
      </w:r>
      <w:r>
        <w:rPr>
          <w:color w:val="0B0B0B"/>
        </w:rPr>
        <w:t>of Social Work. PhD, Washington University in </w:t>
      </w:r>
      <w:r>
        <w:rPr>
          <w:color w:val="0B0B0B"/>
          <w:spacing w:val="-2"/>
        </w:rPr>
        <w:t>St. </w:t>
      </w:r>
      <w:r>
        <w:rPr>
          <w:color w:val="0B0B0B"/>
        </w:rPr>
        <w:t>Louis, 2009; MSW, Arizona State University; 1995, </w:t>
      </w:r>
      <w:r>
        <w:rPr>
          <w:color w:val="0B0B0B"/>
          <w:spacing w:val="-3"/>
        </w:rPr>
        <w:t>BA, </w:t>
      </w:r>
      <w:r>
        <w:rPr>
          <w:color w:val="0B0B0B"/>
        </w:rPr>
        <w:t>Fordham University,</w:t>
      </w:r>
      <w:r>
        <w:rPr>
          <w:color w:val="0B0B0B"/>
          <w:spacing w:val="8"/>
        </w:rPr>
        <w:t> </w:t>
      </w:r>
      <w:r>
        <w:rPr>
          <w:color w:val="0B0B0B"/>
        </w:rPr>
        <w:t>1989.</w:t>
      </w:r>
    </w:p>
    <w:p>
      <w:pPr>
        <w:spacing w:line="249" w:lineRule="auto" w:before="185"/>
        <w:ind w:left="199" w:right="80" w:firstLine="0"/>
        <w:jc w:val="left"/>
        <w:rPr>
          <w:sz w:val="20"/>
        </w:rPr>
      </w:pPr>
      <w:r>
        <w:rPr>
          <w:b/>
          <w:color w:val="0B0B0B"/>
          <w:sz w:val="20"/>
        </w:rPr>
        <w:t>Saint George, Diane Marie M.</w:t>
      </w:r>
      <w:r>
        <w:rPr>
          <w:color w:val="0B0B0B"/>
          <w:sz w:val="20"/>
        </w:rPr>
        <w:t>, (R), Associate Professor, Epidemiology and Public Health, School of Medicine.</w:t>
      </w:r>
    </w:p>
    <w:p>
      <w:pPr>
        <w:pStyle w:val="BodyText"/>
        <w:spacing w:line="249" w:lineRule="auto" w:before="2"/>
        <w:ind w:left="199" w:right="435"/>
      </w:pPr>
      <w:r>
        <w:rPr>
          <w:color w:val="0B0B0B"/>
        </w:rPr>
        <w:t>MA, University of Maryland, 1994; BS, University of Maryland, 1990; BS, University of Maryland, 1988.</w:t>
      </w:r>
    </w:p>
    <w:p>
      <w:pPr>
        <w:pStyle w:val="BodyText"/>
        <w:spacing w:line="249" w:lineRule="auto" w:before="179"/>
        <w:ind w:left="199" w:right="424"/>
      </w:pPr>
      <w:r>
        <w:rPr>
          <w:b/>
          <w:color w:val="0B0B0B"/>
        </w:rPr>
        <w:t>Salvato, Maria</w:t>
      </w:r>
      <w:r>
        <w:rPr>
          <w:color w:val="0B0B0B"/>
        </w:rPr>
        <w:t>, (R), Professor, Microbiology and Immunology, School of Medicine; PhD, University of California, Berkeley, 1977.</w:t>
      </w:r>
    </w:p>
    <w:p>
      <w:pPr>
        <w:spacing w:before="184"/>
        <w:ind w:left="200" w:right="0" w:firstLine="0"/>
        <w:jc w:val="left"/>
        <w:rPr>
          <w:sz w:val="20"/>
        </w:rPr>
      </w:pPr>
      <w:r>
        <w:rPr>
          <w:b/>
          <w:color w:val="0B0B0B"/>
          <w:sz w:val="20"/>
        </w:rPr>
        <w:t>Sam-Agudu, Nadia, </w:t>
      </w:r>
      <w:r>
        <w:rPr>
          <w:color w:val="0B0B0B"/>
          <w:sz w:val="20"/>
        </w:rPr>
        <w:t>(A), Associate Professor, Pediatrics,</w:t>
      </w:r>
    </w:p>
    <w:p>
      <w:pPr>
        <w:pStyle w:val="BodyText"/>
        <w:spacing w:line="249" w:lineRule="auto" w:before="96"/>
        <w:ind w:right="807"/>
      </w:pPr>
      <w:r>
        <w:rPr/>
        <w:br w:type="column"/>
      </w:r>
      <w:r>
        <w:rPr>
          <w:color w:val="0B0B0B"/>
        </w:rPr>
        <w:t>School of Medicine. BA, University of Virginia, 1998; MD, Mayo Medical School, 2002.</w:t>
      </w:r>
    </w:p>
    <w:p>
      <w:pPr>
        <w:pStyle w:val="BodyText"/>
        <w:spacing w:line="249" w:lineRule="auto" w:before="179"/>
        <w:ind w:right="815"/>
      </w:pPr>
      <w:r>
        <w:rPr>
          <w:b/>
          <w:color w:val="0B0B0B"/>
        </w:rPr>
        <w:t>Sampaio de Melo, Mary Ann</w:t>
      </w:r>
      <w:r>
        <w:rPr>
          <w:color w:val="0B0B0B"/>
        </w:rPr>
        <w:t>, (A), Assistant Professor, Department of Endodontics, School of Dentistry. PhD, Federal University of Dentistry, 2012; MSD, Federal University of Dentistry, 2009; DDS, University of Fortaleza, 2000.</w:t>
      </w:r>
    </w:p>
    <w:p>
      <w:pPr>
        <w:pStyle w:val="BodyText"/>
        <w:spacing w:line="249" w:lineRule="auto" w:before="186"/>
        <w:ind w:right="832"/>
      </w:pPr>
      <w:r>
        <w:rPr>
          <w:b/>
          <w:color w:val="0B0B0B"/>
        </w:rPr>
        <w:t>Satyshur, Rosemarie</w:t>
      </w:r>
      <w:r>
        <w:rPr>
          <w:color w:val="0B0B0B"/>
        </w:rPr>
        <w:t>, (A), Assistant Professor, Child, Women’s and Family Health, School of Nursing. DNSc, Catholic University of America, 1991; MSN, Catholic University of America, 1984; BSN, Thomas Jefferson University, 1982.</w:t>
      </w:r>
    </w:p>
    <w:p>
      <w:pPr>
        <w:pStyle w:val="BodyText"/>
        <w:spacing w:line="249" w:lineRule="auto" w:before="181"/>
        <w:ind w:right="1232"/>
      </w:pPr>
      <w:r>
        <w:rPr>
          <w:b/>
          <w:color w:val="0B0B0B"/>
        </w:rPr>
        <w:t>Sauk, John</w:t>
      </w:r>
      <w:r>
        <w:rPr>
          <w:color w:val="0B0B0B"/>
        </w:rPr>
        <w:t>, (R), Professor and Chair, Oral and Experimental Pathology, School of Dentistry. MS, University of Minnesota, 1971; DDS, University of Detroit, 1967; BS, University of Detroit, 1963.</w:t>
      </w:r>
    </w:p>
    <w:p>
      <w:pPr>
        <w:pStyle w:val="BodyText"/>
        <w:spacing w:line="249" w:lineRule="auto" w:before="186"/>
        <w:ind w:left="199" w:right="611"/>
      </w:pPr>
      <w:r>
        <w:rPr>
          <w:b/>
          <w:color w:val="0B0B0B"/>
        </w:rPr>
        <w:t>Sausville, Edward A.</w:t>
      </w:r>
      <w:r>
        <w:rPr>
          <w:color w:val="0B0B0B"/>
        </w:rPr>
        <w:t>, (R), Adjunct Professor, Pharmacology and Experimental Therapeutics, School of Medicine. MD, Albert Einstein College of Medicine, 1979; PhD, Albert Einstein College of Medicine, 1978; BS, Manhattan College, 1973.</w:t>
      </w:r>
    </w:p>
    <w:p>
      <w:pPr>
        <w:pStyle w:val="BodyText"/>
        <w:spacing w:line="249" w:lineRule="auto" w:before="181"/>
        <w:ind w:left="199" w:right="760"/>
      </w:pPr>
      <w:r>
        <w:rPr>
          <w:b/>
          <w:color w:val="0B0B0B"/>
        </w:rPr>
        <w:t>Savin Jr., Douglas N.</w:t>
      </w:r>
      <w:r>
        <w:rPr>
          <w:color w:val="0B0B0B"/>
        </w:rPr>
        <w:t>, (A), Assistant Professor, Physical Therapy and Rehabilitation Science, School of Medicine. PhD, University of Maryland, 2011; MPT, University of Maryland, 1997; BS, University of Maryland, 1995.</w:t>
      </w:r>
    </w:p>
    <w:p>
      <w:pPr>
        <w:pStyle w:val="BodyText"/>
        <w:spacing w:line="249" w:lineRule="auto"/>
        <w:ind w:right="748"/>
      </w:pPr>
      <w:r>
        <w:rPr>
          <w:b/>
          <w:color w:val="0B0B0B"/>
        </w:rPr>
        <w:t>Sawant, Amit</w:t>
      </w:r>
      <w:r>
        <w:rPr>
          <w:color w:val="0B0B0B"/>
        </w:rPr>
        <w:t>, (R), Associate Professor, Radiation Oncology, School of Medicine. PhD, University of Michigan, 2006; MS, University of Tennessee, 1999; BS, University of Mumbai, 1996.</w:t>
      </w:r>
    </w:p>
    <w:p>
      <w:pPr>
        <w:pStyle w:val="BodyText"/>
        <w:spacing w:line="249" w:lineRule="auto" w:before="181"/>
        <w:ind w:right="743"/>
      </w:pPr>
      <w:r>
        <w:rPr>
          <w:b/>
          <w:color w:val="0B0B0B"/>
        </w:rPr>
        <w:t>Saxena, Neeraj</w:t>
      </w:r>
      <w:r>
        <w:rPr>
          <w:color w:val="0B0B0B"/>
        </w:rPr>
        <w:t>, (A), Assistant Professor, Gastroenterology and Hepatology, School of Medicine. PhD, University of Delhi, 1994; MS, University of Delhi, BS, University of Delhi.</w:t>
      </w:r>
    </w:p>
    <w:p>
      <w:pPr>
        <w:pStyle w:val="BodyText"/>
        <w:spacing w:line="249" w:lineRule="auto"/>
        <w:ind w:right="754"/>
      </w:pPr>
      <w:r>
        <w:rPr>
          <w:b/>
          <w:color w:val="0B0B0B"/>
        </w:rPr>
        <w:t>Scheidweiler, Karl</w:t>
      </w:r>
      <w:r>
        <w:rPr>
          <w:color w:val="0B0B0B"/>
        </w:rPr>
        <w:t>, (S), Staff Scientist, Toxicology, School of Medicine. PhD, University of Rochester, 2002; MS, University of Rochester, 2000; BS, Ohio University, 1997.</w:t>
      </w:r>
    </w:p>
    <w:p>
      <w:pPr>
        <w:pStyle w:val="BodyText"/>
        <w:spacing w:line="249" w:lineRule="auto" w:before="181"/>
        <w:ind w:right="865"/>
      </w:pPr>
      <w:r>
        <w:rPr>
          <w:b/>
          <w:color w:val="0B0B0B"/>
        </w:rPr>
        <w:t>Scherer, Roberta</w:t>
      </w:r>
      <w:r>
        <w:rPr>
          <w:color w:val="0B0B0B"/>
        </w:rPr>
        <w:t>, (A), Adjunct Assistant Professor, Epidemiology and Public Health, School of Medicine. PhD, Johns Hopkins University, 1987; MS, George Washington University, 1970; BA, Thiel College, 1967.</w:t>
      </w:r>
    </w:p>
    <w:p>
      <w:pPr>
        <w:pStyle w:val="BodyText"/>
        <w:spacing w:line="249" w:lineRule="auto"/>
        <w:ind w:right="804"/>
      </w:pPr>
      <w:r>
        <w:rPr>
          <w:b/>
          <w:color w:val="0B0B0B"/>
        </w:rPr>
        <w:t>Scheu, Karen</w:t>
      </w:r>
      <w:r>
        <w:rPr>
          <w:color w:val="0B0B0B"/>
        </w:rPr>
        <w:t>, (A), Assistant Professor, Family and Community Health, School of Nursing. DNP, University of Maryland, 2012; MSN, Columbia University, 1999; BSN, Boston College of Nursing, 1996.</w:t>
      </w:r>
    </w:p>
    <w:p>
      <w:pPr>
        <w:spacing w:after="0" w:line="249" w:lineRule="auto"/>
        <w:sectPr>
          <w:pgSz w:w="12240" w:h="15840"/>
          <w:pgMar w:header="746" w:footer="0" w:top="1320" w:bottom="280" w:left="880" w:right="300"/>
          <w:cols w:num="2" w:equalWidth="0">
            <w:col w:w="4976" w:space="510"/>
            <w:col w:w="5574"/>
          </w:cols>
        </w:sectPr>
      </w:pPr>
    </w:p>
    <w:p>
      <w:pPr>
        <w:pStyle w:val="BodyText"/>
        <w:spacing w:line="249" w:lineRule="auto" w:before="100"/>
        <w:ind w:left="199" w:right="147"/>
      </w:pPr>
      <w:r>
        <w:rPr>
          <w:b/>
          <w:color w:val="0B0B0B"/>
        </w:rPr>
        <w:t>Schneider, Abraham</w:t>
      </w:r>
      <w:r>
        <w:rPr>
          <w:color w:val="0B0B0B"/>
        </w:rPr>
        <w:t>, (R), Assistant Professor, Oral and Experimental Pathology, School of Dentistry. PhD, University of Michigan, 2005; BA, Peruvian University Cayetano Heredia, 1989.</w:t>
      </w:r>
    </w:p>
    <w:p>
      <w:pPr>
        <w:pStyle w:val="BodyText"/>
        <w:spacing w:line="249" w:lineRule="auto" w:before="180"/>
        <w:ind w:left="199" w:right="420"/>
      </w:pPr>
      <w:r>
        <w:rPr>
          <w:b/>
          <w:color w:val="0B0B0B"/>
        </w:rPr>
        <w:t>Schneider, Martin</w:t>
      </w:r>
      <w:r>
        <w:rPr>
          <w:color w:val="0B0B0B"/>
        </w:rPr>
        <w:t>, (R), Professor, Biochemistry and Molecular Biology, School of Medicine. PhD, Duke University, 1969; BS, Yale University, 1963.</w:t>
      </w:r>
    </w:p>
    <w:p>
      <w:pPr>
        <w:pStyle w:val="BodyText"/>
        <w:spacing w:line="249" w:lineRule="auto"/>
        <w:ind w:left="199" w:right="52"/>
      </w:pPr>
      <w:r>
        <w:rPr>
          <w:b/>
          <w:color w:val="0B0B0B"/>
        </w:rPr>
        <w:t>Schneider, Monica</w:t>
      </w:r>
      <w:r>
        <w:rPr>
          <w:color w:val="0B0B0B"/>
        </w:rPr>
        <w:t>, (A), Clinical Assistant Professor, Biomedical Sciences, School of Dentistry. MS, University of Minnesota, 1994; DDS, Peruvian University, 1990; BS, Peruvian University, 1990.</w:t>
      </w:r>
    </w:p>
    <w:p>
      <w:pPr>
        <w:pStyle w:val="BodyText"/>
        <w:spacing w:line="249" w:lineRule="auto" w:before="180"/>
        <w:ind w:left="199" w:right="247"/>
      </w:pPr>
      <w:r>
        <w:rPr>
          <w:b/>
          <w:color w:val="0B0B0B"/>
        </w:rPr>
        <w:t>Schneiderman, MaryAnn</w:t>
      </w:r>
      <w:r>
        <w:rPr>
          <w:color w:val="0B0B0B"/>
        </w:rPr>
        <w:t>, (A), Assistant Professor, Dental Hygiene, School of Dentistry. MS, University of Maryland, 2005; BS, George Washington University, 1983.</w:t>
      </w:r>
    </w:p>
    <w:p>
      <w:pPr>
        <w:pStyle w:val="BodyText"/>
        <w:spacing w:line="249" w:lineRule="auto" w:before="186"/>
        <w:ind w:left="199" w:right="103"/>
      </w:pPr>
      <w:r>
        <w:rPr>
          <w:b/>
          <w:color w:val="0B0B0B"/>
        </w:rPr>
        <w:t>Schoenbaum, Geoffrey</w:t>
      </w:r>
      <w:r>
        <w:rPr>
          <w:color w:val="0B0B0B"/>
        </w:rPr>
        <w:t>, (R) Assistant Professor, Anatomy, School of Medicine. MD, University of North Carolina, 1996; PhD, University of North Carolina, 1994; BS, University of Georgia, 1989.</w:t>
      </w:r>
    </w:p>
    <w:p>
      <w:pPr>
        <w:pStyle w:val="BodyText"/>
        <w:spacing w:line="249" w:lineRule="auto" w:before="180"/>
        <w:ind w:left="199" w:right="381"/>
      </w:pPr>
      <w:r>
        <w:rPr>
          <w:b/>
          <w:color w:val="0B0B0B"/>
        </w:rPr>
        <w:t>Schriml, Lynn M.</w:t>
      </w:r>
      <w:r>
        <w:rPr>
          <w:color w:val="0B0B0B"/>
        </w:rPr>
        <w:t>, (A), Associate Professor, Epidemiology and Public Health, School of Medicine, PhD, University of Ottawa, 1997; BA, Wells College, 1989.</w:t>
      </w:r>
    </w:p>
    <w:p>
      <w:pPr>
        <w:pStyle w:val="BodyText"/>
        <w:spacing w:line="249" w:lineRule="auto" w:before="186"/>
        <w:ind w:left="199" w:right="164"/>
      </w:pPr>
      <w:r>
        <w:rPr>
          <w:b/>
          <w:color w:val="0B0B0B"/>
        </w:rPr>
        <w:t>Schubert, Michael Craig</w:t>
      </w:r>
      <w:r>
        <w:rPr>
          <w:color w:val="0B0B0B"/>
        </w:rPr>
        <w:t>, (S), Associate Professor, Otolaryngology, School of Medicine. PhD, University of Miami, 2001; MS, Old Dominion University, 1991; BS, Old Dominion University, 1989.</w:t>
      </w:r>
    </w:p>
    <w:p>
      <w:pPr>
        <w:pStyle w:val="BodyText"/>
        <w:spacing w:line="249" w:lineRule="auto" w:before="180"/>
        <w:ind w:left="199" w:right="230"/>
      </w:pPr>
      <w:r>
        <w:rPr>
          <w:b/>
          <w:color w:val="0B0B0B"/>
        </w:rPr>
        <w:t>Schuh, Rosemary A.</w:t>
      </w:r>
      <w:r>
        <w:rPr>
          <w:color w:val="0B0B0B"/>
        </w:rPr>
        <w:t>, (A), Assistant Professor, Neurology, School of Medicine. PhD, University of Maryland, 2004; ScM, Johns Hopkins University, 2002; BS, Arizona State University, 1997.</w:t>
      </w:r>
    </w:p>
    <w:p>
      <w:pPr>
        <w:pStyle w:val="BodyText"/>
        <w:spacing w:line="249" w:lineRule="auto"/>
        <w:ind w:left="199" w:right="25"/>
      </w:pPr>
      <w:r>
        <w:rPr>
          <w:b/>
          <w:color w:val="0B0B0B"/>
        </w:rPr>
        <w:t>Schulze, Dan</w:t>
      </w:r>
      <w:r>
        <w:rPr>
          <w:color w:val="0B0B0B"/>
        </w:rPr>
        <w:t>, (R), Associate Professor, Microbiology and Immunology, School of Medicine. PhD, University of Texas, 1978; MA, Miami University, 1972; BS, Indiana University, 1969</w:t>
      </w:r>
    </w:p>
    <w:p>
      <w:pPr>
        <w:pStyle w:val="BodyText"/>
        <w:spacing w:line="249" w:lineRule="auto" w:before="181"/>
        <w:ind w:left="199" w:right="52"/>
      </w:pPr>
      <w:r>
        <w:rPr>
          <w:b/>
          <w:color w:val="0B0B0B"/>
        </w:rPr>
        <w:t>Schwarcz, Robert</w:t>
      </w:r>
      <w:r>
        <w:rPr>
          <w:color w:val="0B0B0B"/>
        </w:rPr>
        <w:t>, (R), Professor, Psychiatry, School of Medicine. PhD, University of Vienna, 1974; BS, University of Vienna, 1968.</w:t>
      </w:r>
    </w:p>
    <w:p>
      <w:pPr>
        <w:pStyle w:val="BodyText"/>
        <w:spacing w:line="249" w:lineRule="auto"/>
        <w:ind w:left="199" w:right="47"/>
      </w:pPr>
      <w:r>
        <w:rPr>
          <w:b/>
          <w:color w:val="0B0B0B"/>
        </w:rPr>
        <w:t>Scrandis, Debra A.</w:t>
      </w:r>
      <w:r>
        <w:rPr>
          <w:color w:val="0B0B0B"/>
        </w:rPr>
        <w:t>, (R), Associate Professor, Family and Community Health, School of Nursing. PhD, Barry University, 2003; MS, Boston College, 1994; BS, Fitchburg State College, 1989.</w:t>
      </w:r>
    </w:p>
    <w:p>
      <w:pPr>
        <w:pStyle w:val="BodyText"/>
        <w:spacing w:line="249" w:lineRule="auto" w:before="180"/>
        <w:ind w:left="199" w:right="520" w:hanging="1"/>
      </w:pPr>
      <w:r>
        <w:rPr>
          <w:b/>
          <w:color w:val="0B0B0B"/>
        </w:rPr>
        <w:t>Seckman, Charlotte </w:t>
      </w:r>
      <w:r>
        <w:rPr>
          <w:color w:val="0B0B0B"/>
        </w:rPr>
        <w:t>, (R), Associate Professor, Organizational Systems and Adult Health, School of</w:t>
      </w:r>
    </w:p>
    <w:p>
      <w:pPr>
        <w:pStyle w:val="BodyText"/>
        <w:spacing w:line="249" w:lineRule="auto" w:before="96"/>
        <w:ind w:left="199" w:right="628"/>
      </w:pPr>
      <w:r>
        <w:rPr/>
        <w:br w:type="column"/>
      </w:r>
      <w:r>
        <w:rPr>
          <w:color w:val="0B0B0B"/>
        </w:rPr>
        <w:t>Nursing. PhD, University of Maryland, 2008; MSN, University of Pittsburgh, 1992; BSN, Indiana University, 1982.</w:t>
      </w:r>
    </w:p>
    <w:p>
      <w:pPr>
        <w:pStyle w:val="BodyText"/>
        <w:spacing w:line="249" w:lineRule="auto" w:before="180"/>
        <w:ind w:left="199" w:right="898"/>
      </w:pPr>
      <w:r>
        <w:rPr>
          <w:b/>
          <w:color w:val="0B0B0B"/>
        </w:rPr>
        <w:t>Seibel, Werner</w:t>
      </w:r>
      <w:r>
        <w:rPr>
          <w:color w:val="0B0B0B"/>
        </w:rPr>
        <w:t>, (R), Associate Professor, Oral and Craniofacial Biological Sciences, School of Dentistry. PhD, Virginia Commonwealth University, 1972; MA, Hofstra University, 1968; BA, Brooklyn College, 1965.</w:t>
      </w:r>
    </w:p>
    <w:p>
      <w:pPr>
        <w:pStyle w:val="BodyText"/>
        <w:spacing w:line="249" w:lineRule="auto"/>
        <w:ind w:left="199" w:right="699"/>
      </w:pPr>
      <w:r>
        <w:rPr>
          <w:b/>
          <w:color w:val="0B0B0B"/>
        </w:rPr>
        <w:t>Seminowicz, David</w:t>
      </w:r>
      <w:r>
        <w:rPr>
          <w:color w:val="0B0B0B"/>
        </w:rPr>
        <w:t>, (R), Associate Professor, Neural and Pain Sciences, School of Dentistry. PhD, University of Toronto, 2007; MSc, University of Guelph, 2004; BSc, University of Guelph, 2001.</w:t>
      </w:r>
    </w:p>
    <w:p>
      <w:pPr>
        <w:pStyle w:val="BodyText"/>
        <w:spacing w:line="249" w:lineRule="auto" w:before="181"/>
        <w:ind w:left="199" w:right="628"/>
      </w:pPr>
      <w:r>
        <w:rPr>
          <w:b/>
          <w:color w:val="0B0B0B"/>
        </w:rPr>
        <w:t>Sera, Leah, </w:t>
      </w:r>
      <w:r>
        <w:rPr>
          <w:color w:val="0B0B0B"/>
        </w:rPr>
        <w:t>(A), Assistant Professor, Pharmacy Practice and Science, School of Pharmacy. PharmD, University of Maryland School of Pharmacy, 2010; MA, University of Maryland Baltimore County, 2017.</w:t>
      </w:r>
    </w:p>
    <w:p>
      <w:pPr>
        <w:pStyle w:val="BodyText"/>
        <w:spacing w:line="249" w:lineRule="auto"/>
        <w:ind w:left="199" w:right="656"/>
        <w:jc w:val="both"/>
      </w:pPr>
      <w:r>
        <w:rPr>
          <w:b/>
          <w:color w:val="0B0B0B"/>
        </w:rPr>
        <w:t>Serre, David</w:t>
      </w:r>
      <w:r>
        <w:rPr>
          <w:color w:val="0B0B0B"/>
        </w:rPr>
        <w:t>, (R), Associate Professor, Genome Sciences, School of Medicine. PhD, Max-Planck Institute, 2004; BS, Ecole Nationale Superieure de Montpellier, 1999.</w:t>
      </w:r>
    </w:p>
    <w:p>
      <w:pPr>
        <w:pStyle w:val="BodyText"/>
        <w:spacing w:line="249" w:lineRule="auto" w:before="180"/>
        <w:ind w:left="199" w:right="1220"/>
      </w:pPr>
      <w:r>
        <w:rPr>
          <w:b/>
          <w:color w:val="0B0B0B"/>
        </w:rPr>
        <w:t>Shamoo, Adil</w:t>
      </w:r>
      <w:r>
        <w:rPr>
          <w:color w:val="0B0B0B"/>
        </w:rPr>
        <w:t>, (R), Professor, Biochemistry and Molecular Biology, School of Medicine. PhD, City University of New York, 1969; MS, University of Louisville, 1966; BS, University of Baghdad, 1962.</w:t>
      </w:r>
    </w:p>
    <w:p>
      <w:pPr>
        <w:pStyle w:val="BodyText"/>
        <w:spacing w:line="249" w:lineRule="auto"/>
        <w:ind w:left="199" w:right="776" w:hanging="1"/>
      </w:pPr>
      <w:r>
        <w:rPr>
          <w:b/>
          <w:color w:val="0B0B0B"/>
        </w:rPr>
        <w:t>Shamsuddin, Abulkalam</w:t>
      </w:r>
      <w:r>
        <w:rPr>
          <w:color w:val="0B0B0B"/>
        </w:rPr>
        <w:t>, (R), Professor, Pathology, School of Medicine. PhD, University of Maryland, 1980; MBBS, University of Dhakar, 1972.</w:t>
      </w:r>
    </w:p>
    <w:p>
      <w:pPr>
        <w:pStyle w:val="BodyText"/>
        <w:spacing w:line="249" w:lineRule="auto" w:before="180"/>
        <w:ind w:left="199" w:right="804"/>
      </w:pPr>
      <w:r>
        <w:rPr>
          <w:b/>
          <w:color w:val="0B0B0B"/>
        </w:rPr>
        <w:t>Shapiro, Paul</w:t>
      </w:r>
      <w:r>
        <w:rPr>
          <w:color w:val="0B0B0B"/>
        </w:rPr>
        <w:t>, (R), Associate Professor, Pharmaceutical Sciences, School of Pharmacy. PhD, University of Vermont, 1995; BS, University of Wisconsin, 1987.</w:t>
      </w:r>
    </w:p>
    <w:p>
      <w:pPr>
        <w:pStyle w:val="BodyText"/>
        <w:spacing w:line="249" w:lineRule="auto" w:before="184"/>
        <w:ind w:left="199" w:right="764"/>
      </w:pPr>
      <w:r>
        <w:rPr>
          <w:b/>
          <w:color w:val="0B0B0B"/>
        </w:rPr>
        <w:t>Shardell, Michelle</w:t>
      </w:r>
      <w:r>
        <w:rPr>
          <w:color w:val="0B0B0B"/>
        </w:rPr>
        <w:t>, (R), Adjunct Associate Professor, Epidemiology and Public Health, School of Medicine. PhD, Johns Hopkins University, 2004; MS, University of Michigan, 2000; BS, University of Florida, 1998.</w:t>
      </w:r>
    </w:p>
    <w:p>
      <w:pPr>
        <w:pStyle w:val="BodyText"/>
        <w:spacing w:line="249" w:lineRule="auto" w:before="181"/>
        <w:ind w:left="199" w:right="692"/>
      </w:pPr>
      <w:r>
        <w:rPr>
          <w:b/>
          <w:color w:val="0B0B0B"/>
        </w:rPr>
        <w:t>Sharpe, Tanya L.</w:t>
      </w:r>
      <w:r>
        <w:rPr>
          <w:color w:val="0B0B0B"/>
        </w:rPr>
        <w:t>, (A), Assistant Professor, Social Work, School of Social Work. BA, Hampton University, 1992; MSW, University of Connecticut, 1996; PhD, Boston College, 2007.</w:t>
      </w:r>
    </w:p>
    <w:p>
      <w:pPr>
        <w:pStyle w:val="BodyText"/>
        <w:spacing w:line="249" w:lineRule="auto"/>
        <w:ind w:left="199" w:right="592"/>
      </w:pPr>
      <w:r>
        <w:rPr>
          <w:b/>
          <w:color w:val="0B0B0B"/>
        </w:rPr>
        <w:t>Shaw, Terry</w:t>
      </w:r>
      <w:r>
        <w:rPr>
          <w:color w:val="0B0B0B"/>
        </w:rPr>
        <w:t>, (R), Associate Professor, School of Social Work. PhD, University of California Berkley, 2006; MSW, University of Missouri, 1997; BS, Northeast Missouri State University, 1991.</w:t>
      </w:r>
    </w:p>
    <w:p>
      <w:pPr>
        <w:pStyle w:val="BodyText"/>
        <w:spacing w:line="249" w:lineRule="auto" w:before="181"/>
        <w:ind w:left="199" w:right="737"/>
      </w:pPr>
      <w:r>
        <w:rPr>
          <w:b/>
          <w:color w:val="0B0B0B"/>
        </w:rPr>
        <w:t>Shaya, Fadia</w:t>
      </w:r>
      <w:r>
        <w:rPr>
          <w:color w:val="0B0B0B"/>
        </w:rPr>
        <w:t>, (R), Associate Professor, Pharmaceutical Health Services Research, School of Pharmacy. PhD, Johns Hopkins University; MPH, American University of Beirut; BS, American University of Beirut.</w:t>
      </w:r>
    </w:p>
    <w:p>
      <w:pPr>
        <w:spacing w:after="0" w:line="249" w:lineRule="auto"/>
        <w:sectPr>
          <w:pgSz w:w="12240" w:h="15840"/>
          <w:pgMar w:header="746" w:footer="0" w:top="1320" w:bottom="280" w:left="880" w:right="300"/>
          <w:cols w:num="2" w:equalWidth="0">
            <w:col w:w="4944" w:space="543"/>
            <w:col w:w="5573"/>
          </w:cols>
        </w:sectPr>
      </w:pPr>
    </w:p>
    <w:p>
      <w:pPr>
        <w:pStyle w:val="BodyText"/>
        <w:spacing w:line="249" w:lineRule="auto" w:before="100"/>
        <w:ind w:right="127"/>
      </w:pPr>
      <w:r>
        <w:rPr>
          <w:b/>
          <w:color w:val="0B0B0B"/>
        </w:rPr>
        <w:t>Shelton, Preston</w:t>
      </w:r>
      <w:r>
        <w:rPr>
          <w:color w:val="0B0B0B"/>
        </w:rPr>
        <w:t>, (A), Associate Professor, Pediatric Dentistry, School of Dentistry, MS, University of Nebraska, 1971, DDS, University of Michigan, 1967, BS, John Carroll University, 1963.</w:t>
      </w:r>
    </w:p>
    <w:p>
      <w:pPr>
        <w:pStyle w:val="BodyText"/>
        <w:spacing w:line="249" w:lineRule="auto" w:before="180"/>
        <w:ind w:left="199" w:right="95"/>
      </w:pPr>
      <w:r>
        <w:rPr>
          <w:b/>
          <w:color w:val="0B0B0B"/>
        </w:rPr>
        <w:t>Shen, Jana</w:t>
      </w:r>
      <w:r>
        <w:rPr>
          <w:color w:val="0B0B0B"/>
        </w:rPr>
        <w:t>, (R), Associate Professor, Pharmaceutical Sciences, School of Pharmacy. PhD, University of Minnesota, 2003; MSc, University of Calgary, 1999; BSc, Bergische Universitat, 1995.</w:t>
      </w:r>
    </w:p>
    <w:p>
      <w:pPr>
        <w:pStyle w:val="BodyText"/>
        <w:spacing w:line="249" w:lineRule="auto" w:before="186"/>
        <w:ind w:left="199" w:right="51"/>
      </w:pPr>
      <w:r>
        <w:rPr>
          <w:b/>
          <w:color w:val="0B0B0B"/>
        </w:rPr>
        <w:t>Shepard, Paul</w:t>
      </w:r>
      <w:r>
        <w:rPr>
          <w:color w:val="0B0B0B"/>
        </w:rPr>
        <w:t>, (R), Associate Professor, Neuroscience, School of Medicine, PhD, University of Texas, 1986, MS, North Texas State University, 1978, BS, Baker University, 1975.</w:t>
      </w:r>
    </w:p>
    <w:p>
      <w:pPr>
        <w:pStyle w:val="BodyText"/>
        <w:spacing w:line="249" w:lineRule="auto" w:before="180"/>
        <w:ind w:left="199" w:right="184"/>
      </w:pPr>
      <w:r>
        <w:rPr>
          <w:b/>
          <w:color w:val="0B0B0B"/>
        </w:rPr>
        <w:t>Shiau, Harlan</w:t>
      </w:r>
      <w:r>
        <w:rPr>
          <w:color w:val="0B0B0B"/>
        </w:rPr>
        <w:t>, (R), Associate Professor, Periodontics. DMSc, Harvard University, 2005; DDS, State University at Buffalo, 2000; BS, Cornell University, 1994.</w:t>
      </w:r>
    </w:p>
    <w:p>
      <w:pPr>
        <w:pStyle w:val="BodyText"/>
        <w:spacing w:line="249" w:lineRule="auto"/>
        <w:ind w:left="199" w:right="168"/>
      </w:pPr>
      <w:r>
        <w:rPr>
          <w:b/>
          <w:color w:val="0B0B0B"/>
        </w:rPr>
        <w:t>Shim, Jae Kun</w:t>
      </w:r>
      <w:r>
        <w:rPr>
          <w:color w:val="0B0B0B"/>
        </w:rPr>
        <w:t>, (S), Associate Professor, Physical Therapy and Rehabilitation Science, School of Medicine. PhD, Penn State University, 2005; MS, Ball State University, 2002; BS, Kyung Hee University, 1999.</w:t>
      </w:r>
    </w:p>
    <w:p>
      <w:pPr>
        <w:pStyle w:val="BodyText"/>
        <w:spacing w:line="249" w:lineRule="auto" w:before="180"/>
        <w:ind w:left="199" w:right="23"/>
      </w:pPr>
      <w:r>
        <w:rPr>
          <w:b/>
          <w:color w:val="0B0B0B"/>
        </w:rPr>
        <w:t>Shipley, Michael</w:t>
      </w:r>
      <w:r>
        <w:rPr>
          <w:color w:val="0B0B0B"/>
        </w:rPr>
        <w:t>, (R), Professor and Chair, Anatomy and Neurobiology, School of Medicine. PhD, Massachusetts Institute of Technology, 1972; BA, University of Missouri, 1967.</w:t>
      </w:r>
    </w:p>
    <w:p>
      <w:pPr>
        <w:pStyle w:val="BodyText"/>
        <w:spacing w:line="249" w:lineRule="auto" w:before="186"/>
        <w:ind w:left="199" w:right="46"/>
      </w:pPr>
      <w:r>
        <w:rPr>
          <w:b/>
          <w:color w:val="0B0B0B"/>
        </w:rPr>
        <w:t>Shipley, Steven T.</w:t>
      </w:r>
      <w:r>
        <w:rPr>
          <w:color w:val="0B0B0B"/>
        </w:rPr>
        <w:t>, (A), Veterinary Medicine Chief, Comparative Medicine Program, School of Medicine, VA- MD, Virginia-Maryland Regional College of Veterinary Medicine, 1997, BS, Virginia Polytechnic Institute and State University, 1994.</w:t>
      </w:r>
    </w:p>
    <w:p>
      <w:pPr>
        <w:spacing w:line="249" w:lineRule="auto" w:before="181"/>
        <w:ind w:left="199" w:right="156" w:firstLine="0"/>
        <w:jc w:val="left"/>
        <w:rPr>
          <w:sz w:val="20"/>
        </w:rPr>
      </w:pPr>
      <w:r>
        <w:rPr>
          <w:b/>
          <w:color w:val="0B0B0B"/>
          <w:sz w:val="20"/>
        </w:rPr>
        <w:t>Shipper, Andrea, </w:t>
      </w:r>
      <w:r>
        <w:rPr>
          <w:color w:val="0B0B0B"/>
          <w:sz w:val="20"/>
        </w:rPr>
        <w:t>(A), Librarian. BA, Bryn Mawr, 2008. MS, Drexel University, 2011.</w:t>
      </w:r>
    </w:p>
    <w:p>
      <w:pPr>
        <w:pStyle w:val="BodyText"/>
        <w:spacing w:line="249" w:lineRule="auto" w:before="184"/>
        <w:ind w:left="199" w:right="201"/>
        <w:jc w:val="both"/>
      </w:pPr>
      <w:r>
        <w:rPr>
          <w:b/>
          <w:color w:val="0B0B0B"/>
        </w:rPr>
        <w:t>Shirtliff, Mark E.</w:t>
      </w:r>
      <w:r>
        <w:rPr>
          <w:color w:val="0B0B0B"/>
        </w:rPr>
        <w:t>, (R), Assistant Professor, Biomedical Sciences, School of Dentistry. PhD, University of Texas Medical Branch, 2001; BS, University of Houston, 1993.</w:t>
      </w:r>
    </w:p>
    <w:p>
      <w:pPr>
        <w:pStyle w:val="BodyText"/>
        <w:spacing w:line="249" w:lineRule="auto" w:before="179"/>
        <w:ind w:right="66"/>
      </w:pPr>
      <w:r>
        <w:rPr>
          <w:b/>
          <w:color w:val="0B0B0B"/>
        </w:rPr>
        <w:t>Shroff, Bhavna</w:t>
      </w:r>
      <w:r>
        <w:rPr>
          <w:color w:val="0B0B0B"/>
        </w:rPr>
        <w:t>, (R), Associate Professor, Orthodontics, School of Dentistry. MS, University of Connecticut, 1989; MS, University of Paris, 1983; DDS, University of Paris, 1982.</w:t>
      </w:r>
    </w:p>
    <w:p>
      <w:pPr>
        <w:pStyle w:val="BodyText"/>
        <w:spacing w:line="249" w:lineRule="auto" w:before="186"/>
        <w:ind w:right="227" w:hanging="1"/>
      </w:pPr>
      <w:r>
        <w:rPr>
          <w:b/>
          <w:color w:val="0B0B0B"/>
        </w:rPr>
        <w:t>Shu, Yan</w:t>
      </w:r>
      <w:r>
        <w:rPr>
          <w:color w:val="0B0B0B"/>
        </w:rPr>
        <w:t>, (A), Assistant Professor, Pharmaceutical Sciences, School of Pharmacy. PhD, University of California, 2006; MD, Hunan Medical University, 2000; MM, Hunan Medical University, 1997.</w:t>
      </w:r>
    </w:p>
    <w:p>
      <w:pPr>
        <w:pStyle w:val="BodyText"/>
        <w:spacing w:line="249" w:lineRule="auto" w:before="180"/>
        <w:ind w:right="43"/>
      </w:pPr>
      <w:r>
        <w:rPr>
          <w:b/>
          <w:color w:val="0B0B0B"/>
        </w:rPr>
        <w:t>Shuldiner, Alan</w:t>
      </w:r>
      <w:r>
        <w:rPr>
          <w:color w:val="0B0B0B"/>
        </w:rPr>
        <w:t>, (R), Professor, Epidemiology and Public Health, School of Medicine. MD, Harvard University, 1984; BA, Lafayette College, 1979.</w:t>
      </w:r>
    </w:p>
    <w:p>
      <w:pPr>
        <w:pStyle w:val="BodyText"/>
        <w:spacing w:line="249" w:lineRule="auto" w:before="96"/>
        <w:ind w:right="682"/>
      </w:pPr>
      <w:r>
        <w:rPr/>
        <w:br w:type="column"/>
      </w:r>
      <w:r>
        <w:rPr>
          <w:b/>
          <w:color w:val="0B0B0B"/>
        </w:rPr>
        <w:t>Silver, Kristi</w:t>
      </w:r>
      <w:r>
        <w:rPr>
          <w:color w:val="0B0B0B"/>
        </w:rPr>
        <w:t>, (A), Associate Professor, Medicine, School of Medicine. MD, University of Maryland, 1985; BS, University of Maryland, 1980.</w:t>
      </w:r>
    </w:p>
    <w:p>
      <w:pPr>
        <w:pStyle w:val="BodyText"/>
        <w:spacing w:line="249" w:lineRule="auto" w:before="180"/>
        <w:ind w:right="671"/>
      </w:pPr>
      <w:r>
        <w:rPr>
          <w:b/>
          <w:color w:val="0B0B0B"/>
        </w:rPr>
        <w:t>Silverman, David</w:t>
      </w:r>
      <w:r>
        <w:rPr>
          <w:color w:val="0B0B0B"/>
        </w:rPr>
        <w:t>, (R), Professor, Microbiology and Immunology, School of Medicine. PhD, West Virginia University, 1971; MS, University of Tennessee, 1967; BS, Muhlenberg College, 1965.</w:t>
      </w:r>
    </w:p>
    <w:p>
      <w:pPr>
        <w:pStyle w:val="BodyText"/>
        <w:spacing w:line="249" w:lineRule="auto"/>
        <w:ind w:right="643" w:hanging="1"/>
      </w:pPr>
      <w:r>
        <w:rPr>
          <w:b/>
          <w:color w:val="0B0B0B"/>
        </w:rPr>
        <w:t>Silverman, Henry, </w:t>
      </w:r>
      <w:r>
        <w:rPr>
          <w:color w:val="0B0B0B"/>
        </w:rPr>
        <w:t>(A), Professor, Medicine, School of Medicine. BS, Rensselaer Polytechnic Institute, 1974; MS, 1974; MD, Johns Hopkins University, 1978</w:t>
      </w:r>
    </w:p>
    <w:p>
      <w:pPr>
        <w:pStyle w:val="BodyText"/>
        <w:spacing w:line="249" w:lineRule="auto" w:before="180"/>
        <w:ind w:right="660"/>
      </w:pPr>
      <w:r>
        <w:rPr>
          <w:b/>
          <w:color w:val="0B0B0B"/>
        </w:rPr>
        <w:t>Simard, J. Marc</w:t>
      </w:r>
      <w:r>
        <w:rPr>
          <w:color w:val="0B0B0B"/>
        </w:rPr>
        <w:t>, (R), Professor, Neurosurgery, School of Medicine. MD, PhD, Creighton University, 1981; BA, St. Anselm College, 1972.</w:t>
      </w:r>
    </w:p>
    <w:p>
      <w:pPr>
        <w:pStyle w:val="BodyText"/>
        <w:spacing w:line="249" w:lineRule="auto" w:before="184"/>
        <w:ind w:right="848"/>
      </w:pPr>
      <w:r>
        <w:rPr>
          <w:b/>
          <w:color w:val="0B0B0B"/>
        </w:rPr>
        <w:t>Simoni-Wastila, Linda</w:t>
      </w:r>
      <w:r>
        <w:rPr>
          <w:color w:val="0B0B0B"/>
        </w:rPr>
        <w:t>, (R), Professor, Pharmaceutical Health Services Research, School of Pharmacy. PhD, Brandeis University, 1993; MPH, University of North Carolina, 1987; BS, University of North Carolina, 1985.</w:t>
      </w:r>
    </w:p>
    <w:p>
      <w:pPr>
        <w:pStyle w:val="BodyText"/>
        <w:spacing w:line="249" w:lineRule="auto" w:before="181"/>
        <w:ind w:right="765"/>
      </w:pPr>
      <w:r>
        <w:rPr>
          <w:b/>
          <w:color w:val="0B0B0B"/>
        </w:rPr>
        <w:t>Singh, Nevil</w:t>
      </w:r>
      <w:r>
        <w:rPr>
          <w:color w:val="0B0B0B"/>
        </w:rPr>
        <w:t>, (A), Assistant Professor, Microbiology and Immunology, School of Medicine. PhD, Tata Institute of Fundamental Research (University of Bombay), 1998; MSc, Devi Ahilya VishwaVidyalaya, 1993; BSc, University College, 1991.</w:t>
      </w:r>
    </w:p>
    <w:p>
      <w:pPr>
        <w:pStyle w:val="BodyText"/>
        <w:spacing w:line="249" w:lineRule="auto" w:before="186"/>
        <w:ind w:right="807"/>
      </w:pPr>
      <w:r>
        <w:rPr>
          <w:b/>
          <w:color w:val="0B0B0B"/>
        </w:rPr>
        <w:t>Sjodin, Raymond</w:t>
      </w:r>
      <w:r>
        <w:rPr>
          <w:color w:val="0B0B0B"/>
        </w:rPr>
        <w:t>, (R), Professor Emeritus, School of Medicine. PhD, University of California, 1955; BS, California Institute of Technology, 1951.</w:t>
      </w:r>
    </w:p>
    <w:p>
      <w:pPr>
        <w:pStyle w:val="BodyText"/>
        <w:spacing w:line="249" w:lineRule="auto" w:before="180"/>
        <w:ind w:right="815"/>
      </w:pPr>
      <w:r>
        <w:rPr>
          <w:b/>
          <w:color w:val="0B0B0B"/>
        </w:rPr>
        <w:t>Skinner, Megan</w:t>
      </w:r>
      <w:r>
        <w:rPr>
          <w:color w:val="0B0B0B"/>
        </w:rPr>
        <w:t>, (A), Genetic Counselor, Molecular Medicine, School of Medicine. MS, MGC, University of Maryland, Baltimore, 2006; BS, Colorado State University, 2002.</w:t>
      </w:r>
    </w:p>
    <w:p>
      <w:pPr>
        <w:pStyle w:val="BodyText"/>
        <w:spacing w:line="249" w:lineRule="auto"/>
        <w:ind w:right="710"/>
      </w:pPr>
      <w:r>
        <w:rPr>
          <w:b/>
          <w:color w:val="0B0B0B"/>
        </w:rPr>
        <w:t>Slejko, Julia</w:t>
      </w:r>
      <w:r>
        <w:rPr>
          <w:color w:val="0B0B0B"/>
        </w:rPr>
        <w:t>, (A), Assistant Professor, Pharmaceutical Health Services Research, School of Pharmacy. PhD, University of Colorado, Boulder, 2012; BA, University of Colorado, Boulder, 2000.</w:t>
      </w:r>
    </w:p>
    <w:p>
      <w:pPr>
        <w:pStyle w:val="BodyText"/>
        <w:spacing w:line="249" w:lineRule="auto" w:before="181"/>
        <w:ind w:right="1287"/>
      </w:pPr>
      <w:r>
        <w:rPr>
          <w:b/>
          <w:color w:val="0B0B0B"/>
        </w:rPr>
        <w:t>Smith, Aaron</w:t>
      </w:r>
      <w:r>
        <w:rPr>
          <w:color w:val="0B0B0B"/>
        </w:rPr>
        <w:t>, Assistant Professor, Chemistry and Biochemistry, School of Medicine.</w:t>
      </w:r>
    </w:p>
    <w:p>
      <w:pPr>
        <w:pStyle w:val="BodyText"/>
        <w:spacing w:line="249" w:lineRule="auto" w:before="184"/>
        <w:ind w:right="1149"/>
      </w:pPr>
      <w:r>
        <w:rPr>
          <w:b/>
          <w:color w:val="0B0B0B"/>
        </w:rPr>
        <w:t>Smith, Gary</w:t>
      </w:r>
      <w:r>
        <w:rPr>
          <w:color w:val="0B0B0B"/>
        </w:rPr>
        <w:t>, (A), Professor, Pharmaceutical Health Services Research, School of Pharmacy. PharmD, University of California, 1966.</w:t>
      </w:r>
    </w:p>
    <w:p>
      <w:pPr>
        <w:pStyle w:val="BodyText"/>
        <w:spacing w:line="249" w:lineRule="auto" w:before="179"/>
        <w:ind w:right="715"/>
      </w:pPr>
      <w:r>
        <w:rPr>
          <w:b/>
          <w:color w:val="0B0B0B"/>
        </w:rPr>
        <w:t>Smith, Gordon S.</w:t>
      </w:r>
      <w:r>
        <w:rPr>
          <w:color w:val="0B0B0B"/>
        </w:rPr>
        <w:t>, (R), Adjunct Professor, Epidemiology and Public Health, School of Medicine. MPH, Harvard School of Public Health, 1981; MB, University of Otago Medical School, 1975.</w:t>
      </w:r>
    </w:p>
    <w:p>
      <w:pPr>
        <w:pStyle w:val="BodyText"/>
        <w:spacing w:line="249" w:lineRule="auto" w:before="186"/>
        <w:ind w:right="1060"/>
      </w:pPr>
      <w:r>
        <w:rPr>
          <w:b/>
          <w:color w:val="0B0B0B"/>
        </w:rPr>
        <w:t>Snitker, Soren</w:t>
      </w:r>
      <w:r>
        <w:rPr>
          <w:color w:val="0B0B0B"/>
        </w:rPr>
        <w:t>, (A), Associate Professor, Pediatrics, School of Medicine. PhD, University of Copenhagen,</w:t>
      </w:r>
    </w:p>
    <w:p>
      <w:pPr>
        <w:spacing w:after="0" w:line="249" w:lineRule="auto"/>
        <w:sectPr>
          <w:pgSz w:w="12240" w:h="15840"/>
          <w:pgMar w:header="746" w:footer="0" w:top="1320" w:bottom="280" w:left="880" w:right="300"/>
          <w:cols w:num="2" w:equalWidth="0">
            <w:col w:w="4975" w:space="511"/>
            <w:col w:w="5574"/>
          </w:cols>
        </w:sectPr>
      </w:pPr>
    </w:p>
    <w:p>
      <w:pPr>
        <w:pStyle w:val="BodyText"/>
        <w:spacing w:before="100"/>
      </w:pPr>
      <w:r>
        <w:rPr>
          <w:color w:val="0B0B0B"/>
        </w:rPr>
        <w:t>1998; MD, University of Copenhagen, 1988.</w:t>
      </w:r>
    </w:p>
    <w:p>
      <w:pPr>
        <w:pStyle w:val="BodyText"/>
        <w:spacing w:line="249" w:lineRule="auto" w:before="187"/>
        <w:ind w:right="90"/>
      </w:pPr>
      <w:r>
        <w:rPr>
          <w:b/>
          <w:color w:val="0B0B0B"/>
        </w:rPr>
        <w:t>Sorkin, John D.</w:t>
      </w:r>
      <w:r>
        <w:rPr>
          <w:color w:val="0B0B0B"/>
        </w:rPr>
        <w:t>, (R), Professor, Epidemiology and Public Health, </w:t>
      </w:r>
      <w:r>
        <w:rPr>
          <w:color w:val="0B0B0B"/>
          <w:spacing w:val="-3"/>
        </w:rPr>
        <w:t>School </w:t>
      </w:r>
      <w:r>
        <w:rPr>
          <w:color w:val="0B0B0B"/>
        </w:rPr>
        <w:t>of Medicine, PhD, Johns Hopkins </w:t>
      </w:r>
      <w:r>
        <w:rPr>
          <w:color w:val="0B0B0B"/>
          <w:spacing w:val="-2"/>
        </w:rPr>
        <w:t>School </w:t>
      </w:r>
      <w:r>
        <w:rPr>
          <w:color w:val="0B0B0B"/>
        </w:rPr>
        <w:t>of Hygiene and Public Health, 1999, MD, Universidad Autonoma de Guadalajara, 1984, </w:t>
      </w:r>
      <w:r>
        <w:rPr>
          <w:color w:val="0B0B0B"/>
          <w:spacing w:val="-3"/>
        </w:rPr>
        <w:t>BS, </w:t>
      </w:r>
      <w:r>
        <w:rPr>
          <w:color w:val="0B0B0B"/>
        </w:rPr>
        <w:t>Brooklyn College, 1975.</w:t>
      </w:r>
    </w:p>
    <w:p>
      <w:pPr>
        <w:pStyle w:val="BodyText"/>
        <w:spacing w:line="249" w:lineRule="auto" w:before="186"/>
        <w:ind w:right="261"/>
      </w:pPr>
      <w:r>
        <w:rPr>
          <w:b/>
          <w:color w:val="0B0B0B"/>
        </w:rPr>
        <w:t>Sowers, Kevin</w:t>
      </w:r>
      <w:r>
        <w:rPr>
          <w:color w:val="0B0B0B"/>
        </w:rPr>
        <w:t>, (A), Assistant Professor, Marine- Estuarine- Environmental Sciences, School of Medicine. PhD, Virginia Polytechnic Institute, 1994; MA, State University College of New York, 1979; BA, State University College of New York, 1976.</w:t>
      </w:r>
    </w:p>
    <w:p>
      <w:pPr>
        <w:pStyle w:val="BodyText"/>
        <w:spacing w:line="249" w:lineRule="auto" w:before="182"/>
        <w:ind w:left="199" w:right="64"/>
      </w:pPr>
      <w:r>
        <w:rPr>
          <w:b/>
          <w:color w:val="0B0B0B"/>
        </w:rPr>
        <w:t>Sparta, Dennis</w:t>
      </w:r>
      <w:r>
        <w:rPr>
          <w:color w:val="0B0B0B"/>
        </w:rPr>
        <w:t>, (A), Assistant Professor, Anatomy and Neurobiology, School of Medicine. PhD, University of North Carolina Chapel Hill, 2007; MA, 2004; BA, Rutgers University, 2002.</w:t>
      </w:r>
    </w:p>
    <w:p>
      <w:pPr>
        <w:pStyle w:val="BodyText"/>
        <w:spacing w:line="249" w:lineRule="auto"/>
        <w:ind w:left="199" w:right="68"/>
        <w:jc w:val="both"/>
      </w:pPr>
      <w:r>
        <w:rPr>
          <w:b/>
          <w:color w:val="0B0B0B"/>
        </w:rPr>
        <w:t>Stafford, Kristen</w:t>
      </w:r>
      <w:r>
        <w:rPr>
          <w:color w:val="0B0B0B"/>
        </w:rPr>
        <w:t>, (A), Assistant Professor, Epidemiology and Public Health, School of Medicine. PhD, University of Maryland, 2015; MPH, Johns Hopkins, 2014; BA, College of Notre Dame of Maryland, 1995.</w:t>
      </w:r>
    </w:p>
    <w:p>
      <w:pPr>
        <w:pStyle w:val="BodyText"/>
        <w:spacing w:line="249" w:lineRule="auto" w:before="180"/>
        <w:ind w:right="24"/>
      </w:pPr>
      <w:r>
        <w:rPr>
          <w:b/>
          <w:color w:val="0B0B0B"/>
        </w:rPr>
        <w:t>Stains, Joseph</w:t>
      </w:r>
      <w:r>
        <w:rPr>
          <w:color w:val="0B0B0B"/>
        </w:rPr>
        <w:t>, (R), Assistant Professor, Molecular Medicine, School of Medicine. PhD, Pennsylvania State University, 2000; BS, Pennsylvania State University, 1994.</w:t>
      </w:r>
    </w:p>
    <w:p>
      <w:pPr>
        <w:pStyle w:val="BodyText"/>
        <w:spacing w:line="249" w:lineRule="auto"/>
        <w:ind w:left="199" w:right="64"/>
      </w:pPr>
      <w:r>
        <w:rPr>
          <w:b/>
          <w:color w:val="0B0B0B"/>
        </w:rPr>
        <w:t>Stappert, Dina</w:t>
      </w:r>
      <w:r>
        <w:rPr>
          <w:color w:val="0B0B0B"/>
        </w:rPr>
        <w:t>, (A), Clinical Assistant Professor, Orthodontics and Pediatric Dentistry, School of Dentistry. DDS, Albert-Ludwigs University, 2006; BA, University of California, Irvine, 2001.</w:t>
      </w:r>
    </w:p>
    <w:p>
      <w:pPr>
        <w:pStyle w:val="BodyText"/>
        <w:spacing w:line="249" w:lineRule="auto" w:before="181"/>
        <w:ind w:left="199"/>
      </w:pPr>
      <w:r>
        <w:rPr>
          <w:b/>
          <w:color w:val="0B0B0B"/>
        </w:rPr>
        <w:t>Stass, Sanford</w:t>
      </w:r>
      <w:r>
        <w:rPr>
          <w:color w:val="0B0B0B"/>
        </w:rPr>
        <w:t>, (R), Professor, Medicine, School of Medicine. MD, University of Missouri, 1971; BA, University of California, 1965.</w:t>
      </w:r>
    </w:p>
    <w:p>
      <w:pPr>
        <w:pStyle w:val="BodyText"/>
        <w:spacing w:line="249" w:lineRule="auto" w:before="184"/>
        <w:ind w:left="199" w:right="215"/>
      </w:pPr>
      <w:r>
        <w:rPr>
          <w:b/>
          <w:color w:val="0B0B0B"/>
        </w:rPr>
        <w:t>Steinberg, Lisa Schwartz</w:t>
      </w:r>
      <w:r>
        <w:rPr>
          <w:color w:val="0B0B0B"/>
        </w:rPr>
        <w:t>, (A), Genetic Counselor, Human Genetics, School of Medicine. MS, University of Pittsburgh, 1992; BS, Cornell University, 1990.</w:t>
      </w:r>
    </w:p>
    <w:p>
      <w:pPr>
        <w:pStyle w:val="BodyText"/>
        <w:spacing w:line="249" w:lineRule="auto" w:before="180"/>
        <w:ind w:left="199"/>
      </w:pPr>
      <w:r>
        <w:rPr>
          <w:b/>
          <w:color w:val="0B0B0B"/>
        </w:rPr>
        <w:t>Steinberger, Eileen</w:t>
      </w:r>
      <w:r>
        <w:rPr>
          <w:color w:val="0B0B0B"/>
        </w:rPr>
        <w:t>, (A), Instructor, Epidemiology and Public Health, </w:t>
      </w:r>
      <w:r>
        <w:rPr>
          <w:color w:val="0B0B0B"/>
          <w:spacing w:val="-3"/>
        </w:rPr>
        <w:t>School </w:t>
      </w:r>
      <w:r>
        <w:rPr>
          <w:color w:val="0B0B0B"/>
        </w:rPr>
        <w:t>of Medicine. MS, University of Maryland, Baltimore, 2001; </w:t>
      </w:r>
      <w:r>
        <w:rPr>
          <w:color w:val="0B0B0B"/>
          <w:spacing w:val="-3"/>
        </w:rPr>
        <w:t>MD, </w:t>
      </w:r>
      <w:r>
        <w:rPr>
          <w:color w:val="0B0B0B"/>
        </w:rPr>
        <w:t>University </w:t>
      </w:r>
      <w:r>
        <w:rPr>
          <w:color w:val="0B0B0B"/>
          <w:spacing w:val="-3"/>
        </w:rPr>
        <w:t>of </w:t>
      </w:r>
      <w:r>
        <w:rPr>
          <w:color w:val="0B0B0B"/>
        </w:rPr>
        <w:t>Michigan, 1979; </w:t>
      </w:r>
      <w:r>
        <w:rPr>
          <w:color w:val="0B0B0B"/>
          <w:spacing w:val="-3"/>
        </w:rPr>
        <w:t>BS, </w:t>
      </w:r>
      <w:r>
        <w:rPr>
          <w:color w:val="0B0B0B"/>
        </w:rPr>
        <w:t>University of Michigan,</w:t>
      </w:r>
      <w:r>
        <w:rPr>
          <w:color w:val="0B0B0B"/>
          <w:spacing w:val="-2"/>
        </w:rPr>
        <w:t> </w:t>
      </w:r>
      <w:r>
        <w:rPr>
          <w:color w:val="0B0B0B"/>
        </w:rPr>
        <w:t>1975.</w:t>
      </w:r>
    </w:p>
    <w:p>
      <w:pPr>
        <w:pStyle w:val="BodyText"/>
        <w:spacing w:line="249" w:lineRule="auto"/>
        <w:ind w:left="199" w:right="38"/>
      </w:pPr>
      <w:r>
        <w:rPr>
          <w:b/>
          <w:color w:val="0B0B0B"/>
        </w:rPr>
        <w:t>Stephens, </w:t>
      </w:r>
      <w:r>
        <w:rPr>
          <w:b/>
          <w:color w:val="0B0B0B"/>
          <w:spacing w:val="-3"/>
        </w:rPr>
        <w:t>Sarah</w:t>
      </w:r>
      <w:r>
        <w:rPr>
          <w:color w:val="0B0B0B"/>
          <w:spacing w:val="-3"/>
        </w:rPr>
        <w:t>, </w:t>
      </w:r>
      <w:r>
        <w:rPr>
          <w:color w:val="0B0B0B"/>
        </w:rPr>
        <w:t>(A), Assistant Professor, Endocrinology Diabetes and Nutrition, </w:t>
      </w:r>
      <w:r>
        <w:rPr>
          <w:color w:val="0B0B0B"/>
          <w:spacing w:val="-2"/>
        </w:rPr>
        <w:t>School </w:t>
      </w:r>
      <w:r>
        <w:rPr>
          <w:color w:val="0B0B0B"/>
          <w:spacing w:val="-3"/>
        </w:rPr>
        <w:t>of </w:t>
      </w:r>
      <w:r>
        <w:rPr>
          <w:color w:val="0B0B0B"/>
        </w:rPr>
        <w:t>Medicine. </w:t>
      </w:r>
      <w:r>
        <w:rPr>
          <w:color w:val="0B0B0B"/>
          <w:spacing w:val="-3"/>
        </w:rPr>
        <w:t>PhD, </w:t>
      </w:r>
      <w:r>
        <w:rPr>
          <w:color w:val="0B0B0B"/>
        </w:rPr>
        <w:t>University of Florida, 2000; MS, Texas </w:t>
      </w:r>
      <w:r>
        <w:rPr>
          <w:color w:val="0B0B0B"/>
          <w:spacing w:val="-2"/>
        </w:rPr>
        <w:t>A&amp;M </w:t>
      </w:r>
      <w:r>
        <w:rPr>
          <w:color w:val="0B0B0B"/>
        </w:rPr>
        <w:t>University, 2003; </w:t>
      </w:r>
      <w:r>
        <w:rPr>
          <w:color w:val="0B0B0B"/>
          <w:spacing w:val="-3"/>
        </w:rPr>
        <w:t>BS, </w:t>
      </w:r>
      <w:r>
        <w:rPr>
          <w:color w:val="0B0B0B"/>
        </w:rPr>
        <w:t>University of Colorado,</w:t>
      </w:r>
      <w:r>
        <w:rPr>
          <w:color w:val="0B0B0B"/>
          <w:spacing w:val="-2"/>
        </w:rPr>
        <w:t> </w:t>
      </w:r>
      <w:r>
        <w:rPr>
          <w:color w:val="0B0B0B"/>
        </w:rPr>
        <w:t>2008.</w:t>
      </w:r>
    </w:p>
    <w:p>
      <w:pPr>
        <w:pStyle w:val="BodyText"/>
        <w:spacing w:line="249" w:lineRule="auto" w:before="181"/>
        <w:ind w:left="199" w:right="559"/>
      </w:pPr>
      <w:r>
        <w:rPr>
          <w:b/>
          <w:color w:val="0B0B0B"/>
        </w:rPr>
        <w:t>Stinchcomb, Audra</w:t>
      </w:r>
      <w:r>
        <w:rPr>
          <w:color w:val="0B0B0B"/>
        </w:rPr>
        <w:t>, (R), Professor, Pharmaceutical Sciences, School of Pharmacy. PhD, University of Michigan, 1995; BS, University of Colorado, 1989.</w:t>
      </w:r>
    </w:p>
    <w:p>
      <w:pPr>
        <w:spacing w:before="184"/>
        <w:ind w:left="199" w:right="0" w:firstLine="0"/>
        <w:jc w:val="left"/>
        <w:rPr>
          <w:sz w:val="20"/>
        </w:rPr>
      </w:pPr>
      <w:r>
        <w:rPr>
          <w:b/>
          <w:color w:val="0B0B0B"/>
          <w:sz w:val="20"/>
        </w:rPr>
        <w:t>Stine, O. Colin</w:t>
      </w:r>
      <w:r>
        <w:rPr>
          <w:color w:val="0B0B0B"/>
          <w:sz w:val="20"/>
        </w:rPr>
        <w:t>, (R), Professor, Epidemiology and Public</w:t>
      </w:r>
    </w:p>
    <w:p>
      <w:pPr>
        <w:pStyle w:val="BodyText"/>
        <w:spacing w:line="249" w:lineRule="auto" w:before="96"/>
        <w:ind w:right="773"/>
        <w:jc w:val="both"/>
      </w:pPr>
      <w:r>
        <w:rPr/>
        <w:br w:type="column"/>
      </w:r>
      <w:r>
        <w:rPr>
          <w:color w:val="0B0B0B"/>
        </w:rPr>
        <w:t>Health, School of Medicine. PhD, University of Virginia, 1986; MS, University of Virginia, 1983; BA, Kalamazoo College, 1976.</w:t>
      </w:r>
    </w:p>
    <w:p>
      <w:pPr>
        <w:pStyle w:val="BodyText"/>
        <w:spacing w:line="249" w:lineRule="auto" w:before="180"/>
        <w:ind w:right="703"/>
      </w:pPr>
      <w:r>
        <w:rPr>
          <w:b/>
          <w:color w:val="0B0B0B"/>
        </w:rPr>
        <w:t>Stone, Maureen</w:t>
      </w:r>
      <w:r>
        <w:rPr>
          <w:color w:val="0B0B0B"/>
        </w:rPr>
        <w:t>, (R), Professor, Oral and Craniofacial Biological Sciences, School of Dentistry. PhD, University of Maryland, 1979; MS, Boston University, 1971; BA, City University of New York, 1969.</w:t>
      </w:r>
    </w:p>
    <w:p>
      <w:pPr>
        <w:pStyle w:val="BodyText"/>
        <w:spacing w:line="249" w:lineRule="auto"/>
        <w:ind w:left="199" w:right="626"/>
      </w:pPr>
      <w:r>
        <w:rPr>
          <w:b/>
          <w:color w:val="0B0B0B"/>
        </w:rPr>
        <w:t>Storr, Carla, (R)</w:t>
      </w:r>
      <w:r>
        <w:rPr>
          <w:color w:val="0B0B0B"/>
        </w:rPr>
        <w:t>, Professor, Family and Community Health, </w:t>
      </w:r>
      <w:r>
        <w:rPr>
          <w:color w:val="0B0B0B"/>
          <w:spacing w:val="-3"/>
        </w:rPr>
        <w:t>School </w:t>
      </w:r>
      <w:r>
        <w:rPr>
          <w:color w:val="0B0B0B"/>
        </w:rPr>
        <w:t>of Nursing. ScD, Johns Hopkins University, 1998; </w:t>
      </w:r>
      <w:r>
        <w:rPr>
          <w:color w:val="0B0B0B"/>
          <w:spacing w:val="-3"/>
        </w:rPr>
        <w:t>MPH, </w:t>
      </w:r>
      <w:r>
        <w:rPr>
          <w:color w:val="0B0B0B"/>
        </w:rPr>
        <w:t>University of South Florida, 1986; </w:t>
      </w:r>
      <w:r>
        <w:rPr>
          <w:color w:val="0B0B0B"/>
          <w:spacing w:val="-3"/>
        </w:rPr>
        <w:t>BS, </w:t>
      </w:r>
      <w:r>
        <w:rPr>
          <w:color w:val="0B0B0B"/>
        </w:rPr>
        <w:t>University of South Florida,</w:t>
      </w:r>
      <w:r>
        <w:rPr>
          <w:color w:val="0B0B0B"/>
          <w:spacing w:val="5"/>
        </w:rPr>
        <w:t> </w:t>
      </w:r>
      <w:r>
        <w:rPr>
          <w:color w:val="0B0B0B"/>
        </w:rPr>
        <w:t>1980.</w:t>
      </w:r>
    </w:p>
    <w:p>
      <w:pPr>
        <w:pStyle w:val="BodyText"/>
        <w:spacing w:line="249" w:lineRule="auto" w:before="181"/>
        <w:ind w:left="199" w:right="628"/>
      </w:pPr>
      <w:r>
        <w:rPr>
          <w:b/>
          <w:color w:val="0B0B0B"/>
        </w:rPr>
        <w:t>Strassler, Howard</w:t>
      </w:r>
      <w:r>
        <w:rPr>
          <w:color w:val="0B0B0B"/>
        </w:rPr>
        <w:t>, (A), Professor, Restorative Dentistry, School of Dentistry. DMD, University of Pennsylvania, 1975; BS, State University of New York, 1971.</w:t>
      </w:r>
    </w:p>
    <w:p>
      <w:pPr>
        <w:pStyle w:val="BodyText"/>
        <w:spacing w:line="249" w:lineRule="auto" w:before="184"/>
        <w:ind w:right="628"/>
      </w:pPr>
      <w:r>
        <w:rPr>
          <w:b/>
          <w:color w:val="0B0B0B"/>
        </w:rPr>
        <w:t>Streeten, Elizabeth A.</w:t>
      </w:r>
      <w:r>
        <w:rPr>
          <w:color w:val="0B0B0B"/>
        </w:rPr>
        <w:t>, (A), Associate Professor, Epidemiology and Human Genetics, School of Medicine. MD, Albany Medical College, 1982; BA, Mount Holyoke, 1978.</w:t>
      </w:r>
    </w:p>
    <w:p>
      <w:pPr>
        <w:pStyle w:val="BodyText"/>
        <w:spacing w:line="249" w:lineRule="auto" w:before="181"/>
        <w:ind w:right="1131"/>
      </w:pPr>
      <w:r>
        <w:rPr>
          <w:b/>
          <w:color w:val="0B0B0B"/>
        </w:rPr>
        <w:t>Strickland, Dudley</w:t>
      </w:r>
      <w:r>
        <w:rPr>
          <w:color w:val="0B0B0B"/>
        </w:rPr>
        <w:t>, (R), Professor, Department of Physiology, School of Medicine. PhD, University of Kansas, 1978; BS, Bethany Nazarene College, 1973.</w:t>
      </w:r>
    </w:p>
    <w:p>
      <w:pPr>
        <w:pStyle w:val="BodyText"/>
        <w:spacing w:line="249" w:lineRule="auto" w:before="184"/>
        <w:ind w:right="864"/>
      </w:pPr>
      <w:r>
        <w:rPr>
          <w:b/>
          <w:color w:val="0B0B0B"/>
        </w:rPr>
        <w:t>Strieder, Frederick</w:t>
      </w:r>
      <w:r>
        <w:rPr>
          <w:color w:val="0B0B0B"/>
        </w:rPr>
        <w:t>, (A), Clinical Associate Professor, School of Social Work. PhD, University of Maryland, 1990; MS, Case Western Reserve University, 1977; BS, Gannon University, 1971.</w:t>
      </w:r>
    </w:p>
    <w:p>
      <w:pPr>
        <w:pStyle w:val="BodyText"/>
        <w:spacing w:line="249" w:lineRule="auto" w:before="181"/>
        <w:ind w:right="809"/>
      </w:pPr>
      <w:r>
        <w:rPr>
          <w:b/>
          <w:color w:val="0B0B0B"/>
        </w:rPr>
        <w:t>Strome, Scott</w:t>
      </w:r>
      <w:r>
        <w:rPr>
          <w:color w:val="0B0B0B"/>
        </w:rPr>
        <w:t>, (A), Chairman, Department of Otorhinolaryngology, School of Medicine. MD, Harvard Medical School, 1991; BS, Dartmouth College, 1987.</w:t>
      </w:r>
    </w:p>
    <w:p>
      <w:pPr>
        <w:pStyle w:val="BodyText"/>
        <w:spacing w:line="249" w:lineRule="auto" w:before="184"/>
        <w:ind w:right="748"/>
      </w:pPr>
      <w:r>
        <w:rPr>
          <w:b/>
          <w:color w:val="0B0B0B"/>
        </w:rPr>
        <w:t>Strovel, Erin</w:t>
      </w:r>
      <w:r>
        <w:rPr>
          <w:color w:val="0B0B0B"/>
        </w:rPr>
        <w:t>, (A), Assistant Professor, Human Genetics, School of Medicine. PhD, University of Maryland, Baltimore; BS, Western Maryland College, 1993.</w:t>
      </w:r>
    </w:p>
    <w:p>
      <w:pPr>
        <w:pStyle w:val="BodyText"/>
        <w:spacing w:line="249" w:lineRule="auto" w:before="180"/>
        <w:ind w:right="648"/>
      </w:pPr>
      <w:r>
        <w:rPr>
          <w:b/>
          <w:color w:val="0B0B0B"/>
        </w:rPr>
        <w:t>Stuart, Bruce</w:t>
      </w:r>
      <w:r>
        <w:rPr>
          <w:color w:val="0B0B0B"/>
        </w:rPr>
        <w:t>, (R), Professor, Pharmaceutical Health Services Research, School of Pharmacy. PhD, Washington State University, 1970; MA, Washington State University, 1968; BA, Whitman College, 1965.</w:t>
      </w:r>
    </w:p>
    <w:p>
      <w:pPr>
        <w:spacing w:line="249" w:lineRule="auto" w:before="186"/>
        <w:ind w:left="200" w:right="1625" w:firstLine="0"/>
        <w:jc w:val="left"/>
        <w:rPr>
          <w:sz w:val="20"/>
        </w:rPr>
      </w:pPr>
      <w:r>
        <w:rPr>
          <w:b/>
          <w:color w:val="0B0B0B"/>
          <w:sz w:val="20"/>
        </w:rPr>
        <w:t>Summers, Michael</w:t>
      </w:r>
      <w:r>
        <w:rPr>
          <w:color w:val="0B0B0B"/>
          <w:sz w:val="20"/>
        </w:rPr>
        <w:t>, Professor, Chemistry and Biochemistry, School of Medicine.</w:t>
      </w:r>
    </w:p>
    <w:p>
      <w:pPr>
        <w:pStyle w:val="BodyText"/>
        <w:spacing w:line="249" w:lineRule="auto" w:before="179"/>
        <w:ind w:right="969"/>
      </w:pPr>
      <w:r>
        <w:rPr>
          <w:b/>
          <w:color w:val="0B0B0B"/>
        </w:rPr>
        <w:t>Sun, Chen-Chih</w:t>
      </w:r>
      <w:r>
        <w:rPr>
          <w:color w:val="0B0B0B"/>
        </w:rPr>
        <w:t>, (R), Professor, Pathology, School of Medicine. MD, National Taiwan University, 1970.</w:t>
      </w:r>
    </w:p>
    <w:p>
      <w:pPr>
        <w:pStyle w:val="BodyText"/>
        <w:spacing w:line="249" w:lineRule="auto" w:before="184"/>
        <w:ind w:right="1081"/>
      </w:pPr>
      <w:r>
        <w:rPr>
          <w:b/>
          <w:color w:val="0B0B0B"/>
        </w:rPr>
        <w:t>Sundberg, Eric J.</w:t>
      </w:r>
      <w:r>
        <w:rPr>
          <w:color w:val="0B0B0B"/>
        </w:rPr>
        <w:t>, (A), Professor, Microbiology and Virology, School of Medicine. PhD, Northwestern University, 1999; BS, University of Rochester, 1994.</w:t>
      </w:r>
    </w:p>
    <w:p>
      <w:pPr>
        <w:spacing w:before="179"/>
        <w:ind w:left="200" w:right="0" w:firstLine="0"/>
        <w:jc w:val="left"/>
        <w:rPr>
          <w:sz w:val="20"/>
        </w:rPr>
      </w:pPr>
      <w:r>
        <w:rPr>
          <w:b/>
          <w:color w:val="0B0B0B"/>
          <w:sz w:val="20"/>
        </w:rPr>
        <w:t>Swaan, Peter W.</w:t>
      </w:r>
      <w:r>
        <w:rPr>
          <w:color w:val="0B0B0B"/>
          <w:sz w:val="20"/>
        </w:rPr>
        <w:t>, (R), Professor, Pharmaceutical</w:t>
      </w:r>
    </w:p>
    <w:p>
      <w:pPr>
        <w:spacing w:after="0"/>
        <w:jc w:val="left"/>
        <w:rPr>
          <w:sz w:val="20"/>
        </w:rPr>
        <w:sectPr>
          <w:pgSz w:w="12240" w:h="15840"/>
          <w:pgMar w:header="746" w:footer="0" w:top="1320" w:bottom="280" w:left="880" w:right="300"/>
          <w:cols w:num="2" w:equalWidth="0">
            <w:col w:w="5000" w:space="487"/>
            <w:col w:w="5573"/>
          </w:cols>
        </w:sectPr>
      </w:pPr>
    </w:p>
    <w:p>
      <w:pPr>
        <w:pStyle w:val="BodyText"/>
        <w:spacing w:line="249" w:lineRule="auto" w:before="100"/>
        <w:ind w:right="46"/>
      </w:pPr>
      <w:r>
        <w:rPr>
          <w:color w:val="0B0B0B"/>
        </w:rPr>
        <w:t>Sciences, School of Pharmacy. PhD, University of Utrecht, 1993; MS, University of Utrecht, 1989.</w:t>
      </w:r>
    </w:p>
    <w:p>
      <w:pPr>
        <w:pStyle w:val="BodyText"/>
        <w:spacing w:line="249" w:lineRule="auto" w:before="179"/>
        <w:ind w:left="199" w:right="24"/>
      </w:pPr>
      <w:r>
        <w:rPr>
          <w:b/>
          <w:color w:val="0B0B0B"/>
        </w:rPr>
        <w:t>Swanberg, Jennifer</w:t>
      </w:r>
      <w:r>
        <w:rPr>
          <w:color w:val="0B0B0B"/>
        </w:rPr>
        <w:t>, (R), Professor, School of Social Work. PhD, Brandeis University, 1997; MMHS, Brandeis University, 1991; BS, University of New Hampshire, 1984.</w:t>
      </w:r>
    </w:p>
    <w:p>
      <w:pPr>
        <w:pStyle w:val="BodyText"/>
        <w:spacing w:line="249" w:lineRule="auto" w:before="184"/>
        <w:ind w:right="134"/>
      </w:pPr>
      <w:r>
        <w:rPr>
          <w:b/>
          <w:color w:val="0B0B0B"/>
        </w:rPr>
        <w:t>Sweet, Michael, </w:t>
      </w:r>
      <w:r>
        <w:rPr>
          <w:color w:val="0B0B0B"/>
        </w:rPr>
        <w:t>(A), Adjunct Assistant Professor, Graduate School. BA, University of Redlands, 1992; MA, University of California, Davis, 1994; PhD, University of Texas, Austin, 2008.</w:t>
      </w:r>
    </w:p>
    <w:p>
      <w:pPr>
        <w:pStyle w:val="BodyText"/>
        <w:spacing w:line="249" w:lineRule="auto" w:before="181"/>
        <w:ind w:right="301"/>
      </w:pPr>
      <w:r>
        <w:rPr>
          <w:b/>
          <w:color w:val="0B0B0B"/>
        </w:rPr>
        <w:t>Sydiskis, Robert</w:t>
      </w:r>
      <w:r>
        <w:rPr>
          <w:color w:val="0B0B0B"/>
        </w:rPr>
        <w:t>, (R), Associate Professor, Oral and Craniofacial Biological Sciences, School of Dentistry. PhD, Northwestern University, 1965; BA, University of Bridgeport, 1961.</w:t>
      </w:r>
    </w:p>
    <w:p>
      <w:pPr>
        <w:pStyle w:val="BodyText"/>
        <w:spacing w:line="249" w:lineRule="auto"/>
        <w:ind w:left="199" w:right="191"/>
      </w:pPr>
      <w:r>
        <w:rPr>
          <w:b/>
          <w:color w:val="0B0B0B"/>
        </w:rPr>
        <w:t>Syme, Sheryl</w:t>
      </w:r>
      <w:r>
        <w:rPr>
          <w:color w:val="0B0B0B"/>
        </w:rPr>
        <w:t>, (A), Associate Professor, Dental Hygiene, School of Dentistry. MS, University of Maryland, 1993; BS, University of Maryland, 1988.</w:t>
      </w:r>
    </w:p>
    <w:p>
      <w:pPr>
        <w:pStyle w:val="BodyText"/>
        <w:spacing w:line="249" w:lineRule="auto" w:before="180"/>
      </w:pPr>
      <w:r>
        <w:rPr>
          <w:b/>
          <w:color w:val="0B0B0B"/>
        </w:rPr>
        <w:t>Sztein, Marcelo</w:t>
      </w:r>
      <w:r>
        <w:rPr>
          <w:color w:val="0B0B0B"/>
        </w:rPr>
        <w:t>, (R), Professor, Pediatrics, School of Medicine. MD, University of Buenos Aires, 1976.</w:t>
      </w:r>
    </w:p>
    <w:p>
      <w:pPr>
        <w:pStyle w:val="BodyText"/>
        <w:spacing w:line="249" w:lineRule="auto" w:before="184"/>
        <w:ind w:left="199" w:right="146"/>
      </w:pPr>
      <w:r>
        <w:rPr>
          <w:b/>
          <w:color w:val="0B0B0B"/>
        </w:rPr>
        <w:t>Tagamets, Malle A.</w:t>
      </w:r>
      <w:r>
        <w:rPr>
          <w:color w:val="0B0B0B"/>
        </w:rPr>
        <w:t>, (A), Assistant Professor, Neuroscience, School of Medicine. PhD, University of Maryland, 1994; MS, University of Maryland, 1988; MA, University of Maryland, 1984.</w:t>
      </w:r>
    </w:p>
    <w:p>
      <w:pPr>
        <w:pStyle w:val="BodyText"/>
        <w:spacing w:line="249" w:lineRule="auto" w:before="180"/>
        <w:ind w:left="199" w:right="107"/>
      </w:pPr>
      <w:r>
        <w:rPr>
          <w:b/>
          <w:color w:val="0B0B0B"/>
        </w:rPr>
        <w:t>Tan, Ming</w:t>
      </w:r>
      <w:r>
        <w:rPr>
          <w:color w:val="0B0B0B"/>
        </w:rPr>
        <w:t>, (A), Adjunct Professor, Epidemiology and Public Health, School of Medicine. PhD, Purdue University, 1990; MS, Central China Norman University, 1986; BS, Wuhan University, 1982.</w:t>
      </w:r>
    </w:p>
    <w:p>
      <w:pPr>
        <w:pStyle w:val="BodyText"/>
        <w:spacing w:line="249" w:lineRule="auto" w:before="186"/>
        <w:ind w:left="199" w:right="107"/>
      </w:pPr>
      <w:r>
        <w:rPr>
          <w:b/>
          <w:color w:val="0B0B0B"/>
        </w:rPr>
        <w:t>Tanaka, Kenichi</w:t>
      </w:r>
      <w:r>
        <w:rPr>
          <w:color w:val="0B0B0B"/>
        </w:rPr>
        <w:t>, (A), Professor, Anesthesiology, School of Medicine. MSc, Emory University, 2006; MD, Keio University, 1992.</w:t>
      </w:r>
    </w:p>
    <w:p>
      <w:pPr>
        <w:pStyle w:val="BodyText"/>
        <w:spacing w:line="249" w:lineRule="auto" w:before="180"/>
        <w:ind w:left="199" w:right="424"/>
      </w:pPr>
      <w:r>
        <w:rPr>
          <w:b/>
          <w:color w:val="0B0B0B"/>
        </w:rPr>
        <w:t>Tang, Cha-Min</w:t>
      </w:r>
      <w:r>
        <w:rPr>
          <w:color w:val="0B0B0B"/>
        </w:rPr>
        <w:t>, (A), Assistant Professor, Neurology, School of Medicine. PhD, University of Pennsylvania, 1982; MD, University of Pennsylvania, 1981; MS, Massachusetts Institute of Technology, 1975.</w:t>
      </w:r>
    </w:p>
    <w:p>
      <w:pPr>
        <w:pStyle w:val="BodyText"/>
        <w:spacing w:line="249" w:lineRule="auto"/>
        <w:ind w:left="199" w:right="35"/>
      </w:pPr>
      <w:r>
        <w:rPr>
          <w:b/>
          <w:color w:val="0B0B0B"/>
        </w:rPr>
        <w:t>Tarzian, Anita, </w:t>
      </w:r>
      <w:r>
        <w:rPr>
          <w:color w:val="0B0B0B"/>
        </w:rPr>
        <w:t>(A), Associate Professor, Family and Community Health, School of Nursing. BA, Knox College, 1984; BSN, Rush University, 1986; MS, University of Maryland Baltimore, 1995; PhD, 1998.</w:t>
      </w:r>
    </w:p>
    <w:p>
      <w:pPr>
        <w:pStyle w:val="BodyText"/>
        <w:spacing w:line="249" w:lineRule="auto" w:before="180"/>
        <w:ind w:left="199" w:right="408"/>
      </w:pPr>
      <w:r>
        <w:rPr>
          <w:b/>
          <w:color w:val="0B0B0B"/>
        </w:rPr>
        <w:t>Taylor, Simeon</w:t>
      </w:r>
      <w:r>
        <w:rPr>
          <w:color w:val="0B0B0B"/>
        </w:rPr>
        <w:t>, (R), Professor, Medicine, School of Medicine. MD, Harvard Medical School, 1976; PhD, Harvard University, 1974; BS, Harvard College, 1969.</w:t>
      </w:r>
    </w:p>
    <w:p>
      <w:pPr>
        <w:pStyle w:val="BodyText"/>
        <w:spacing w:line="249" w:lineRule="auto"/>
        <w:ind w:right="34"/>
      </w:pPr>
      <w:r>
        <w:rPr>
          <w:b/>
          <w:color w:val="0B0B0B"/>
        </w:rPr>
        <w:t>Tennant, Sharon</w:t>
      </w:r>
      <w:r>
        <w:rPr>
          <w:color w:val="0B0B0B"/>
        </w:rPr>
        <w:t>, (A), Microbiology, School of Medicine. PhD, University of Melbourne; 2005, BSc, University of Melbourne, 1999.</w:t>
      </w:r>
    </w:p>
    <w:p>
      <w:pPr>
        <w:pStyle w:val="BodyText"/>
        <w:spacing w:line="249" w:lineRule="auto" w:before="96"/>
        <w:ind w:left="199" w:right="672"/>
      </w:pPr>
      <w:r>
        <w:rPr/>
        <w:br w:type="column"/>
      </w:r>
      <w:r>
        <w:rPr>
          <w:b/>
          <w:color w:val="0B0B0B"/>
        </w:rPr>
        <w:t>Terplan, Mishka</w:t>
      </w:r>
      <w:r>
        <w:rPr>
          <w:color w:val="0B0B0B"/>
        </w:rPr>
        <w:t>, (R), Obstetrics Gynecology, School of Medicine. MPH, University of North Carolina, 2006; MD, University of California, San Francisco, 2000; BA, University of Chicago, 1991.</w:t>
      </w:r>
    </w:p>
    <w:p>
      <w:pPr>
        <w:pStyle w:val="BodyText"/>
        <w:spacing w:line="249" w:lineRule="auto" w:before="181"/>
        <w:ind w:left="199" w:right="644"/>
      </w:pPr>
      <w:r>
        <w:rPr>
          <w:b/>
          <w:color w:val="0B0B0B"/>
        </w:rPr>
        <w:t>Terrin, Michael</w:t>
      </w:r>
      <w:r>
        <w:rPr>
          <w:color w:val="0B0B0B"/>
        </w:rPr>
        <w:t>, (R), Professor, Epidemiology and Public Health, School of Medicine. MPH, Johns Hopkins University, 1980; MD, CM, McGill University, 1974; BA, Brown University, 1970.</w:t>
      </w:r>
    </w:p>
    <w:p>
      <w:pPr>
        <w:pStyle w:val="BodyText"/>
        <w:spacing w:line="249" w:lineRule="auto"/>
        <w:ind w:left="199" w:right="717"/>
      </w:pPr>
      <w:r>
        <w:rPr>
          <w:b/>
          <w:color w:val="0B0B0B"/>
        </w:rPr>
        <w:t>Tettelin, Hervre</w:t>
      </w:r>
      <w:r>
        <w:rPr>
          <w:color w:val="0B0B0B"/>
        </w:rPr>
        <w:t>, (A), Associate Professor, Microbiology and Immunology, School of Medicine. PhD, Catholic University of Louvain, Belgium, 1997; BSc, Catholic University of Louvain, Belgium, 1992.</w:t>
      </w:r>
    </w:p>
    <w:p>
      <w:pPr>
        <w:pStyle w:val="BodyText"/>
        <w:spacing w:line="249" w:lineRule="auto" w:before="180"/>
        <w:ind w:left="199" w:right="722"/>
      </w:pPr>
      <w:r>
        <w:rPr>
          <w:b/>
          <w:color w:val="0B0B0B"/>
        </w:rPr>
        <w:t>Thaker, Gunvant</w:t>
      </w:r>
      <w:r>
        <w:rPr>
          <w:color w:val="0B0B0B"/>
        </w:rPr>
        <w:t>, (A), Associate Professor, Psychiatry, School of Medicine. MD, Baroda University, India, 1978.</w:t>
      </w:r>
    </w:p>
    <w:p>
      <w:pPr>
        <w:pStyle w:val="BodyText"/>
        <w:spacing w:line="249" w:lineRule="auto" w:before="184"/>
        <w:ind w:left="199" w:right="666"/>
      </w:pPr>
      <w:r>
        <w:rPr>
          <w:b/>
          <w:color w:val="0B0B0B"/>
        </w:rPr>
        <w:t>Thompson, Loren</w:t>
      </w:r>
      <w:r>
        <w:rPr>
          <w:color w:val="0B0B0B"/>
        </w:rPr>
        <w:t>, (R), Associate Professor, Obstetrics, School of Medicine. PhD, Michigan State University, 1984; MS, University of Minnesota, 1979; BA, Augustana College, 1977.</w:t>
      </w:r>
    </w:p>
    <w:p>
      <w:pPr>
        <w:pStyle w:val="BodyText"/>
        <w:spacing w:line="249" w:lineRule="auto" w:before="181"/>
        <w:ind w:left="199" w:right="644"/>
      </w:pPr>
      <w:r>
        <w:rPr>
          <w:b/>
          <w:color w:val="0B0B0B"/>
        </w:rPr>
        <w:t>Thompson, Richard</w:t>
      </w:r>
      <w:r>
        <w:rPr>
          <w:color w:val="0B0B0B"/>
        </w:rPr>
        <w:t>, (R), Associate Professor, Biochemistry and Molecular Biology, School of Medicine. PhD, University of Illinois, 1981; BA, Northwestern University, 1975.</w:t>
      </w:r>
    </w:p>
    <w:p>
      <w:pPr>
        <w:pStyle w:val="BodyText"/>
        <w:spacing w:line="249" w:lineRule="auto"/>
        <w:ind w:left="199" w:right="738"/>
      </w:pPr>
      <w:r>
        <w:rPr>
          <w:b/>
          <w:color w:val="0B0B0B"/>
        </w:rPr>
        <w:t>Thompson, Scott</w:t>
      </w:r>
      <w:r>
        <w:rPr>
          <w:color w:val="0B0B0B"/>
        </w:rPr>
        <w:t>, (R), Associate Professor, Physiology, School of Medicine. PhD, Stanford University, 1986; BS, Cornell University, 1979.</w:t>
      </w:r>
    </w:p>
    <w:p>
      <w:pPr>
        <w:pStyle w:val="BodyText"/>
        <w:spacing w:line="249" w:lineRule="auto" w:before="180"/>
        <w:ind w:left="199" w:right="651"/>
        <w:jc w:val="both"/>
      </w:pPr>
      <w:r>
        <w:rPr>
          <w:b/>
          <w:color w:val="0B0B0B"/>
        </w:rPr>
        <w:t>Thrasher, Terry</w:t>
      </w:r>
      <w:r>
        <w:rPr>
          <w:color w:val="0B0B0B"/>
        </w:rPr>
        <w:t>, (R), Professor, Surgery and Physiology, School of Medicine. PhD, University of Florida, 1976; BS, Eckerd College, 1971.</w:t>
      </w:r>
    </w:p>
    <w:p>
      <w:pPr>
        <w:pStyle w:val="BodyText"/>
        <w:spacing w:line="249" w:lineRule="auto"/>
        <w:ind w:left="199" w:right="639"/>
      </w:pPr>
      <w:r>
        <w:rPr>
          <w:b/>
          <w:color w:val="0B0B0B"/>
        </w:rPr>
        <w:t>Tice, Carolyn J.</w:t>
      </w:r>
      <w:r>
        <w:rPr>
          <w:color w:val="0B0B0B"/>
        </w:rPr>
        <w:t>, (R), Associate Dean, UMBC, School of Social Work. MSW, Temple University, 1976; MSW, Temple University, 1976; BSW, West Virginia University, 1973.</w:t>
      </w:r>
    </w:p>
    <w:p>
      <w:pPr>
        <w:pStyle w:val="BodyText"/>
        <w:spacing w:line="249" w:lineRule="auto" w:before="180"/>
        <w:ind w:left="199" w:right="744"/>
      </w:pPr>
      <w:r>
        <w:rPr>
          <w:b/>
          <w:color w:val="0B0B0B"/>
        </w:rPr>
        <w:t>Tinanoff, Norman</w:t>
      </w:r>
      <w:r>
        <w:rPr>
          <w:color w:val="0B0B0B"/>
        </w:rPr>
        <w:t>, (A), Professor, Pediatric Dentistry, School of Dentistry. DDS, University of Maryland, 1971; DDS, University of Maryland, 1971; BA, Gettysburg College, 1967.</w:t>
      </w:r>
    </w:p>
    <w:p>
      <w:pPr>
        <w:pStyle w:val="BodyText"/>
        <w:spacing w:line="249" w:lineRule="auto"/>
        <w:ind w:left="199" w:right="611"/>
      </w:pPr>
      <w:r>
        <w:rPr>
          <w:b/>
          <w:color w:val="0B0B0B"/>
        </w:rPr>
        <w:t>Ting, Laura</w:t>
      </w:r>
      <w:r>
        <w:rPr>
          <w:color w:val="0B0B0B"/>
        </w:rPr>
        <w:t>, (R), Associate Professor, School of Social Work. PhD, University of Maryland, Baltimore, 2003; MS, Columbia University, 1989, AB, Columbia University, 1987.</w:t>
      </w:r>
    </w:p>
    <w:p>
      <w:pPr>
        <w:pStyle w:val="BodyText"/>
        <w:spacing w:line="249" w:lineRule="auto" w:before="181"/>
        <w:ind w:left="199" w:right="610"/>
      </w:pPr>
      <w:r>
        <w:rPr>
          <w:b/>
          <w:color w:val="0B0B0B"/>
        </w:rPr>
        <w:t>Tolba, Mostafa</w:t>
      </w:r>
      <w:r>
        <w:rPr>
          <w:color w:val="0B0B0B"/>
        </w:rPr>
        <w:t>, (A), Clinical Assistant Professor, Health Promotion and Policy, School of Dentistry. MS, University of Maryland, Baltimore, 1987; BDS, Alexandria University, 1979.</w:t>
      </w:r>
    </w:p>
    <w:p>
      <w:pPr>
        <w:spacing w:after="0" w:line="249" w:lineRule="auto"/>
        <w:sectPr>
          <w:pgSz w:w="12240" w:h="15840"/>
          <w:pgMar w:header="746" w:footer="0" w:top="1320" w:bottom="280" w:left="880" w:right="300"/>
          <w:cols w:num="2" w:equalWidth="0">
            <w:col w:w="5004" w:space="482"/>
            <w:col w:w="5574"/>
          </w:cols>
        </w:sectPr>
      </w:pPr>
    </w:p>
    <w:p>
      <w:pPr>
        <w:pStyle w:val="BodyText"/>
        <w:spacing w:line="249" w:lineRule="auto" w:before="100"/>
        <w:ind w:right="154"/>
      </w:pPr>
      <w:r>
        <w:rPr>
          <w:b/>
          <w:color w:val="0B0B0B"/>
        </w:rPr>
        <w:t>Tom, Sarah</w:t>
      </w:r>
      <w:r>
        <w:rPr>
          <w:color w:val="0B0B0B"/>
        </w:rPr>
        <w:t>, (R), Assistant Professor, Pharmaceutical Health Services Research, School of Pharmacy. MPH, University of California, Berkeley, 2004; MA, University of California, Berkeley, 2003; BS, University of California, Berkeley, 2002.</w:t>
      </w:r>
    </w:p>
    <w:p>
      <w:pPr>
        <w:pStyle w:val="BodyText"/>
        <w:spacing w:line="249" w:lineRule="auto" w:before="181"/>
        <w:ind w:right="192"/>
      </w:pPr>
      <w:r>
        <w:rPr>
          <w:b/>
          <w:color w:val="0B0B0B"/>
        </w:rPr>
        <w:t>Tomkinson, Alan E.</w:t>
      </w:r>
      <w:r>
        <w:rPr>
          <w:color w:val="0B0B0B"/>
        </w:rPr>
        <w:t>, (R), Professor, Molecular and Cell Biology, School of Medicine. PhD, University of New Castle, 1983; BSC, University of New Castle, 1979.</w:t>
      </w:r>
    </w:p>
    <w:p>
      <w:pPr>
        <w:pStyle w:val="BodyText"/>
        <w:spacing w:line="249" w:lineRule="auto"/>
        <w:ind w:right="175"/>
      </w:pPr>
      <w:r>
        <w:rPr>
          <w:b/>
          <w:color w:val="0B0B0B"/>
        </w:rPr>
        <w:t>Tonelli, Leonardo</w:t>
      </w:r>
      <w:r>
        <w:rPr>
          <w:color w:val="0B0B0B"/>
        </w:rPr>
        <w:t>, (A), Assistant Professor, Department of Psychiatry, School of Medicine. PhD, Cordoba University, 1997; BS/MS, Cordoba University, 1991.</w:t>
      </w:r>
    </w:p>
    <w:p>
      <w:pPr>
        <w:pStyle w:val="BodyText"/>
        <w:spacing w:line="249" w:lineRule="auto" w:before="179"/>
        <w:ind w:right="175"/>
        <w:jc w:val="both"/>
      </w:pPr>
      <w:r>
        <w:rPr>
          <w:b/>
          <w:color w:val="0B0B0B"/>
        </w:rPr>
        <w:t>Tordik, Patricia</w:t>
      </w:r>
      <w:r>
        <w:rPr>
          <w:color w:val="0B0B0B"/>
        </w:rPr>
        <w:t>, (R), Professor, Endodontics, </w:t>
      </w:r>
      <w:r>
        <w:rPr>
          <w:color w:val="0B0B0B"/>
          <w:spacing w:val="-2"/>
        </w:rPr>
        <w:t>School </w:t>
      </w:r>
      <w:r>
        <w:rPr>
          <w:color w:val="0B0B0B"/>
          <w:spacing w:val="-5"/>
        </w:rPr>
        <w:t>of </w:t>
      </w:r>
      <w:r>
        <w:rPr>
          <w:color w:val="0B0B0B"/>
        </w:rPr>
        <w:t>Dentistry. DMD, University of Medicine and Dentistry</w:t>
      </w:r>
      <w:r>
        <w:rPr>
          <w:color w:val="0B0B0B"/>
          <w:spacing w:val="-27"/>
        </w:rPr>
        <w:t> </w:t>
      </w:r>
      <w:r>
        <w:rPr>
          <w:color w:val="0B0B0B"/>
        </w:rPr>
        <w:t>in New Jersey, 1990; </w:t>
      </w:r>
      <w:r>
        <w:rPr>
          <w:color w:val="0B0B0B"/>
          <w:spacing w:val="-3"/>
        </w:rPr>
        <w:t>BS, </w:t>
      </w:r>
      <w:r>
        <w:rPr>
          <w:color w:val="0B0B0B"/>
        </w:rPr>
        <w:t>Drew University,</w:t>
      </w:r>
      <w:r>
        <w:rPr>
          <w:color w:val="0B0B0B"/>
          <w:spacing w:val="6"/>
        </w:rPr>
        <w:t> </w:t>
      </w:r>
      <w:r>
        <w:rPr>
          <w:color w:val="0B0B0B"/>
        </w:rPr>
        <w:t>1985.</w:t>
      </w:r>
    </w:p>
    <w:p>
      <w:pPr>
        <w:pStyle w:val="BodyText"/>
        <w:spacing w:line="249" w:lineRule="auto"/>
        <w:ind w:right="47"/>
      </w:pPr>
      <w:r>
        <w:rPr>
          <w:b/>
          <w:color w:val="0B0B0B"/>
        </w:rPr>
        <w:t>Toth, Eric</w:t>
      </w:r>
      <w:r>
        <w:rPr>
          <w:color w:val="0B0B0B"/>
        </w:rPr>
        <w:t>, (A), Assistant Professor, Biochemistry and Molecular </w:t>
      </w:r>
      <w:r>
        <w:rPr>
          <w:color w:val="0B0B0B"/>
          <w:spacing w:val="-3"/>
        </w:rPr>
        <w:t>Biology, </w:t>
      </w:r>
      <w:r>
        <w:rPr>
          <w:color w:val="0B0B0B"/>
          <w:spacing w:val="-2"/>
        </w:rPr>
        <w:t>School </w:t>
      </w:r>
      <w:r>
        <w:rPr>
          <w:color w:val="0B0B0B"/>
        </w:rPr>
        <w:t>of Medicine. PhD, University of California, 1999; </w:t>
      </w:r>
      <w:r>
        <w:rPr>
          <w:color w:val="0B0B0B"/>
          <w:spacing w:val="-3"/>
        </w:rPr>
        <w:t>BA, </w:t>
      </w:r>
      <w:r>
        <w:rPr>
          <w:color w:val="0B0B0B"/>
        </w:rPr>
        <w:t>University of Pennsylvania,</w:t>
      </w:r>
      <w:r>
        <w:rPr>
          <w:color w:val="0B0B0B"/>
          <w:spacing w:val="-6"/>
        </w:rPr>
        <w:t> </w:t>
      </w:r>
      <w:r>
        <w:rPr>
          <w:color w:val="0B0B0B"/>
        </w:rPr>
        <w:t>1992.</w:t>
      </w:r>
    </w:p>
    <w:p>
      <w:pPr>
        <w:pStyle w:val="BodyText"/>
        <w:spacing w:line="249" w:lineRule="auto" w:before="180"/>
        <w:ind w:right="38" w:hanging="1"/>
      </w:pPr>
      <w:r>
        <w:rPr>
          <w:b/>
          <w:color w:val="0B0B0B"/>
        </w:rPr>
        <w:t>Tracy, Kathleen </w:t>
      </w:r>
      <w:r>
        <w:rPr>
          <w:b/>
          <w:color w:val="0B0B0B"/>
          <w:spacing w:val="-3"/>
        </w:rPr>
        <w:t>J.</w:t>
      </w:r>
      <w:r>
        <w:rPr>
          <w:color w:val="0B0B0B"/>
          <w:spacing w:val="-3"/>
        </w:rPr>
        <w:t>, </w:t>
      </w:r>
      <w:r>
        <w:rPr>
          <w:color w:val="0B0B0B"/>
        </w:rPr>
        <w:t>(R), Associate Professor, Epidemiology and Public Health, </w:t>
      </w:r>
      <w:r>
        <w:rPr>
          <w:color w:val="0B0B0B"/>
          <w:spacing w:val="-3"/>
        </w:rPr>
        <w:t>School </w:t>
      </w:r>
      <w:r>
        <w:rPr>
          <w:color w:val="0B0B0B"/>
        </w:rPr>
        <w:t>of Medicine. PhD, University of Maryland, Baltimore </w:t>
      </w:r>
      <w:r>
        <w:rPr>
          <w:color w:val="0B0B0B"/>
          <w:spacing w:val="-3"/>
        </w:rPr>
        <w:t>County, </w:t>
      </w:r>
      <w:r>
        <w:rPr>
          <w:color w:val="0B0B0B"/>
        </w:rPr>
        <w:t>2003; MS, University of Maryland, Baltimore County, 2001; </w:t>
      </w:r>
      <w:r>
        <w:rPr>
          <w:color w:val="0B0B0B"/>
          <w:spacing w:val="-3"/>
        </w:rPr>
        <w:t>BA, </w:t>
      </w:r>
      <w:r>
        <w:rPr>
          <w:color w:val="0B0B0B"/>
        </w:rPr>
        <w:t>University of Kentucky,</w:t>
      </w:r>
      <w:r>
        <w:rPr>
          <w:color w:val="0B0B0B"/>
          <w:spacing w:val="-5"/>
        </w:rPr>
        <w:t> </w:t>
      </w:r>
      <w:r>
        <w:rPr>
          <w:color w:val="0B0B0B"/>
        </w:rPr>
        <w:t>1992.</w:t>
      </w:r>
    </w:p>
    <w:p>
      <w:pPr>
        <w:pStyle w:val="BodyText"/>
        <w:spacing w:line="249" w:lineRule="auto" w:before="186"/>
        <w:ind w:right="216"/>
      </w:pPr>
      <w:r>
        <w:rPr>
          <w:b/>
          <w:color w:val="0B0B0B"/>
        </w:rPr>
        <w:t>Traub, Richard</w:t>
      </w:r>
      <w:r>
        <w:rPr>
          <w:color w:val="0B0B0B"/>
        </w:rPr>
        <w:t>, (R), Assistant Professor, Oral and Craniofacial Biological Sciences, School of Dentistry. PhD, State University of New York, 1986; BS, State University of New York, 1981.</w:t>
      </w:r>
    </w:p>
    <w:p>
      <w:pPr>
        <w:pStyle w:val="BodyText"/>
        <w:spacing w:line="249" w:lineRule="auto" w:before="180"/>
        <w:ind w:right="370"/>
      </w:pPr>
      <w:r>
        <w:rPr>
          <w:b/>
          <w:color w:val="0B0B0B"/>
        </w:rPr>
        <w:t>Travassos, Mark</w:t>
      </w:r>
      <w:r>
        <w:rPr>
          <w:color w:val="0B0B0B"/>
        </w:rPr>
        <w:t>, (A), Assistant Professor, Pediatrics, School of Medicine. MD, Cornell University Medicial College, 2004; MSc, Oxford University, 2003; AB, Harvard University, 1997.</w:t>
      </w:r>
    </w:p>
    <w:p>
      <w:pPr>
        <w:pStyle w:val="BodyText"/>
        <w:spacing w:line="249" w:lineRule="auto" w:before="186"/>
        <w:ind w:right="158"/>
      </w:pPr>
      <w:r>
        <w:rPr>
          <w:b/>
          <w:color w:val="0B0B0B"/>
        </w:rPr>
        <w:t>Trinkoff, Alison</w:t>
      </w:r>
      <w:r>
        <w:rPr>
          <w:color w:val="0B0B0B"/>
        </w:rPr>
        <w:t>, (R), Professor, Family and Community Health, School of Nursing. ScD, Johns Hopkins University, 1987; MPH, University of North Carolina, 1980; BSN, University of Rochester, 1978.</w:t>
      </w:r>
    </w:p>
    <w:p>
      <w:pPr>
        <w:pStyle w:val="BodyText"/>
        <w:spacing w:line="249" w:lineRule="auto" w:before="180"/>
        <w:ind w:right="248"/>
      </w:pPr>
      <w:r>
        <w:rPr>
          <w:b/>
          <w:color w:val="0B0B0B"/>
        </w:rPr>
        <w:t>Trocky, Nina</w:t>
      </w:r>
      <w:r>
        <w:rPr>
          <w:color w:val="0B0B0B"/>
        </w:rPr>
        <w:t>, (A), Assistant Professor, Organizational Systems and Adult Health, School of Nursing. DNP, Waynesburg University, 2010; MS, Catholic University, 1995; BS, Temple University, 1979.</w:t>
      </w:r>
    </w:p>
    <w:p>
      <w:pPr>
        <w:pStyle w:val="BodyText"/>
        <w:spacing w:line="249" w:lineRule="auto" w:before="186"/>
        <w:ind w:right="198"/>
      </w:pPr>
      <w:r>
        <w:rPr>
          <w:b/>
          <w:color w:val="0B0B0B"/>
        </w:rPr>
        <w:t>Trudeau, Matthew C.</w:t>
      </w:r>
      <w:r>
        <w:rPr>
          <w:color w:val="0B0B0B"/>
        </w:rPr>
        <w:t>, (R), Assistant Professor, Physiology, School of Medicine. PhD, University of Wisconsin-Madison, 1998; BS, University of Wisconsin- Madison, 1992.</w:t>
      </w:r>
    </w:p>
    <w:p>
      <w:pPr>
        <w:pStyle w:val="BodyText"/>
        <w:spacing w:line="249" w:lineRule="auto" w:before="180"/>
        <w:ind w:left="199" w:right="572"/>
      </w:pPr>
      <w:r>
        <w:rPr>
          <w:b/>
          <w:color w:val="0B0B0B"/>
        </w:rPr>
        <w:t>Tsoukleris, Mona</w:t>
      </w:r>
      <w:r>
        <w:rPr>
          <w:color w:val="0B0B0B"/>
        </w:rPr>
        <w:t>, (A), Assistant Professor, Pharmaceutical Health Services Research, School of</w:t>
      </w:r>
    </w:p>
    <w:p>
      <w:pPr>
        <w:pStyle w:val="BodyText"/>
        <w:spacing w:line="249" w:lineRule="auto" w:before="96"/>
        <w:ind w:right="1209"/>
      </w:pPr>
      <w:r>
        <w:rPr/>
        <w:br w:type="column"/>
      </w:r>
      <w:r>
        <w:rPr>
          <w:color w:val="0B0B0B"/>
        </w:rPr>
        <w:t>Pharmacy. PhD, University of Maryland, 1987; BS, University of Maryland, 1983.</w:t>
      </w:r>
    </w:p>
    <w:p>
      <w:pPr>
        <w:pStyle w:val="BodyText"/>
        <w:spacing w:line="249" w:lineRule="auto" w:before="179"/>
        <w:ind w:right="954"/>
      </w:pPr>
      <w:r>
        <w:rPr>
          <w:b/>
          <w:color w:val="0B0B0B"/>
        </w:rPr>
        <w:t>Tuten, Michelle</w:t>
      </w:r>
      <w:r>
        <w:rPr>
          <w:color w:val="0B0B0B"/>
        </w:rPr>
        <w:t>, (A), Assistant Professor, School of Social Work. PhD, University of Maryland, Baltimore, 2013; MSW, Louisiana State University, 1997; BA, Millsaps College, 1993.</w:t>
      </w:r>
    </w:p>
    <w:p>
      <w:pPr>
        <w:pStyle w:val="BodyText"/>
        <w:spacing w:line="249" w:lineRule="auto"/>
        <w:ind w:right="910"/>
        <w:jc w:val="both"/>
      </w:pPr>
      <w:r>
        <w:rPr>
          <w:b/>
          <w:color w:val="0B0B0B"/>
        </w:rPr>
        <w:t>Tynes, Joseph, </w:t>
      </w:r>
      <w:r>
        <w:rPr>
          <w:color w:val="0B0B0B"/>
        </w:rPr>
        <w:t>(A), Adjunct Faculty, Graduate School. BSW, Salisbury University, 2015; MSW, University of Maryland, Baltimore, 2016</w:t>
      </w:r>
    </w:p>
    <w:p>
      <w:pPr>
        <w:pStyle w:val="BodyText"/>
        <w:spacing w:line="249" w:lineRule="auto" w:before="180"/>
        <w:ind w:right="704"/>
      </w:pPr>
      <w:r>
        <w:rPr>
          <w:b/>
          <w:color w:val="0B0B0B"/>
        </w:rPr>
        <w:t>Unick, Jay G.</w:t>
      </w:r>
      <w:r>
        <w:rPr>
          <w:color w:val="0B0B0B"/>
        </w:rPr>
        <w:t>, (R), Associate Professor, School of Social Work. PhD, University of California, 2006; MSW, University of California, 2002; MS, California Institute of Integral Studies, 1996.</w:t>
      </w:r>
    </w:p>
    <w:p>
      <w:pPr>
        <w:pStyle w:val="BodyText"/>
        <w:spacing w:line="249" w:lineRule="auto"/>
        <w:ind w:right="882"/>
      </w:pPr>
      <w:r>
        <w:rPr>
          <w:b/>
          <w:color w:val="0B0B0B"/>
        </w:rPr>
        <w:t>Valle, Mary Frances</w:t>
      </w:r>
      <w:r>
        <w:rPr>
          <w:color w:val="0B0B0B"/>
        </w:rPr>
        <w:t>, (A), Assistant Professor, Organization Systems and Adult Health, School of Nursing. DNP, University of Maryland, 2010; MS, University of Maryland, 1999; BS, York College, 1986.</w:t>
      </w:r>
    </w:p>
    <w:p>
      <w:pPr>
        <w:pStyle w:val="BodyText"/>
        <w:spacing w:line="249" w:lineRule="auto" w:before="181"/>
        <w:ind w:right="915"/>
      </w:pPr>
      <w:r>
        <w:rPr>
          <w:b/>
          <w:color w:val="0B0B0B"/>
        </w:rPr>
        <w:t>Vargas, Clemencia</w:t>
      </w:r>
      <w:r>
        <w:rPr>
          <w:color w:val="0B0B0B"/>
        </w:rPr>
        <w:t>, (A), Assistant Professor, Pediatric Dentistry, School of Dentistry. PhD, Arizona State University, 1994; DDS, University of Antioquia, 1982.</w:t>
      </w:r>
    </w:p>
    <w:p>
      <w:pPr>
        <w:pStyle w:val="BodyText"/>
        <w:spacing w:line="249" w:lineRule="auto"/>
        <w:ind w:right="737"/>
      </w:pPr>
      <w:r>
        <w:rPr>
          <w:b/>
          <w:color w:val="0B0B0B"/>
        </w:rPr>
        <w:t>Varma, Shambhu</w:t>
      </w:r>
      <w:r>
        <w:rPr>
          <w:color w:val="0B0B0B"/>
        </w:rPr>
        <w:t>, (R), Professor, Ophthalmology and Visual Sciences, School of Medicine. PhD, University of Rajasthan, 1964; MS, University of Allahabad, 1957; BS, University of Allahabad, 1955.</w:t>
      </w:r>
    </w:p>
    <w:p>
      <w:pPr>
        <w:pStyle w:val="BodyText"/>
        <w:spacing w:line="249" w:lineRule="auto" w:before="180"/>
        <w:ind w:right="737"/>
      </w:pPr>
      <w:r>
        <w:rPr>
          <w:b/>
          <w:color w:val="0B0B0B"/>
        </w:rPr>
        <w:t>Varney, Kristen</w:t>
      </w:r>
      <w:r>
        <w:rPr>
          <w:color w:val="0B0B0B"/>
        </w:rPr>
        <w:t>, (A), Assistant Professor, Biochemistry and Molecular Biology, School of Medicine. PhD, University of Maryland, Baltimore, 2004; BA, University of Colorado, 1999.</w:t>
      </w:r>
    </w:p>
    <w:p>
      <w:pPr>
        <w:pStyle w:val="BodyText"/>
        <w:spacing w:line="249" w:lineRule="auto"/>
        <w:ind w:right="712"/>
      </w:pPr>
      <w:r>
        <w:rPr>
          <w:b/>
          <w:color w:val="0B0B0B"/>
        </w:rPr>
        <w:t>Veeraraghavan, Sudha</w:t>
      </w:r>
      <w:r>
        <w:rPr>
          <w:color w:val="0B0B0B"/>
        </w:rPr>
        <w:t>, (R), Associate Professor, Pharmaceutical Sciences, School of Pharmacy. PhD, University of Texas, 1995; MA, Mount Holyoke College, 1986; BSc, Madras University, India, 1984.</w:t>
      </w:r>
    </w:p>
    <w:p>
      <w:pPr>
        <w:pStyle w:val="BodyText"/>
        <w:spacing w:line="249" w:lineRule="auto" w:before="181"/>
        <w:ind w:right="815"/>
      </w:pPr>
      <w:r>
        <w:rPr>
          <w:b/>
          <w:color w:val="0B0B0B"/>
        </w:rPr>
        <w:t>Velez, Roseann</w:t>
      </w:r>
      <w:r>
        <w:rPr>
          <w:color w:val="0B0B0B"/>
        </w:rPr>
        <w:t>, (A), Assistant Professor, Family and Community Health, School of Nursing. DNP, Chatham University, 2013; MSN, New York University School of Nursing, 1988; BSN, Wagner College, 1983.</w:t>
      </w:r>
    </w:p>
    <w:p>
      <w:pPr>
        <w:pStyle w:val="BodyText"/>
        <w:spacing w:line="249" w:lineRule="auto"/>
        <w:ind w:right="626"/>
      </w:pPr>
      <w:r>
        <w:rPr>
          <w:b/>
          <w:color w:val="0B0B0B"/>
        </w:rPr>
        <w:t>Venezia, Richard A.</w:t>
      </w:r>
      <w:r>
        <w:rPr>
          <w:color w:val="0B0B0B"/>
        </w:rPr>
        <w:t>, (R), Professor, Pathology, School of Medicine. PhD, University of Rochester, 1977; MS, University of Dayton, 1972, BS, LeMoyne College, 1967.</w:t>
      </w:r>
    </w:p>
    <w:p>
      <w:pPr>
        <w:pStyle w:val="BodyText"/>
        <w:spacing w:line="249" w:lineRule="auto" w:before="180"/>
        <w:ind w:right="726"/>
      </w:pPr>
      <w:r>
        <w:rPr>
          <w:b/>
          <w:color w:val="0B0B0B"/>
        </w:rPr>
        <w:t>Via, Charles</w:t>
      </w:r>
      <w:r>
        <w:rPr>
          <w:color w:val="0B0B0B"/>
        </w:rPr>
        <w:t>, (R), Associate Professor, Medicine, School of Medicine. MD, University of Virginia, 1973; BA, University of Virginia, 1969</w:t>
      </w:r>
    </w:p>
    <w:p>
      <w:pPr>
        <w:pStyle w:val="BodyText"/>
        <w:spacing w:line="249" w:lineRule="auto"/>
        <w:ind w:right="688"/>
      </w:pPr>
      <w:r>
        <w:rPr>
          <w:b/>
          <w:color w:val="0B0B0B"/>
        </w:rPr>
        <w:t>Villagra, Federico</w:t>
      </w:r>
      <w:r>
        <w:rPr>
          <w:color w:val="0B0B0B"/>
        </w:rPr>
        <w:t>, (A), Assistant Professor, Physical Therapy and Rehabilitation Sciences, School of Medicine.</w:t>
      </w:r>
    </w:p>
    <w:p>
      <w:pPr>
        <w:spacing w:after="0" w:line="249" w:lineRule="auto"/>
        <w:sectPr>
          <w:pgSz w:w="12240" w:h="15840"/>
          <w:pgMar w:header="746" w:footer="0" w:top="1320" w:bottom="280" w:left="880" w:right="300"/>
          <w:cols w:num="2" w:equalWidth="0">
            <w:col w:w="4990" w:space="496"/>
            <w:col w:w="5574"/>
          </w:cols>
        </w:sectPr>
      </w:pPr>
    </w:p>
    <w:p>
      <w:pPr>
        <w:pStyle w:val="BodyText"/>
        <w:spacing w:line="249" w:lineRule="auto" w:before="100"/>
        <w:ind w:right="179"/>
      </w:pPr>
      <w:r>
        <w:rPr>
          <w:color w:val="0B0B0B"/>
        </w:rPr>
        <w:t>PhD, University of Birmingham, United Kingdom, 1994; MS, University of Birmingham, United Kingdom, 1989; BS, Universidad Complutense, Spain, 1987.</w:t>
      </w:r>
    </w:p>
    <w:p>
      <w:pPr>
        <w:pStyle w:val="BodyText"/>
        <w:spacing w:line="249" w:lineRule="auto" w:before="180"/>
        <w:ind w:right="220"/>
      </w:pPr>
      <w:r>
        <w:rPr>
          <w:b/>
          <w:color w:val="0B0B0B"/>
        </w:rPr>
        <w:t>Virmani, Renu</w:t>
      </w:r>
      <w:r>
        <w:rPr>
          <w:color w:val="0B0B0B"/>
        </w:rPr>
        <w:t>, (A), Adjunct Professor, Pathology, School of Medicine. MD, Delhi University, 1967.</w:t>
      </w:r>
    </w:p>
    <w:p>
      <w:pPr>
        <w:pStyle w:val="BodyText"/>
        <w:spacing w:line="249" w:lineRule="auto" w:before="183"/>
        <w:ind w:left="199" w:right="620"/>
      </w:pPr>
      <w:r>
        <w:rPr>
          <w:b/>
          <w:color w:val="0B0B0B"/>
        </w:rPr>
        <w:t>Viscardi, Rose M.</w:t>
      </w:r>
      <w:r>
        <w:rPr>
          <w:color w:val="0B0B0B"/>
        </w:rPr>
        <w:t>, Professor, Pediatrics, School of Medicine, MD. University of Rochester School of Medicine and Dentistry, 1980; BA, Mount Holyoke College, 1976.</w:t>
      </w:r>
    </w:p>
    <w:p>
      <w:pPr>
        <w:pStyle w:val="BodyText"/>
        <w:spacing w:line="249" w:lineRule="auto" w:before="181"/>
        <w:ind w:left="199" w:right="131"/>
      </w:pPr>
      <w:r>
        <w:rPr>
          <w:b/>
          <w:color w:val="0B0B0B"/>
        </w:rPr>
        <w:t>Vitolo, Michele</w:t>
      </w:r>
      <w:r>
        <w:rPr>
          <w:color w:val="0B0B0B"/>
        </w:rPr>
        <w:t>, (A), Assistant Professor, Physiology, School of Medicine. PhD, University of Maryland, Baltimore, 2004; MS, University of Maryland, Baltimore, 1999; BA, Franklin and Marshall College, 1995.</w:t>
      </w:r>
    </w:p>
    <w:p>
      <w:pPr>
        <w:pStyle w:val="BodyText"/>
        <w:spacing w:line="249" w:lineRule="auto"/>
        <w:ind w:left="199" w:right="181"/>
      </w:pPr>
      <w:r>
        <w:rPr>
          <w:b/>
          <w:color w:val="0B0B0B"/>
        </w:rPr>
        <w:t>Vogel, Bruce</w:t>
      </w:r>
      <w:r>
        <w:rPr>
          <w:color w:val="0B0B0B"/>
        </w:rPr>
        <w:t>, (A), Assistant Professor, Physiology, School of Medicine. PhD, Rutgers University, 1988; BA, Rutgers College, 1981.</w:t>
      </w:r>
    </w:p>
    <w:p>
      <w:pPr>
        <w:pStyle w:val="BodyText"/>
        <w:spacing w:line="249" w:lineRule="auto" w:before="180"/>
        <w:ind w:left="199" w:right="203"/>
      </w:pPr>
      <w:r>
        <w:rPr>
          <w:b/>
          <w:color w:val="0B0B0B"/>
        </w:rPr>
        <w:t>Vogel, Michael</w:t>
      </w:r>
      <w:r>
        <w:rPr>
          <w:color w:val="0B0B0B"/>
        </w:rPr>
        <w:t>, (R), Associate Professor, Psychiatry, School of Medicine. MPhil, Yale University, 1985; PhD, Yale University, 1985; BS, University of Texas, 1979.</w:t>
      </w:r>
    </w:p>
    <w:p>
      <w:pPr>
        <w:pStyle w:val="BodyText"/>
        <w:spacing w:line="249" w:lineRule="auto"/>
        <w:ind w:left="199" w:right="436"/>
      </w:pPr>
      <w:r>
        <w:rPr>
          <w:b/>
          <w:color w:val="0B0B0B"/>
        </w:rPr>
        <w:t>Vogel, Stefanie</w:t>
      </w:r>
      <w:r>
        <w:rPr>
          <w:color w:val="0B0B0B"/>
        </w:rPr>
        <w:t>, (R), Professor, Microbiology and Immunology, School of Medicine. PhD, University of Maryland, 1977; BS, University of Maryland, 1972.</w:t>
      </w:r>
    </w:p>
    <w:p>
      <w:pPr>
        <w:pStyle w:val="BodyText"/>
        <w:spacing w:line="249" w:lineRule="auto" w:before="179"/>
        <w:ind w:left="199" w:right="253"/>
      </w:pPr>
      <w:r>
        <w:rPr>
          <w:b/>
          <w:color w:val="0B0B0B"/>
        </w:rPr>
        <w:t>Voulalas, Pamela</w:t>
      </w:r>
      <w:r>
        <w:rPr>
          <w:color w:val="0B0B0B"/>
        </w:rPr>
        <w:t>, (A), Assistant Professor, Pharmaceutical Sciences, School of Pharmacy. PhD, Uniformed Services University, 1997; BS, University of Connecticut, 1983.</w:t>
      </w:r>
    </w:p>
    <w:p>
      <w:pPr>
        <w:pStyle w:val="BodyText"/>
        <w:spacing w:line="249" w:lineRule="auto" w:before="186"/>
        <w:ind w:left="199" w:right="320"/>
      </w:pPr>
      <w:r>
        <w:rPr>
          <w:b/>
          <w:color w:val="0B0B0B"/>
        </w:rPr>
        <w:t>Vucenik, Ivana</w:t>
      </w:r>
      <w:r>
        <w:rPr>
          <w:color w:val="0B0B0B"/>
        </w:rPr>
        <w:t>, (R), Associate Professor, Medical and Research Technology, School of Medicine. PhD, University of Zagreb, 1987; MS, University of Zagreb, 1975; BS, University of Zagreb, 1969.</w:t>
      </w:r>
    </w:p>
    <w:p>
      <w:pPr>
        <w:pStyle w:val="BodyText"/>
        <w:spacing w:line="249" w:lineRule="auto" w:before="180"/>
        <w:ind w:left="199" w:right="220"/>
      </w:pPr>
      <w:r>
        <w:rPr>
          <w:b/>
          <w:color w:val="0B0B0B"/>
        </w:rPr>
        <w:t>Wade, James B.</w:t>
      </w:r>
      <w:r>
        <w:rPr>
          <w:color w:val="0B0B0B"/>
        </w:rPr>
        <w:t>, (R), Professor, </w:t>
      </w:r>
      <w:r>
        <w:rPr>
          <w:color w:val="0B0B0B"/>
          <w:spacing w:val="-3"/>
        </w:rPr>
        <w:t>Physiology, </w:t>
      </w:r>
      <w:r>
        <w:rPr>
          <w:color w:val="0B0B0B"/>
        </w:rPr>
        <w:t>School </w:t>
      </w:r>
      <w:r>
        <w:rPr>
          <w:color w:val="0B0B0B"/>
          <w:spacing w:val="-5"/>
        </w:rPr>
        <w:t>of </w:t>
      </w:r>
      <w:r>
        <w:rPr>
          <w:color w:val="0B0B0B"/>
        </w:rPr>
        <w:t>Medicine. PhD, Princeton University, 1972; </w:t>
      </w:r>
      <w:r>
        <w:rPr>
          <w:color w:val="0B0B0B"/>
          <w:spacing w:val="-3"/>
        </w:rPr>
        <w:t>BA, </w:t>
      </w:r>
      <w:r>
        <w:rPr>
          <w:color w:val="0B0B0B"/>
        </w:rPr>
        <w:t>University of Chicago,</w:t>
      </w:r>
      <w:r>
        <w:rPr>
          <w:color w:val="0B0B0B"/>
          <w:spacing w:val="-5"/>
        </w:rPr>
        <w:t> </w:t>
      </w:r>
      <w:r>
        <w:rPr>
          <w:color w:val="0B0B0B"/>
        </w:rPr>
        <w:t>1967.</w:t>
      </w:r>
    </w:p>
    <w:p>
      <w:pPr>
        <w:pStyle w:val="BodyText"/>
        <w:spacing w:line="249" w:lineRule="auto"/>
        <w:ind w:left="199" w:right="31"/>
      </w:pPr>
      <w:r>
        <w:rPr>
          <w:b/>
          <w:color w:val="0B0B0B"/>
        </w:rPr>
        <w:t>Wagner, Fernando</w:t>
      </w:r>
      <w:r>
        <w:rPr>
          <w:color w:val="0B0B0B"/>
        </w:rPr>
        <w:t>, (R), Assistant Professor, </w:t>
      </w:r>
      <w:r>
        <w:rPr>
          <w:color w:val="0B0B0B"/>
          <w:spacing w:val="-2"/>
        </w:rPr>
        <w:t>School </w:t>
      </w:r>
      <w:r>
        <w:rPr>
          <w:color w:val="0B0B0B"/>
          <w:spacing w:val="-5"/>
        </w:rPr>
        <w:t>of </w:t>
      </w:r>
      <w:r>
        <w:rPr>
          <w:color w:val="0B0B0B"/>
        </w:rPr>
        <w:t>Social Work. ScD, Johns Hopkins University, 1999; </w:t>
      </w:r>
      <w:r>
        <w:rPr>
          <w:color w:val="0B0B0B"/>
          <w:spacing w:val="-3"/>
        </w:rPr>
        <w:t>MPH, </w:t>
      </w:r>
      <w:r>
        <w:rPr>
          <w:color w:val="0B0B0B"/>
        </w:rPr>
        <w:t>Johns Hopkins University, 1994; </w:t>
      </w:r>
      <w:r>
        <w:rPr>
          <w:color w:val="0B0B0B"/>
          <w:spacing w:val="-3"/>
        </w:rPr>
        <w:t>BS, </w:t>
      </w:r>
      <w:r>
        <w:rPr>
          <w:color w:val="0B0B0B"/>
        </w:rPr>
        <w:t>Instituto Tecnologico Autonomo de Mexico,</w:t>
      </w:r>
      <w:r>
        <w:rPr>
          <w:color w:val="0B0B0B"/>
          <w:spacing w:val="1"/>
        </w:rPr>
        <w:t> </w:t>
      </w:r>
      <w:r>
        <w:rPr>
          <w:color w:val="0B0B0B"/>
        </w:rPr>
        <w:t>1982.</w:t>
      </w:r>
    </w:p>
    <w:p>
      <w:pPr>
        <w:pStyle w:val="BodyText"/>
        <w:spacing w:line="249" w:lineRule="auto" w:before="180"/>
        <w:ind w:left="199" w:right="142"/>
      </w:pPr>
      <w:r>
        <w:rPr>
          <w:b/>
          <w:color w:val="0B0B0B"/>
        </w:rPr>
        <w:t>Wagner, Mark</w:t>
      </w:r>
      <w:r>
        <w:rPr>
          <w:color w:val="0B0B0B"/>
        </w:rPr>
        <w:t>, (A), Professor, Pediatric Dentistry, School of Dentistry. DMD, University of Alabama, 1963; AB, Birmingham Southern College, 1959.</w:t>
      </w:r>
    </w:p>
    <w:p>
      <w:pPr>
        <w:pStyle w:val="BodyText"/>
        <w:spacing w:line="249" w:lineRule="auto"/>
        <w:ind w:left="199" w:right="197"/>
      </w:pPr>
      <w:r>
        <w:rPr>
          <w:b/>
          <w:color w:val="0B0B0B"/>
        </w:rPr>
        <w:t>Wang, Hongbing</w:t>
      </w:r>
      <w:r>
        <w:rPr>
          <w:color w:val="0B0B0B"/>
        </w:rPr>
        <w:t>, (R), Associate Professor, Pharmaceutical Sciences, School of Medicine. PhD, Shanxi Medical University, 1996; MS, Shanxi Medical University, 1989; MB, Shanxi Medical University, 1986.</w:t>
      </w:r>
    </w:p>
    <w:p>
      <w:pPr>
        <w:pStyle w:val="BodyText"/>
        <w:spacing w:line="249" w:lineRule="auto" w:before="96"/>
        <w:ind w:left="199" w:right="617"/>
      </w:pPr>
      <w:r>
        <w:rPr/>
        <w:br w:type="column"/>
      </w:r>
      <w:r>
        <w:rPr>
          <w:b/>
          <w:color w:val="0B0B0B"/>
        </w:rPr>
        <w:t>Wang, Jia Bei</w:t>
      </w:r>
      <w:r>
        <w:rPr>
          <w:color w:val="0B0B0B"/>
        </w:rPr>
        <w:t>, (R), Professor, Pharmaceutical Sciences, School of Medicine. PhD, University of Maryland, 1991; MS, Institute of Pharmacology and Toxicology, 1985; MD, Tong-Ji Medical University, 1982.</w:t>
      </w:r>
    </w:p>
    <w:p>
      <w:pPr>
        <w:pStyle w:val="BodyText"/>
        <w:spacing w:line="249" w:lineRule="auto" w:before="180"/>
        <w:ind w:left="199" w:right="778" w:hanging="1"/>
      </w:pPr>
      <w:r>
        <w:rPr>
          <w:b/>
          <w:color w:val="0B0B0B"/>
        </w:rPr>
        <w:t>Wang, Jian-Ying</w:t>
      </w:r>
      <w:r>
        <w:rPr>
          <w:color w:val="0B0B0B"/>
        </w:rPr>
        <w:t>, (R), Associate Professor, Surgery and Pathology, School of Medicine. PhD, Beijing Medical University, 1986; MS, Sun Yat-Sen Medical University, 1983; MD, Sun Yat-Sen Medical University, 1979.</w:t>
      </w:r>
    </w:p>
    <w:p>
      <w:pPr>
        <w:pStyle w:val="BodyText"/>
        <w:spacing w:line="249" w:lineRule="auto" w:before="186"/>
        <w:ind w:left="199" w:right="611"/>
      </w:pPr>
      <w:r>
        <w:rPr>
          <w:b/>
          <w:color w:val="0B0B0B"/>
        </w:rPr>
        <w:t>Wang, Lai-Xi</w:t>
      </w:r>
      <w:r>
        <w:rPr>
          <w:color w:val="0B0B0B"/>
        </w:rPr>
        <w:t>, (A), Associate Professor, Biochemistry and Molecular Biology, School of Medicine. PhD, Shanghai Institute of Organic Chemistry, 1991; MS, Shanghai Institute of Organic Chemistry, 1987; BS, Jiangxi Normal University, 1984.</w:t>
      </w:r>
    </w:p>
    <w:p>
      <w:pPr>
        <w:pStyle w:val="BodyText"/>
        <w:spacing w:line="249" w:lineRule="auto" w:before="181"/>
        <w:ind w:left="199" w:right="780"/>
        <w:jc w:val="both"/>
      </w:pPr>
      <w:r>
        <w:rPr>
          <w:b/>
          <w:color w:val="0B0B0B"/>
        </w:rPr>
        <w:t>Wang, Wayne C.H.</w:t>
      </w:r>
      <w:r>
        <w:rPr>
          <w:color w:val="0B0B0B"/>
        </w:rPr>
        <w:t>, (A), Assistant Professor, Medicine, School of Medicine. PhD, Pennsylvania State University, 2004; BS, University of Connecticut, 1997.</w:t>
      </w:r>
    </w:p>
    <w:p>
      <w:pPr>
        <w:pStyle w:val="BodyText"/>
        <w:spacing w:line="249" w:lineRule="auto"/>
        <w:ind w:left="199" w:right="621"/>
      </w:pPr>
      <w:r>
        <w:rPr>
          <w:b/>
          <w:color w:val="0B0B0B"/>
        </w:rPr>
        <w:t>Wang, Yan</w:t>
      </w:r>
      <w:r>
        <w:rPr>
          <w:color w:val="0B0B0B"/>
        </w:rPr>
        <w:t>, (R), Assistant Professor, Pediatrics, School of Medicine. Dr.P.H., Morgan State University, 2007; MS, Tongji Medicial University, 1997; BS, 1995.</w:t>
      </w:r>
    </w:p>
    <w:p>
      <w:pPr>
        <w:pStyle w:val="BodyText"/>
        <w:spacing w:line="249" w:lineRule="auto" w:before="179"/>
        <w:ind w:left="199" w:right="573"/>
      </w:pPr>
      <w:r>
        <w:rPr>
          <w:b/>
          <w:color w:val="0B0B0B"/>
        </w:rPr>
        <w:t>Wang, Yibin</w:t>
      </w:r>
      <w:r>
        <w:rPr>
          <w:color w:val="0B0B0B"/>
        </w:rPr>
        <w:t>, (R), Assistant Professor, Physiology, School of Medicine. PhD, Baylor College of Medicine, 1993; BS, State University of New York, 1988.</w:t>
      </w:r>
    </w:p>
    <w:p>
      <w:pPr>
        <w:pStyle w:val="BodyText"/>
        <w:spacing w:line="249" w:lineRule="auto"/>
        <w:ind w:left="199" w:right="1039"/>
      </w:pPr>
      <w:r>
        <w:rPr>
          <w:b/>
          <w:color w:val="0B0B0B"/>
        </w:rPr>
        <w:t>Wang, Xin Wei</w:t>
      </w:r>
      <w:r>
        <w:rPr>
          <w:color w:val="0B0B0B"/>
        </w:rPr>
        <w:t>, (A), Adjunct Associate Professor, Pathology, School of Medicine. PhD, New York University, 1991; MS, Chinese Academy of Sciences, 1984; BS, Shanghai First College, 1982.</w:t>
      </w:r>
    </w:p>
    <w:p>
      <w:pPr>
        <w:pStyle w:val="BodyText"/>
        <w:spacing w:line="249" w:lineRule="auto" w:before="181"/>
        <w:ind w:left="199" w:right="807"/>
      </w:pPr>
      <w:r>
        <w:rPr>
          <w:b/>
          <w:color w:val="0B0B0B"/>
        </w:rPr>
        <w:t>Ward, Christopher</w:t>
      </w:r>
      <w:r>
        <w:rPr>
          <w:color w:val="0B0B0B"/>
        </w:rPr>
        <w:t>, (R), Associate Professor, Organizational Systems and Adult Health, School of Nursing. PhD, Virginia- Maryland Regional College of Veterinary Medicine, 1996; MS, Virginia Polytechnic Institute and State University, 1991; BS, Virginia Polytechnic Institute and State University, 1989.</w:t>
      </w:r>
    </w:p>
    <w:p>
      <w:pPr>
        <w:pStyle w:val="BodyText"/>
        <w:spacing w:line="249" w:lineRule="auto" w:before="186"/>
        <w:ind w:right="807"/>
      </w:pPr>
      <w:r>
        <w:rPr>
          <w:b/>
          <w:color w:val="0B0B0B"/>
        </w:rPr>
        <w:t>Watnick, Terry</w:t>
      </w:r>
      <w:r>
        <w:rPr>
          <w:color w:val="0B0B0B"/>
        </w:rPr>
        <w:t>, (R), Associate Professor, Division of Nephrology, School of Medicine. MD, Yale University, 1997; BS, Brown University, 1981.</w:t>
      </w:r>
    </w:p>
    <w:p>
      <w:pPr>
        <w:pStyle w:val="BodyText"/>
        <w:spacing w:line="249" w:lineRule="auto" w:before="180"/>
        <w:ind w:right="658"/>
      </w:pPr>
      <w:r>
        <w:rPr>
          <w:b/>
          <w:color w:val="0B0B0B"/>
        </w:rPr>
        <w:t>Webb, Tonya</w:t>
      </w:r>
      <w:r>
        <w:rPr>
          <w:color w:val="0B0B0B"/>
        </w:rPr>
        <w:t>, (A), Assistant Professor, Microbiology and Immunology, </w:t>
      </w:r>
      <w:r>
        <w:rPr>
          <w:color w:val="0B0B0B"/>
          <w:spacing w:val="-2"/>
        </w:rPr>
        <w:t>School </w:t>
      </w:r>
      <w:r>
        <w:rPr>
          <w:color w:val="0B0B0B"/>
        </w:rPr>
        <w:t>of Medicine. PhD, Indiana University, 2003; </w:t>
      </w:r>
      <w:r>
        <w:rPr>
          <w:color w:val="0B0B0B"/>
          <w:spacing w:val="-3"/>
        </w:rPr>
        <w:t>BS, </w:t>
      </w:r>
      <w:r>
        <w:rPr>
          <w:color w:val="0B0B0B"/>
        </w:rPr>
        <w:t>Prairie View </w:t>
      </w:r>
      <w:r>
        <w:rPr>
          <w:color w:val="0B0B0B"/>
          <w:spacing w:val="-2"/>
        </w:rPr>
        <w:t>A&amp;M </w:t>
      </w:r>
      <w:r>
        <w:rPr>
          <w:color w:val="0B0B0B"/>
        </w:rPr>
        <w:t>University, 1998.</w:t>
      </w:r>
    </w:p>
    <w:p>
      <w:pPr>
        <w:pStyle w:val="BodyText"/>
        <w:spacing w:line="249" w:lineRule="auto"/>
        <w:ind w:right="760"/>
      </w:pPr>
      <w:r>
        <w:rPr>
          <w:b/>
          <w:color w:val="0B0B0B"/>
        </w:rPr>
        <w:t>Weber, David</w:t>
      </w:r>
      <w:r>
        <w:rPr>
          <w:color w:val="0B0B0B"/>
        </w:rPr>
        <w:t>, (R), Professor, Biochemistry and Molecular Biology, School of Medicine. PhD, University of North Carolina, 1988; BS, Muhlenberg College, 1984.</w:t>
      </w:r>
    </w:p>
    <w:p>
      <w:pPr>
        <w:pStyle w:val="BodyText"/>
        <w:spacing w:line="249" w:lineRule="auto" w:before="180"/>
        <w:ind w:right="1087"/>
      </w:pPr>
      <w:r>
        <w:rPr>
          <w:b/>
          <w:color w:val="0B0B0B"/>
        </w:rPr>
        <w:t>Weber, Janet</w:t>
      </w:r>
      <w:r>
        <w:rPr>
          <w:color w:val="0B0B0B"/>
        </w:rPr>
        <w:t>, (A), Instructor and Junior Clinical Coordinator, Health Promotion and Policy, School of</w:t>
      </w:r>
    </w:p>
    <w:p>
      <w:pPr>
        <w:spacing w:after="0" w:line="249" w:lineRule="auto"/>
        <w:sectPr>
          <w:pgSz w:w="12240" w:h="15840"/>
          <w:pgMar w:header="746" w:footer="0" w:top="1320" w:bottom="280" w:left="880" w:right="300"/>
          <w:cols w:num="2" w:equalWidth="0">
            <w:col w:w="4983" w:space="503"/>
            <w:col w:w="5574"/>
          </w:cols>
        </w:sectPr>
      </w:pPr>
    </w:p>
    <w:p>
      <w:pPr>
        <w:pStyle w:val="BodyText"/>
        <w:spacing w:line="249" w:lineRule="auto" w:before="100"/>
        <w:ind w:right="142"/>
      </w:pPr>
      <w:r>
        <w:rPr>
          <w:color w:val="0B0B0B"/>
        </w:rPr>
        <w:t>Dentistry. MEd, Temple University, 1984; BS, University of Bridgeport, 1980.</w:t>
      </w:r>
    </w:p>
    <w:p>
      <w:pPr>
        <w:pStyle w:val="BodyText"/>
        <w:spacing w:line="249" w:lineRule="auto" w:before="179"/>
        <w:ind w:right="71" w:hanging="1"/>
      </w:pPr>
      <w:r>
        <w:rPr>
          <w:b/>
          <w:color w:val="0B0B0B"/>
        </w:rPr>
        <w:t>Wei, Feng</w:t>
      </w:r>
      <w:r>
        <w:rPr>
          <w:color w:val="0B0B0B"/>
        </w:rPr>
        <w:t>, (A), Research Assistant Professor, Oral and Craniofacial Biological Sciences, School of Dentistry. PhD, Chinese Academy of Sciences, 1994; MS, Tongji Medical University, 1989; MD, Hubei Medical University, 1984.</w:t>
      </w:r>
    </w:p>
    <w:p>
      <w:pPr>
        <w:pStyle w:val="BodyText"/>
        <w:spacing w:line="249" w:lineRule="auto" w:before="186"/>
        <w:ind w:right="441"/>
        <w:jc w:val="both"/>
      </w:pPr>
      <w:r>
        <w:rPr>
          <w:b/>
          <w:color w:val="0B0B0B"/>
        </w:rPr>
        <w:t>Weinreich, Daniel</w:t>
      </w:r>
      <w:r>
        <w:rPr>
          <w:color w:val="0B0B0B"/>
        </w:rPr>
        <w:t>, (R), Professor, Pharmacology and Experimental Therapeutics, School of Medicine. PhD, University of Utah, 1970; BS, Bethany College, 1964.</w:t>
      </w:r>
    </w:p>
    <w:p>
      <w:pPr>
        <w:pStyle w:val="BodyText"/>
        <w:spacing w:line="249" w:lineRule="auto" w:before="180"/>
        <w:ind w:right="110"/>
      </w:pPr>
      <w:r>
        <w:rPr>
          <w:b/>
          <w:color w:val="0B0B0B"/>
        </w:rPr>
        <w:t>Weir, Michael</w:t>
      </w:r>
      <w:r>
        <w:rPr>
          <w:color w:val="0B0B0B"/>
        </w:rPr>
        <w:t>, (A), Research Assistant Professor, School of Dentistry. PhD, University of Connecticut, 2000; MS, University of Connecticut, 2000; BS, Pennsylvania State University, 1994.</w:t>
      </w:r>
    </w:p>
    <w:p>
      <w:pPr>
        <w:pStyle w:val="BodyText"/>
        <w:spacing w:line="249" w:lineRule="auto"/>
        <w:ind w:right="243"/>
      </w:pPr>
      <w:r>
        <w:rPr>
          <w:b/>
          <w:color w:val="0B0B0B"/>
        </w:rPr>
        <w:t>Weist, Mark</w:t>
      </w:r>
      <w:r>
        <w:rPr>
          <w:color w:val="0B0B0B"/>
        </w:rPr>
        <w:t>, (R), Professor, Psychiatry, School of Medicine. PhD, Virginia Polytechnic Institute and State University, 1991; MS, Virginia Polytechnic Institute and State University, 1988; MA, West Virginia University, 1985.</w:t>
      </w:r>
    </w:p>
    <w:p>
      <w:pPr>
        <w:pStyle w:val="BodyText"/>
        <w:spacing w:line="249" w:lineRule="auto" w:before="181"/>
        <w:ind w:right="26"/>
      </w:pPr>
      <w:r>
        <w:rPr>
          <w:b/>
          <w:color w:val="0B0B0B"/>
        </w:rPr>
        <w:t>Welling, Paul</w:t>
      </w:r>
      <w:r>
        <w:rPr>
          <w:color w:val="0B0B0B"/>
        </w:rPr>
        <w:t>, (R), Professor, Physiology, School of Medicine. MD, University of Kansas, 1988; BS, University of Kansas, 1983.</w:t>
      </w:r>
    </w:p>
    <w:p>
      <w:pPr>
        <w:pStyle w:val="BodyText"/>
        <w:spacing w:line="249" w:lineRule="auto"/>
        <w:ind w:left="199" w:right="216"/>
      </w:pPr>
      <w:r>
        <w:rPr>
          <w:b/>
          <w:color w:val="0B0B0B"/>
        </w:rPr>
        <w:t>Werts, Niya, </w:t>
      </w:r>
      <w:r>
        <w:rPr>
          <w:color w:val="0B0B0B"/>
        </w:rPr>
        <w:t>(A), Associate Professor, Graduate School. BS, University of Maryland, Eastern Shore, 1996; MS, Miami University of Ohio, 1998; MIS, University of Maryland, Baltimore County; PhD, 2004.</w:t>
      </w:r>
    </w:p>
    <w:p>
      <w:pPr>
        <w:pStyle w:val="BodyText"/>
        <w:spacing w:line="249" w:lineRule="auto" w:before="180"/>
        <w:ind w:left="199"/>
      </w:pPr>
      <w:r>
        <w:rPr>
          <w:b/>
          <w:color w:val="0B0B0B"/>
        </w:rPr>
        <w:t>Westlake, Kelly P.</w:t>
      </w:r>
      <w:r>
        <w:rPr>
          <w:color w:val="0B0B0B"/>
        </w:rPr>
        <w:t>, (A), Assistant Professor, Physical Therapy and Rehabilitation Science, School of Medicine. PhD, Queen’s University, 2007; MSc, Queen’s University, 2001; BSc, McGill University, 1995.</w:t>
      </w:r>
    </w:p>
    <w:p>
      <w:pPr>
        <w:pStyle w:val="BodyText"/>
        <w:spacing w:line="249" w:lineRule="auto" w:before="186"/>
        <w:ind w:left="199" w:right="88"/>
      </w:pPr>
      <w:r>
        <w:rPr>
          <w:b/>
          <w:color w:val="0B0B0B"/>
        </w:rPr>
        <w:t>Whitall, Jill</w:t>
      </w:r>
      <w:r>
        <w:rPr>
          <w:color w:val="0B0B0B"/>
        </w:rPr>
        <w:t>, (R), Professor, Physical Therapy and Rehabilitation Science, School of Medicine. PhD, University of Maryland, 1988; MA, University of London, 1982 BEd, Keele University, 1974.</w:t>
      </w:r>
    </w:p>
    <w:p>
      <w:pPr>
        <w:pStyle w:val="BodyText"/>
        <w:spacing w:line="249" w:lineRule="auto" w:before="180"/>
        <w:ind w:left="199" w:right="399"/>
      </w:pPr>
      <w:r>
        <w:rPr>
          <w:b/>
          <w:color w:val="0B0B0B"/>
        </w:rPr>
        <w:t>White, Barbara</w:t>
      </w:r>
      <w:r>
        <w:rPr>
          <w:color w:val="0B0B0B"/>
        </w:rPr>
        <w:t>, (R), Professor, Medicine, School of Medicine. MD, University of Pennsylvania, 1975; BA, Wilson College, 1971.</w:t>
      </w:r>
    </w:p>
    <w:p>
      <w:pPr>
        <w:pStyle w:val="BodyText"/>
        <w:spacing w:line="249" w:lineRule="auto"/>
        <w:ind w:left="199" w:right="755"/>
      </w:pPr>
      <w:r>
        <w:rPr>
          <w:b/>
          <w:color w:val="0B0B0B"/>
        </w:rPr>
        <w:t>White, Ryan</w:t>
      </w:r>
      <w:r>
        <w:rPr>
          <w:color w:val="0B0B0B"/>
        </w:rPr>
        <w:t>, Associate Professor, Chemistry and Biochemistry, School of Medicine.</w:t>
      </w:r>
    </w:p>
    <w:p>
      <w:pPr>
        <w:pStyle w:val="BodyText"/>
        <w:spacing w:line="249" w:lineRule="auto" w:before="179"/>
        <w:ind w:left="199" w:right="82"/>
      </w:pPr>
      <w:r>
        <w:rPr>
          <w:b/>
          <w:color w:val="0B0B0B"/>
        </w:rPr>
        <w:t>Wickersham, Karen</w:t>
      </w:r>
      <w:r>
        <w:rPr>
          <w:color w:val="0B0B0B"/>
        </w:rPr>
        <w:t>, (A), Assistant Professor, Pain and Translational Symptoms Science, School of Nursing. PhD, University of Pittsburgh, 2012; MSN, University of Pittsburgh, 2011; BSN, University of Virginia, 1991.</w:t>
      </w:r>
    </w:p>
    <w:p>
      <w:pPr>
        <w:spacing w:before="185"/>
        <w:ind w:left="199" w:right="0" w:firstLine="0"/>
        <w:jc w:val="left"/>
        <w:rPr>
          <w:sz w:val="20"/>
        </w:rPr>
      </w:pPr>
      <w:r>
        <w:rPr>
          <w:b/>
          <w:color w:val="0B0B0B"/>
          <w:sz w:val="20"/>
        </w:rPr>
        <w:t>Wiechelt, Shelly A.</w:t>
      </w:r>
      <w:r>
        <w:rPr>
          <w:color w:val="0B0B0B"/>
          <w:sz w:val="20"/>
        </w:rPr>
        <w:t>, (R), Assistant Professor, School of</w:t>
      </w:r>
    </w:p>
    <w:p>
      <w:pPr>
        <w:pStyle w:val="BodyText"/>
        <w:spacing w:line="249" w:lineRule="auto" w:before="96"/>
        <w:ind w:right="642"/>
      </w:pPr>
      <w:r>
        <w:rPr/>
        <w:br w:type="column"/>
      </w:r>
      <w:r>
        <w:rPr>
          <w:color w:val="0B0B0B"/>
        </w:rPr>
        <w:t>Social Work. PhD, University of Pittsburgh, 1999; MSW, West Virginia University, 1985; BA, California University of Pennsylvania, 1982.</w:t>
      </w:r>
    </w:p>
    <w:p>
      <w:pPr>
        <w:pStyle w:val="BodyText"/>
        <w:spacing w:line="249" w:lineRule="auto" w:before="180"/>
        <w:ind w:right="603"/>
      </w:pPr>
      <w:r>
        <w:rPr>
          <w:b/>
          <w:color w:val="0B0B0B"/>
        </w:rPr>
        <w:t>Wiegand, Debra Lynn-McHale</w:t>
      </w:r>
      <w:r>
        <w:rPr>
          <w:color w:val="0B0B0B"/>
        </w:rPr>
        <w:t>, (R), Associate Professor, Organizational Systems and Adult Health, School of Nursing. PhD, University of Pennsylvania, 2003; MBE, University of Pennsylvania, 2003; MSN, Wayne State University, 1985.</w:t>
      </w:r>
    </w:p>
    <w:p>
      <w:pPr>
        <w:pStyle w:val="BodyText"/>
        <w:spacing w:line="249" w:lineRule="auto" w:before="186"/>
        <w:ind w:right="903"/>
      </w:pPr>
      <w:r>
        <w:rPr>
          <w:b/>
          <w:color w:val="0B0B0B"/>
        </w:rPr>
        <w:t>Wier, W. Gil</w:t>
      </w:r>
      <w:r>
        <w:rPr>
          <w:color w:val="0B0B0B"/>
        </w:rPr>
        <w:t>, (R), Professor, Physiology, School of Medicine. PhD, Utah State University, 1978; BS, Utah State University, 1971.</w:t>
      </w:r>
    </w:p>
    <w:p>
      <w:pPr>
        <w:pStyle w:val="BodyText"/>
        <w:spacing w:line="249" w:lineRule="auto" w:before="180"/>
        <w:ind w:right="614"/>
      </w:pPr>
      <w:r>
        <w:rPr>
          <w:b/>
          <w:color w:val="0B0B0B"/>
        </w:rPr>
        <w:t>Wilks, Angela, </w:t>
      </w:r>
      <w:r>
        <w:rPr>
          <w:color w:val="0B0B0B"/>
        </w:rPr>
        <w:t>(R), Professor, Associate Dean, School of Pharmacy. PhD, University of Leeds, 1987; BS, University of Lancaster, 1983.</w:t>
      </w:r>
    </w:p>
    <w:p>
      <w:pPr>
        <w:pStyle w:val="BodyText"/>
        <w:spacing w:line="249" w:lineRule="auto" w:before="184"/>
        <w:ind w:right="628"/>
      </w:pPr>
      <w:r>
        <w:rPr>
          <w:b/>
          <w:color w:val="0B0B0B"/>
        </w:rPr>
        <w:t>Williams, George</w:t>
      </w:r>
      <w:r>
        <w:rPr>
          <w:color w:val="0B0B0B"/>
        </w:rPr>
        <w:t>, (A), Assistant Professor, Physiology, School of Medicine. PhD, College of William and Mary, 2008; MS, College of William and Mary, 2005; MA, College of William and Mary, 2003.</w:t>
      </w:r>
    </w:p>
    <w:p>
      <w:pPr>
        <w:pStyle w:val="BodyText"/>
        <w:spacing w:line="249" w:lineRule="auto" w:before="181"/>
        <w:ind w:right="703"/>
      </w:pPr>
      <w:r>
        <w:rPr>
          <w:b/>
          <w:color w:val="0B0B0B"/>
        </w:rPr>
        <w:t>Williams, Henry</w:t>
      </w:r>
      <w:r>
        <w:rPr>
          <w:color w:val="0B0B0B"/>
        </w:rPr>
        <w:t>, (R), Professor, Oral and Craniofacial Biological Sciences, School of Dentistry. PhD, University of Maryland, 1979; MS, University of Maryland, 1972; BS, North Carolina State University, 1964.</w:t>
      </w:r>
    </w:p>
    <w:p>
      <w:pPr>
        <w:pStyle w:val="BodyText"/>
        <w:spacing w:line="249" w:lineRule="auto"/>
        <w:ind w:right="650"/>
      </w:pPr>
      <w:r>
        <w:rPr>
          <w:b/>
          <w:color w:val="0B0B0B"/>
        </w:rPr>
        <w:t>Williams, Mark S.</w:t>
      </w:r>
      <w:r>
        <w:rPr>
          <w:color w:val="0B0B0B"/>
        </w:rPr>
        <w:t>, (R), Assistant Professor, Microbiology and Immunology, School of Medicine. PhD, University of Michigan, 1991, BS, SUNY, 1984.</w:t>
      </w:r>
    </w:p>
    <w:p>
      <w:pPr>
        <w:pStyle w:val="BodyText"/>
        <w:spacing w:line="249" w:lineRule="auto" w:before="180"/>
        <w:ind w:left="199" w:right="609"/>
      </w:pPr>
      <w:r>
        <w:rPr>
          <w:b/>
          <w:color w:val="0B0B0B"/>
        </w:rPr>
        <w:t>Wilson, Donald</w:t>
      </w:r>
      <w:r>
        <w:rPr>
          <w:color w:val="0B0B0B"/>
        </w:rPr>
        <w:t>, (R), Professor, Dean Emeritus, Medicine, School of Medicine. MD, Tufts University, 1962; AB, Harvard University, 1958.</w:t>
      </w:r>
    </w:p>
    <w:p>
      <w:pPr>
        <w:pStyle w:val="BodyText"/>
        <w:spacing w:line="249" w:lineRule="auto" w:before="184"/>
        <w:ind w:right="598"/>
      </w:pPr>
      <w:r>
        <w:rPr>
          <w:b/>
          <w:color w:val="0B0B0B"/>
        </w:rPr>
        <w:t>Wilson, Gerald</w:t>
      </w:r>
      <w:r>
        <w:rPr>
          <w:color w:val="0B0B0B"/>
        </w:rPr>
        <w:t>, (R), Associate Professor, Biochemistry and Molecular Biology, School of Medicine. PhD, Queen’s University, 1997; BSc, Queen’s University, 1991.</w:t>
      </w:r>
    </w:p>
    <w:p>
      <w:pPr>
        <w:pStyle w:val="BodyText"/>
        <w:spacing w:line="249" w:lineRule="auto" w:before="180"/>
        <w:ind w:right="665"/>
      </w:pPr>
      <w:r>
        <w:rPr>
          <w:b/>
          <w:color w:val="0B0B0B"/>
        </w:rPr>
        <w:t>Wilson, Janice</w:t>
      </w:r>
      <w:r>
        <w:rPr>
          <w:color w:val="0B0B0B"/>
        </w:rPr>
        <w:t>, (A), Assistant Professor, Family and Community Health, </w:t>
      </w:r>
      <w:r>
        <w:rPr>
          <w:color w:val="0B0B0B"/>
          <w:spacing w:val="-2"/>
        </w:rPr>
        <w:t>School </w:t>
      </w:r>
      <w:r>
        <w:rPr>
          <w:color w:val="0B0B0B"/>
          <w:spacing w:val="-3"/>
        </w:rPr>
        <w:t>of </w:t>
      </w:r>
      <w:r>
        <w:rPr>
          <w:color w:val="0B0B0B"/>
        </w:rPr>
        <w:t>Nursing. </w:t>
      </w:r>
      <w:r>
        <w:rPr>
          <w:color w:val="0B0B0B"/>
          <w:spacing w:val="-3"/>
        </w:rPr>
        <w:t>DNP, </w:t>
      </w:r>
      <w:r>
        <w:rPr>
          <w:color w:val="0B0B0B"/>
        </w:rPr>
        <w:t>University of Maryland, Baltimore, 2009; </w:t>
      </w:r>
      <w:r>
        <w:rPr>
          <w:color w:val="0B0B0B"/>
          <w:spacing w:val="-3"/>
        </w:rPr>
        <w:t>MS, </w:t>
      </w:r>
      <w:r>
        <w:rPr>
          <w:color w:val="0B0B0B"/>
        </w:rPr>
        <w:t>University of Maryland, Baltimore, 1994; </w:t>
      </w:r>
      <w:r>
        <w:rPr>
          <w:color w:val="0B0B0B"/>
          <w:spacing w:val="-3"/>
        </w:rPr>
        <w:t>BSN, </w:t>
      </w:r>
      <w:r>
        <w:rPr>
          <w:color w:val="0B0B0B"/>
        </w:rPr>
        <w:t>University </w:t>
      </w:r>
      <w:r>
        <w:rPr>
          <w:color w:val="0B0B0B"/>
          <w:spacing w:val="-3"/>
        </w:rPr>
        <w:t>of </w:t>
      </w:r>
      <w:r>
        <w:rPr>
          <w:color w:val="0B0B0B"/>
        </w:rPr>
        <w:t>Maryland, Baltimore,</w:t>
      </w:r>
      <w:r>
        <w:rPr>
          <w:color w:val="0B0B0B"/>
          <w:spacing w:val="-1"/>
        </w:rPr>
        <w:t> </w:t>
      </w:r>
      <w:r>
        <w:rPr>
          <w:color w:val="0B0B0B"/>
        </w:rPr>
        <w:t>1974.</w:t>
      </w:r>
    </w:p>
    <w:p>
      <w:pPr>
        <w:pStyle w:val="BodyText"/>
        <w:spacing w:line="249" w:lineRule="auto" w:before="186"/>
        <w:ind w:right="628"/>
      </w:pPr>
      <w:r>
        <w:rPr>
          <w:b/>
          <w:color w:val="0B0B0B"/>
        </w:rPr>
        <w:t>Wilson, Teresa M.M.</w:t>
      </w:r>
      <w:r>
        <w:rPr>
          <w:color w:val="0B0B0B"/>
        </w:rPr>
        <w:t>, (R), Assistant Professor, Radiation Oncology, School of Medicine. PhD, Loyola University, 1995; BA, Southern Illinois University, 1990.</w:t>
      </w:r>
    </w:p>
    <w:p>
      <w:pPr>
        <w:pStyle w:val="BodyText"/>
        <w:spacing w:line="249" w:lineRule="auto" w:before="180"/>
        <w:ind w:right="1148"/>
      </w:pPr>
      <w:r>
        <w:rPr>
          <w:b/>
          <w:color w:val="0B0B0B"/>
        </w:rPr>
        <w:t>Windemuth, Brenda</w:t>
      </w:r>
      <w:r>
        <w:rPr>
          <w:color w:val="0B0B0B"/>
        </w:rPr>
        <w:t>, (A), Assistant Professor, Organizational Systems and Adult Health, School of Nursing. DNP, University of Maryland, 2011; MS, Wilmington University, 1998; BSN, Wilmington University, 1996.</w:t>
      </w:r>
    </w:p>
    <w:p>
      <w:pPr>
        <w:spacing w:after="0" w:line="249" w:lineRule="auto"/>
        <w:sectPr>
          <w:pgSz w:w="12240" w:h="15840"/>
          <w:pgMar w:header="746" w:footer="0" w:top="1320" w:bottom="280" w:left="880" w:right="300"/>
          <w:cols w:num="2" w:equalWidth="0">
            <w:col w:w="5007" w:space="480"/>
            <w:col w:w="5573"/>
          </w:cols>
        </w:sectPr>
      </w:pPr>
    </w:p>
    <w:p>
      <w:pPr>
        <w:pStyle w:val="BodyText"/>
        <w:spacing w:line="249" w:lineRule="auto" w:before="100"/>
        <w:ind w:left="199" w:right="583"/>
      </w:pPr>
      <w:r>
        <w:rPr>
          <w:b/>
          <w:color w:val="0B0B0B"/>
        </w:rPr>
        <w:t>Winkles, Jeffrey A.</w:t>
      </w:r>
      <w:r>
        <w:rPr>
          <w:color w:val="0B0B0B"/>
        </w:rPr>
        <w:t>, (R), Professor, Surgery and Physiology, School of Medicine. PhD, University of Virginia, 1983; BA, University of Delaware, 1977.</w:t>
      </w:r>
    </w:p>
    <w:p>
      <w:pPr>
        <w:pStyle w:val="BodyText"/>
        <w:spacing w:line="249" w:lineRule="auto" w:before="180"/>
        <w:ind w:left="199" w:right="97"/>
      </w:pPr>
      <w:r>
        <w:rPr>
          <w:b/>
          <w:color w:val="0B0B0B"/>
        </w:rPr>
        <w:t>Wintrode, Patrick</w:t>
      </w:r>
      <w:r>
        <w:rPr>
          <w:color w:val="0B0B0B"/>
        </w:rPr>
        <w:t>, (R), Associate Professor, Pharmaceutical Sciences, </w:t>
      </w:r>
      <w:r>
        <w:rPr>
          <w:color w:val="0B0B0B"/>
          <w:spacing w:val="-3"/>
        </w:rPr>
        <w:t>School </w:t>
      </w:r>
      <w:r>
        <w:rPr>
          <w:color w:val="0B0B0B"/>
        </w:rPr>
        <w:t>of Pharmacy., </w:t>
      </w:r>
      <w:r>
        <w:rPr>
          <w:color w:val="0B0B0B"/>
          <w:spacing w:val="-3"/>
        </w:rPr>
        <w:t>PhD, </w:t>
      </w:r>
      <w:r>
        <w:rPr>
          <w:color w:val="0B0B0B"/>
        </w:rPr>
        <w:t>Johns Hopkins University, 1998; </w:t>
      </w:r>
      <w:r>
        <w:rPr>
          <w:color w:val="0B0B0B"/>
          <w:spacing w:val="-3"/>
        </w:rPr>
        <w:t>BS, </w:t>
      </w:r>
      <w:r>
        <w:rPr>
          <w:color w:val="0B0B0B"/>
        </w:rPr>
        <w:t>Bates College,</w:t>
      </w:r>
      <w:r>
        <w:rPr>
          <w:color w:val="0B0B0B"/>
          <w:spacing w:val="-3"/>
        </w:rPr>
        <w:t> </w:t>
      </w:r>
      <w:r>
        <w:rPr>
          <w:color w:val="0B0B0B"/>
        </w:rPr>
        <w:t>1992.</w:t>
      </w:r>
    </w:p>
    <w:p>
      <w:pPr>
        <w:pStyle w:val="BodyText"/>
        <w:spacing w:line="249" w:lineRule="auto" w:before="184"/>
        <w:ind w:left="199" w:right="323"/>
        <w:jc w:val="both"/>
      </w:pPr>
      <w:r>
        <w:rPr>
          <w:b/>
          <w:color w:val="0B0B0B"/>
        </w:rPr>
        <w:t>Wise, Thomas, (</w:t>
      </w:r>
      <w:r>
        <w:rPr>
          <w:color w:val="0B0B0B"/>
        </w:rPr>
        <w:t>A), Adjunct Faculty, Graduate School. BS, Towson University, 2015; MA, The Johns Hopkins University, 2020.</w:t>
      </w:r>
    </w:p>
    <w:p>
      <w:pPr>
        <w:pStyle w:val="BodyText"/>
        <w:spacing w:line="249" w:lineRule="auto" w:before="180"/>
        <w:ind w:left="199" w:right="40"/>
      </w:pPr>
      <w:r>
        <w:rPr>
          <w:b/>
          <w:color w:val="0B0B0B"/>
        </w:rPr>
        <w:t>Wiseman, Rebecca</w:t>
      </w:r>
      <w:r>
        <w:rPr>
          <w:color w:val="0B0B0B"/>
        </w:rPr>
        <w:t>, (A), Associate Professor, Universities at Shady Grove, School of Nursing. PhD, University of Maryland, 1993; MSN, University of Pennsylvania, 1978; BSN, University of Tennessee, 1974.</w:t>
      </w:r>
    </w:p>
    <w:p>
      <w:pPr>
        <w:pStyle w:val="BodyText"/>
        <w:spacing w:line="249" w:lineRule="auto"/>
        <w:ind w:left="199" w:right="318"/>
      </w:pPr>
      <w:r>
        <w:rPr>
          <w:b/>
          <w:color w:val="0B0B0B"/>
        </w:rPr>
        <w:t>Wittenberg, George F.</w:t>
      </w:r>
      <w:r>
        <w:rPr>
          <w:color w:val="0B0B0B"/>
        </w:rPr>
        <w:t>, (R), Professor, Department of Physical Therapy and Rehabilitation Science, School of Medicine. MD, University of California, 1993; PhD, University of California, 1991; AB, Harvard College, 1983.</w:t>
      </w:r>
    </w:p>
    <w:p>
      <w:pPr>
        <w:pStyle w:val="BodyText"/>
        <w:spacing w:line="249" w:lineRule="auto" w:before="182"/>
        <w:ind w:left="199" w:right="73"/>
      </w:pPr>
      <w:r>
        <w:rPr>
          <w:b/>
          <w:color w:val="0B0B0B"/>
        </w:rPr>
        <w:t>Wonodi, Ikwunga</w:t>
      </w:r>
      <w:r>
        <w:rPr>
          <w:color w:val="0B0B0B"/>
        </w:rPr>
        <w:t>, (A), Assistant Professor, Molecular Medicine, School of Medicine. MBBS, University of Port Hardcourt, 1989; BSc, University of Port Hardcourt, 1986.</w:t>
      </w:r>
    </w:p>
    <w:p>
      <w:pPr>
        <w:pStyle w:val="BodyText"/>
        <w:spacing w:line="249" w:lineRule="auto" w:before="184"/>
        <w:ind w:left="199" w:right="23"/>
      </w:pPr>
      <w:r>
        <w:rPr>
          <w:b/>
          <w:color w:val="0B0B0B"/>
        </w:rPr>
        <w:t>Woo, Jonghye</w:t>
      </w:r>
      <w:r>
        <w:rPr>
          <w:color w:val="0B0B0B"/>
        </w:rPr>
        <w:t>, (S), Research Associate, Neural and Pain Sciences, School of Dentistry. PhD, University of Southern California, 2009; MS, University of Southern California, 2007; BS, Seoul National University, 2005.</w:t>
      </w:r>
    </w:p>
    <w:p>
      <w:pPr>
        <w:pStyle w:val="BodyText"/>
        <w:spacing w:line="249" w:lineRule="auto" w:before="181"/>
        <w:ind w:left="199" w:right="117"/>
      </w:pPr>
      <w:r>
        <w:rPr>
          <w:b/>
          <w:color w:val="0B0B0B"/>
        </w:rPr>
        <w:t>Wooten, Nicole, </w:t>
      </w:r>
      <w:r>
        <w:rPr>
          <w:color w:val="0B0B0B"/>
        </w:rPr>
        <w:t>(A), Assistant Professor, Graduate School. BS, Morgan State University, 2006; MHS, Drexel University, 2010.</w:t>
      </w:r>
    </w:p>
    <w:p>
      <w:pPr>
        <w:pStyle w:val="BodyText"/>
        <w:spacing w:line="249" w:lineRule="auto" w:before="184"/>
        <w:ind w:left="199" w:right="73"/>
      </w:pPr>
      <w:r>
        <w:rPr>
          <w:b/>
          <w:color w:val="0B0B0B"/>
        </w:rPr>
        <w:t>Woodle, Carole Sztalryd</w:t>
      </w:r>
      <w:r>
        <w:rPr>
          <w:color w:val="0B0B0B"/>
        </w:rPr>
        <w:t>, (A), Assistant Professor, Molecular Medicine, School of Medicine. PhD, University of Sciences, 1984; MS, University of Sciences, 1981; BS, University of Sciences, 1980.</w:t>
      </w:r>
    </w:p>
    <w:p>
      <w:pPr>
        <w:pStyle w:val="BodyText"/>
        <w:spacing w:line="249" w:lineRule="auto" w:before="181"/>
        <w:ind w:left="199" w:right="122"/>
      </w:pPr>
      <w:r>
        <w:rPr>
          <w:b/>
          <w:color w:val="0B0B0B"/>
        </w:rPr>
        <w:t>Woodward, Owen</w:t>
      </w:r>
      <w:r>
        <w:rPr>
          <w:color w:val="0B0B0B"/>
        </w:rPr>
        <w:t>, (A), Assistant Professor, Physiology, School of Medicine. PhD, University of Washington, 2006; BA, University of Virginia, 1998.</w:t>
      </w:r>
    </w:p>
    <w:p>
      <w:pPr>
        <w:pStyle w:val="BodyText"/>
        <w:spacing w:line="249" w:lineRule="auto" w:before="184"/>
        <w:ind w:left="199" w:right="318"/>
      </w:pPr>
      <w:r>
        <w:rPr>
          <w:b/>
          <w:color w:val="0B0B0B"/>
        </w:rPr>
        <w:t>Woodworth, Graeme</w:t>
      </w:r>
      <w:r>
        <w:rPr>
          <w:color w:val="0B0B0B"/>
        </w:rPr>
        <w:t>, (R), Assistant Professor, Department of Neurosurgery, School of Medicine. MD, Johns Hopkins University, 2005; BS, Tufts University, 1997.</w:t>
      </w:r>
    </w:p>
    <w:p>
      <w:pPr>
        <w:pStyle w:val="BodyText"/>
        <w:spacing w:line="249" w:lineRule="auto" w:before="181"/>
        <w:ind w:left="199" w:right="68"/>
      </w:pPr>
      <w:r>
        <w:rPr>
          <w:b/>
          <w:color w:val="0B0B0B"/>
        </w:rPr>
        <w:t>Woolley, Michael</w:t>
      </w:r>
      <w:r>
        <w:rPr>
          <w:color w:val="0B0B0B"/>
        </w:rPr>
        <w:t>, (R), Associate Professor, School of Social Work. PhD, University of North Carolina, 2003; MS, Virginia Commonwealth University, 1989; BS, Virginia Commonwealth University, 1986.</w:t>
      </w:r>
    </w:p>
    <w:p>
      <w:pPr>
        <w:spacing w:before="185"/>
        <w:ind w:left="199" w:right="0" w:firstLine="0"/>
        <w:jc w:val="left"/>
        <w:rPr>
          <w:sz w:val="20"/>
        </w:rPr>
      </w:pPr>
      <w:r>
        <w:rPr>
          <w:b/>
          <w:color w:val="0B0B0B"/>
          <w:sz w:val="20"/>
        </w:rPr>
        <w:t>Wortman, Jennifer Russo</w:t>
      </w:r>
      <w:r>
        <w:rPr>
          <w:color w:val="0B0B0B"/>
          <w:sz w:val="20"/>
        </w:rPr>
        <w:t>, (A), Assistant Professor,</w:t>
      </w:r>
    </w:p>
    <w:p>
      <w:pPr>
        <w:pStyle w:val="BodyText"/>
        <w:spacing w:line="249" w:lineRule="auto" w:before="96"/>
        <w:ind w:left="199" w:right="716"/>
      </w:pPr>
      <w:r>
        <w:rPr/>
        <w:br w:type="column"/>
      </w:r>
      <w:r>
        <w:rPr>
          <w:color w:val="0B0B0B"/>
        </w:rPr>
        <w:t>Molecular Medicine, School of Medicine. MS, University of North Carolina, 1996; BA, La Salle University, 1991.</w:t>
      </w:r>
    </w:p>
    <w:p>
      <w:pPr>
        <w:pStyle w:val="BodyText"/>
        <w:spacing w:line="249" w:lineRule="auto" w:before="179"/>
        <w:ind w:left="199" w:right="765"/>
      </w:pPr>
      <w:r>
        <w:rPr>
          <w:b/>
          <w:color w:val="0B0B0B"/>
        </w:rPr>
        <w:t>Wozenski, Susan</w:t>
      </w:r>
      <w:r>
        <w:rPr>
          <w:color w:val="0B0B0B"/>
        </w:rPr>
        <w:t>, (A), Assistant Professor, Family and Community Health, School of Nursing. JD, University of Connecticut, 1980; MPH, University of Michigan, 1977; BA, Mount Holyoke College, 1975.</w:t>
      </w:r>
    </w:p>
    <w:p>
      <w:pPr>
        <w:pStyle w:val="BodyText"/>
        <w:spacing w:line="249" w:lineRule="auto"/>
        <w:ind w:left="199" w:right="838"/>
      </w:pPr>
      <w:r>
        <w:rPr>
          <w:b/>
          <w:color w:val="0B0B0B"/>
        </w:rPr>
        <w:t>Wright, James, </w:t>
      </w:r>
      <w:r>
        <w:rPr>
          <w:color w:val="0B0B0B"/>
        </w:rPr>
        <w:t>(A), Adjunct Faculty, Graduate School. BA, Georgetown College, 1998; MFA, University of Arkansas, 2008.</w:t>
      </w:r>
    </w:p>
    <w:p>
      <w:pPr>
        <w:pStyle w:val="BodyText"/>
        <w:spacing w:line="249" w:lineRule="auto" w:before="180"/>
        <w:ind w:left="199" w:right="628"/>
      </w:pPr>
      <w:r>
        <w:rPr>
          <w:b/>
          <w:color w:val="0B0B0B"/>
        </w:rPr>
        <w:t>Wu, Junfang</w:t>
      </w:r>
      <w:r>
        <w:rPr>
          <w:color w:val="0B0B0B"/>
        </w:rPr>
        <w:t>, (A), Associate Professor, Anesthesiology, School of Medicine. PhD, Nanjing Medical University, 1995; MS, Nanchang University Medical School, 1992; BM, 1986.</w:t>
      </w:r>
    </w:p>
    <w:p>
      <w:pPr>
        <w:pStyle w:val="BodyText"/>
        <w:spacing w:line="249" w:lineRule="auto"/>
        <w:ind w:left="199" w:right="704"/>
      </w:pPr>
      <w:r>
        <w:rPr>
          <w:b/>
          <w:color w:val="0B0B0B"/>
        </w:rPr>
        <w:t>Wynn, Richard</w:t>
      </w:r>
      <w:r>
        <w:rPr>
          <w:color w:val="0B0B0B"/>
        </w:rPr>
        <w:t>, (R), Professor, Oral and Craniofacial Biological Sciences, School of Dentistry. PhD, University of Maryland, 1970; MS, University of Maryland, 1966; BS, University of Maryland, 1964.</w:t>
      </w:r>
    </w:p>
    <w:p>
      <w:pPr>
        <w:pStyle w:val="BodyText"/>
        <w:spacing w:line="249" w:lineRule="auto" w:before="181"/>
        <w:ind w:left="199" w:right="628"/>
      </w:pPr>
      <w:r>
        <w:rPr>
          <w:b/>
          <w:color w:val="0B0B0B"/>
        </w:rPr>
        <w:t>Xiao, Yan</w:t>
      </w:r>
      <w:r>
        <w:rPr>
          <w:color w:val="0B0B0B"/>
        </w:rPr>
        <w:t>, (A), Assistant Professor, Anesthesiology, School of Medicine. PhD, University of Toronto, 1994; MA, Beijing Institute of Technology, 1985; BA, Lanzhou Railway Institute, 1982.</w:t>
      </w:r>
    </w:p>
    <w:p>
      <w:pPr>
        <w:pStyle w:val="BodyText"/>
        <w:spacing w:line="249" w:lineRule="auto"/>
        <w:ind w:left="199" w:right="726"/>
        <w:jc w:val="both"/>
      </w:pPr>
      <w:r>
        <w:rPr>
          <w:b/>
          <w:color w:val="0B0B0B"/>
        </w:rPr>
        <w:t>Xie, Guofeng</w:t>
      </w:r>
      <w:r>
        <w:rPr>
          <w:color w:val="0B0B0B"/>
        </w:rPr>
        <w:t>, (A), Assistant Professor, Medicine, </w:t>
      </w:r>
      <w:r>
        <w:rPr>
          <w:color w:val="0B0B0B"/>
          <w:spacing w:val="-3"/>
        </w:rPr>
        <w:t>School </w:t>
      </w:r>
      <w:r>
        <w:rPr>
          <w:color w:val="0B0B0B"/>
        </w:rPr>
        <w:t>of Medicine. PhD, Louisiana State University, 1996; </w:t>
      </w:r>
      <w:r>
        <w:rPr>
          <w:color w:val="0B0B0B"/>
          <w:spacing w:val="-3"/>
        </w:rPr>
        <w:t>MD, </w:t>
      </w:r>
      <w:r>
        <w:rPr>
          <w:color w:val="0B0B0B"/>
        </w:rPr>
        <w:t>Beijing Medical University, 1990.</w:t>
      </w:r>
    </w:p>
    <w:p>
      <w:pPr>
        <w:pStyle w:val="BodyText"/>
        <w:spacing w:line="249" w:lineRule="auto" w:before="180"/>
        <w:ind w:left="199" w:right="682"/>
      </w:pPr>
      <w:r>
        <w:rPr>
          <w:b/>
          <w:color w:val="0B0B0B"/>
        </w:rPr>
        <w:t>Xu, Jianfeng</w:t>
      </w:r>
      <w:r>
        <w:rPr>
          <w:color w:val="0B0B0B"/>
        </w:rPr>
        <w:t>, (R), Assistant Professor, Medicine, School of Medicine. DrPH, Johns Hopkins University, 1997; MPH, Johns Hopkins University, 1992; MS, Shanghai Medical University, 1987.</w:t>
      </w:r>
    </w:p>
    <w:p>
      <w:pPr>
        <w:pStyle w:val="BodyText"/>
        <w:spacing w:line="249" w:lineRule="auto"/>
        <w:ind w:left="199" w:right="759" w:hanging="1"/>
      </w:pPr>
      <w:r>
        <w:rPr>
          <w:b/>
          <w:color w:val="0B0B0B"/>
        </w:rPr>
        <w:t>Xu, Huakun</w:t>
      </w:r>
      <w:r>
        <w:rPr>
          <w:color w:val="0B0B0B"/>
        </w:rPr>
        <w:t>, (R), Associate Professor, Biomedical Sciences, School of Dentistry. PhD, University of Maryland, 1993; MS, Kansas State University, 1990; BS, Hangzhou University, 1984.</w:t>
      </w:r>
    </w:p>
    <w:p>
      <w:pPr>
        <w:pStyle w:val="BodyText"/>
        <w:spacing w:line="249" w:lineRule="auto" w:before="181"/>
        <w:ind w:left="199" w:right="628"/>
      </w:pPr>
      <w:r>
        <w:rPr>
          <w:b/>
          <w:color w:val="0B0B0B"/>
        </w:rPr>
        <w:t>Yang, Austin</w:t>
      </w:r>
      <w:r>
        <w:rPr>
          <w:color w:val="0B0B0B"/>
        </w:rPr>
        <w:t>, (R), Associate Professor, Anatomy and Neurobiology, School of Medicine. PhD, University of California, Irvine, 1993; BS, National Taiwan University, 1982.</w:t>
      </w:r>
    </w:p>
    <w:p>
      <w:pPr>
        <w:pStyle w:val="BodyText"/>
        <w:spacing w:line="249" w:lineRule="auto"/>
        <w:ind w:left="199" w:right="771"/>
      </w:pPr>
      <w:r>
        <w:rPr>
          <w:b/>
          <w:color w:val="0B0B0B"/>
        </w:rPr>
        <w:t>Yang, Peixin</w:t>
      </w:r>
      <w:r>
        <w:rPr>
          <w:color w:val="0B0B0B"/>
        </w:rPr>
        <w:t>, (A), Professor, Gynecology and Reproductive Sciences, School of Medicine. PhD, Tokyo University of Agriculture and Technology, 1999; MS, Nanjing Agricultural University, 1993; BS, Zhejiang Agricultural University, 1990.</w:t>
      </w:r>
    </w:p>
    <w:p>
      <w:pPr>
        <w:pStyle w:val="BodyText"/>
        <w:spacing w:line="249" w:lineRule="auto" w:before="182"/>
        <w:ind w:left="199" w:right="688"/>
        <w:jc w:val="both"/>
      </w:pPr>
      <w:r>
        <w:rPr>
          <w:b/>
          <w:color w:val="0B0B0B"/>
        </w:rPr>
        <w:t>Yarowsky, Paul</w:t>
      </w:r>
      <w:r>
        <w:rPr>
          <w:color w:val="0B0B0B"/>
        </w:rPr>
        <w:t>, (R), Associate Professor, Pharmacology and Experimental Therapeutics, School of Medicine. PhD, George Washington University, 1976; BS, Washington</w:t>
      </w:r>
    </w:p>
    <w:p>
      <w:pPr>
        <w:spacing w:after="0" w:line="249" w:lineRule="auto"/>
        <w:jc w:val="both"/>
        <w:sectPr>
          <w:pgSz w:w="12240" w:h="15840"/>
          <w:pgMar w:header="746" w:footer="0" w:top="1320" w:bottom="280" w:left="880" w:right="300"/>
          <w:cols w:num="2" w:equalWidth="0">
            <w:col w:w="4997" w:space="490"/>
            <w:col w:w="5573"/>
          </w:cols>
        </w:sectPr>
      </w:pPr>
    </w:p>
    <w:p>
      <w:pPr>
        <w:pStyle w:val="BodyText"/>
        <w:spacing w:before="100"/>
      </w:pPr>
      <w:r>
        <w:rPr>
          <w:color w:val="0B0B0B"/>
        </w:rPr>
        <w:t>University, 1969.</w:t>
      </w:r>
    </w:p>
    <w:p>
      <w:pPr>
        <w:pStyle w:val="BodyText"/>
        <w:spacing w:line="249" w:lineRule="auto" w:before="187"/>
        <w:ind w:right="24"/>
      </w:pPr>
      <w:r>
        <w:rPr>
          <w:b/>
          <w:color w:val="0B0B0B"/>
        </w:rPr>
        <w:t>Yellowitz, Janet</w:t>
      </w:r>
      <w:r>
        <w:rPr>
          <w:color w:val="0B0B0B"/>
        </w:rPr>
        <w:t>, (A), Associate Professor, Oral Health Care Delivery, School of Dentistry. DMD, University of Pennsylvania, 1987; MPH, University of Minnesota, 1979; BS, Columbia University, 1972.</w:t>
      </w:r>
    </w:p>
    <w:p>
      <w:pPr>
        <w:pStyle w:val="BodyText"/>
        <w:spacing w:line="249" w:lineRule="auto" w:before="186"/>
        <w:ind w:right="52"/>
      </w:pPr>
      <w:r>
        <w:rPr>
          <w:b/>
          <w:color w:val="0B0B0B"/>
        </w:rPr>
        <w:t>Yerges-Armstrong, Laura</w:t>
      </w:r>
      <w:r>
        <w:rPr>
          <w:color w:val="0B0B0B"/>
        </w:rPr>
        <w:t>, (R), Adjunct Assistant Professor, Medicine, School of Medicine. PhD, University of Pittsburgh, 2008; BS, Pennsylvania State University, 2003.</w:t>
      </w:r>
    </w:p>
    <w:p>
      <w:pPr>
        <w:pStyle w:val="BodyText"/>
        <w:spacing w:line="249" w:lineRule="auto" w:before="180"/>
        <w:ind w:right="58"/>
      </w:pPr>
      <w:r>
        <w:rPr>
          <w:b/>
          <w:color w:val="0B0B0B"/>
        </w:rPr>
        <w:t>Younis, Rania</w:t>
      </w:r>
      <w:r>
        <w:rPr>
          <w:color w:val="0B0B0B"/>
        </w:rPr>
        <w:t>, (A), Assistant Professor, Oncology and Diagnostic Sciences, School of Dentistry. PhD, University of Maryland, 2011; MDS, Alexandria University, 2005; BDS, Alexandria University, 1999.</w:t>
      </w:r>
    </w:p>
    <w:p>
      <w:pPr>
        <w:pStyle w:val="BodyText"/>
        <w:spacing w:line="249" w:lineRule="auto"/>
        <w:ind w:right="25"/>
      </w:pPr>
      <w:r>
        <w:rPr>
          <w:b/>
          <w:color w:val="0B0B0B"/>
        </w:rPr>
        <w:t>Yu, Yihua Bruce</w:t>
      </w:r>
      <w:r>
        <w:rPr>
          <w:color w:val="0B0B0B"/>
        </w:rPr>
        <w:t>, (R), Associate Professor, Pharmaceutical Sciences, School of Pharmacy. PhD, Johns Hopkins University, 1996; BS, Peking University, 1987.</w:t>
      </w:r>
    </w:p>
    <w:p>
      <w:pPr>
        <w:pStyle w:val="BodyText"/>
        <w:spacing w:line="249" w:lineRule="auto" w:before="180"/>
        <w:ind w:right="47"/>
      </w:pPr>
      <w:r>
        <w:rPr>
          <w:b/>
          <w:color w:val="0B0B0B"/>
        </w:rPr>
        <w:t>Zaghloul, Norann</w:t>
      </w:r>
      <w:r>
        <w:rPr>
          <w:color w:val="0B0B0B"/>
        </w:rPr>
        <w:t>, (R), Assistant Professor, Medicine, School of Medicine. PhD, George Washington</w:t>
      </w:r>
      <w:r>
        <w:rPr>
          <w:color w:val="0B0B0B"/>
          <w:spacing w:val="-24"/>
        </w:rPr>
        <w:t> </w:t>
      </w:r>
      <w:r>
        <w:rPr>
          <w:color w:val="0B0B0B"/>
        </w:rPr>
        <w:t>University, 2006; MS, George Washington University, 2001; </w:t>
      </w:r>
      <w:r>
        <w:rPr>
          <w:color w:val="0B0B0B"/>
          <w:spacing w:val="-3"/>
        </w:rPr>
        <w:t>BS, </w:t>
      </w:r>
      <w:r>
        <w:rPr>
          <w:color w:val="0B0B0B"/>
        </w:rPr>
        <w:t>Johns Hopkins University,</w:t>
      </w:r>
      <w:r>
        <w:rPr>
          <w:color w:val="0B0B0B"/>
          <w:spacing w:val="1"/>
        </w:rPr>
        <w:t> </w:t>
      </w:r>
      <w:r>
        <w:rPr>
          <w:color w:val="0B0B0B"/>
        </w:rPr>
        <w:t>1999.</w:t>
      </w:r>
    </w:p>
    <w:p>
      <w:pPr>
        <w:pStyle w:val="BodyText"/>
        <w:spacing w:line="249" w:lineRule="auto" w:before="186"/>
        <w:ind w:right="91"/>
      </w:pPr>
      <w:r>
        <w:rPr>
          <w:b/>
          <w:color w:val="0B0B0B"/>
        </w:rPr>
        <w:t>Zalzman, Michal</w:t>
      </w:r>
      <w:r>
        <w:rPr>
          <w:color w:val="0B0B0B"/>
        </w:rPr>
        <w:t>, (A), Assistant Professor, Biochemistry and Molecular </w:t>
      </w:r>
      <w:r>
        <w:rPr>
          <w:color w:val="0B0B0B"/>
          <w:spacing w:val="-3"/>
        </w:rPr>
        <w:t>Biology, </w:t>
      </w:r>
      <w:r>
        <w:rPr>
          <w:color w:val="0B0B0B"/>
        </w:rPr>
        <w:t>School of Medicine. </w:t>
      </w:r>
      <w:r>
        <w:rPr>
          <w:color w:val="0B0B0B"/>
          <w:spacing w:val="-3"/>
        </w:rPr>
        <w:t>PhD, </w:t>
      </w:r>
      <w:r>
        <w:rPr>
          <w:color w:val="0B0B0B"/>
        </w:rPr>
        <w:t>Tel Aviv University, 2007; MSc, Tel Aviv University, 2001; </w:t>
      </w:r>
      <w:r>
        <w:rPr>
          <w:color w:val="0B0B0B"/>
          <w:spacing w:val="-3"/>
        </w:rPr>
        <w:t>BSc, </w:t>
      </w:r>
      <w:r>
        <w:rPr>
          <w:color w:val="0B0B0B"/>
        </w:rPr>
        <w:t>Bar- Ilan University,</w:t>
      </w:r>
      <w:r>
        <w:rPr>
          <w:color w:val="0B0B0B"/>
          <w:spacing w:val="15"/>
        </w:rPr>
        <w:t> </w:t>
      </w:r>
      <w:r>
        <w:rPr>
          <w:color w:val="0B0B0B"/>
        </w:rPr>
        <w:t>1998.</w:t>
      </w:r>
    </w:p>
    <w:p>
      <w:pPr>
        <w:pStyle w:val="BodyText"/>
        <w:spacing w:line="249" w:lineRule="auto" w:before="180"/>
        <w:ind w:right="91"/>
      </w:pPr>
      <w:r>
        <w:rPr>
          <w:b/>
          <w:color w:val="0B0B0B"/>
        </w:rPr>
        <w:t>Zhan, Min</w:t>
      </w:r>
      <w:r>
        <w:rPr>
          <w:color w:val="0B0B0B"/>
        </w:rPr>
        <w:t>, (R), Associate Professor, Epidemiology and Public Health, School of Medicine. PhD, University of Waterloo, 1999; MS, Simon Fraser University, 1994; MS, Fudan University, 1991.</w:t>
      </w:r>
    </w:p>
    <w:p>
      <w:pPr>
        <w:pStyle w:val="BodyText"/>
        <w:spacing w:line="249" w:lineRule="auto"/>
        <w:ind w:right="116"/>
      </w:pPr>
      <w:r>
        <w:rPr>
          <w:b/>
          <w:color w:val="0B0B0B"/>
        </w:rPr>
        <w:t>Zhan, Steven</w:t>
      </w:r>
      <w:r>
        <w:rPr>
          <w:color w:val="0B0B0B"/>
        </w:rPr>
        <w:t>, (R), Professor, Pathology, School of Medicine. PhD, Columbia University, 1988; MPh, Columbia University, 1985; MA, Columbia University, 1984.</w:t>
      </w:r>
    </w:p>
    <w:p>
      <w:pPr>
        <w:pStyle w:val="BodyText"/>
        <w:spacing w:line="249" w:lineRule="auto" w:before="181"/>
        <w:ind w:right="185"/>
      </w:pPr>
      <w:r>
        <w:rPr>
          <w:b/>
          <w:color w:val="0B0B0B"/>
        </w:rPr>
        <w:t>Zhang, Jian</w:t>
      </w:r>
      <w:r>
        <w:rPr>
          <w:color w:val="0B0B0B"/>
        </w:rPr>
        <w:t>, (A), Assistant Professor, Biochemistry and Molecular Biology, School of Medicine. PhD, Ibaraki University, 1999; MS, Institute of Chemistry, 1991; BS, Beijing Normal University, 1986.</w:t>
      </w:r>
    </w:p>
    <w:p>
      <w:pPr>
        <w:pStyle w:val="BodyText"/>
        <w:spacing w:line="249" w:lineRule="auto"/>
        <w:ind w:right="200"/>
        <w:jc w:val="both"/>
      </w:pPr>
      <w:r>
        <w:rPr>
          <w:b/>
          <w:color w:val="0B0B0B"/>
        </w:rPr>
        <w:t>Zhang, Li</w:t>
      </w:r>
      <w:r>
        <w:rPr>
          <w:color w:val="0B0B0B"/>
        </w:rPr>
        <w:t>, (A), Associate Professor, </w:t>
      </w:r>
      <w:r>
        <w:rPr>
          <w:color w:val="0B0B0B"/>
          <w:spacing w:val="-3"/>
        </w:rPr>
        <w:t>Physiology, </w:t>
      </w:r>
      <w:r>
        <w:rPr>
          <w:color w:val="0B0B0B"/>
        </w:rPr>
        <w:t>School of Medicine. PhD, University of Notre Dame, 1991; </w:t>
      </w:r>
      <w:r>
        <w:rPr>
          <w:color w:val="0B0B0B"/>
          <w:spacing w:val="-3"/>
        </w:rPr>
        <w:t>BS, </w:t>
      </w:r>
      <w:r>
        <w:rPr>
          <w:color w:val="0B0B0B"/>
        </w:rPr>
        <w:t>University of Science and Technology of China, 1984.</w:t>
      </w:r>
    </w:p>
    <w:p>
      <w:pPr>
        <w:pStyle w:val="BodyText"/>
        <w:spacing w:line="249" w:lineRule="auto" w:before="180"/>
        <w:ind w:right="116"/>
      </w:pPr>
      <w:r>
        <w:rPr>
          <w:b/>
          <w:color w:val="0B0B0B"/>
        </w:rPr>
        <w:t>Zhang, Li-Qun</w:t>
      </w:r>
      <w:r>
        <w:rPr>
          <w:color w:val="0B0B0B"/>
        </w:rPr>
        <w:t>, Professor, Physical Therapy and Rehabilitation Science, School of Medicine. PhD, Vanderbilt University, 1990; MS, Vanderbilt University, 1988.</w:t>
      </w:r>
    </w:p>
    <w:p>
      <w:pPr>
        <w:pStyle w:val="BodyText"/>
      </w:pPr>
      <w:r>
        <w:rPr>
          <w:b/>
          <w:color w:val="0B0B0B"/>
        </w:rPr>
        <w:t>Zhang, Yuji</w:t>
      </w:r>
      <w:r>
        <w:rPr>
          <w:color w:val="0B0B0B"/>
        </w:rPr>
        <w:t>, (R), Assistant Professor, Epidemiology and</w:t>
      </w:r>
    </w:p>
    <w:p>
      <w:pPr>
        <w:pStyle w:val="BodyText"/>
        <w:spacing w:line="249" w:lineRule="auto" w:before="96"/>
        <w:ind w:right="809"/>
      </w:pPr>
      <w:r>
        <w:rPr/>
        <w:br w:type="column"/>
      </w:r>
      <w:r>
        <w:rPr>
          <w:color w:val="0B0B0B"/>
        </w:rPr>
        <w:t>Public Health, School of Medicine. PhD, Computer Engineering, 2010; MS, Southeast University, 2003; BS, Southeast University, 2000.</w:t>
      </w:r>
    </w:p>
    <w:p>
      <w:pPr>
        <w:pStyle w:val="BodyText"/>
        <w:spacing w:line="249" w:lineRule="auto" w:before="180"/>
        <w:ind w:right="605"/>
      </w:pPr>
      <w:r>
        <w:rPr>
          <w:b/>
          <w:color w:val="0B0B0B"/>
        </w:rPr>
        <w:t>Zhao, Aiping</w:t>
      </w:r>
      <w:r>
        <w:rPr>
          <w:color w:val="0B0B0B"/>
        </w:rPr>
        <w:t>, (A), Assistant Professor, Medicine, School of Medicine. MS, Xuzhou Medical College, 1988; MD, Jiangxi Medical College, 1983.</w:t>
      </w:r>
    </w:p>
    <w:p>
      <w:pPr>
        <w:pStyle w:val="BodyText"/>
        <w:spacing w:line="249" w:lineRule="auto" w:before="184"/>
        <w:ind w:right="793"/>
      </w:pPr>
      <w:r>
        <w:rPr>
          <w:b/>
          <w:color w:val="0B0B0B"/>
        </w:rPr>
        <w:t>Zhao, Guiling</w:t>
      </w:r>
      <w:r>
        <w:rPr>
          <w:color w:val="0B0B0B"/>
        </w:rPr>
        <w:t>, (A), Assistant Professor, BioMET and Physiology, School of Medicine. PhD, Southern Medical University, 2003; MSc, Sun Yat-Sen (Zhongshan) University, 1995; BSc, Heze Normal College, 1989.</w:t>
      </w:r>
    </w:p>
    <w:p>
      <w:pPr>
        <w:pStyle w:val="BodyText"/>
        <w:spacing w:line="249" w:lineRule="auto" w:before="181"/>
        <w:ind w:right="771"/>
      </w:pPr>
      <w:r>
        <w:rPr>
          <w:b/>
          <w:color w:val="0B0B0B"/>
        </w:rPr>
        <w:t>Zhao, Richard Y.</w:t>
      </w:r>
      <w:r>
        <w:rPr>
          <w:color w:val="0B0B0B"/>
        </w:rPr>
        <w:t>, (R), Professor, Pathology, School of Medicine. PhD, Oregon State University, 1991; MS, Oregon State University, 1985; BS, Shandong College of Oceanography, 1981.</w:t>
      </w:r>
    </w:p>
    <w:p>
      <w:pPr>
        <w:pStyle w:val="BodyText"/>
        <w:spacing w:line="249" w:lineRule="auto"/>
        <w:ind w:right="651"/>
      </w:pPr>
      <w:r>
        <w:rPr>
          <w:b/>
          <w:color w:val="0B0B0B"/>
        </w:rPr>
        <w:t>Zhao, Xianfeng Frank</w:t>
      </w:r>
      <w:r>
        <w:rPr>
          <w:color w:val="0B0B0B"/>
        </w:rPr>
        <w:t>, (A), Associate Professor, Pathology, School of Medicine. PhD, University of Western Ontario, 1996; MSc, Academy of Military Medical Sciences, 1988; MD, Shandong Medical College, 1985.</w:t>
      </w:r>
    </w:p>
    <w:p>
      <w:pPr>
        <w:pStyle w:val="BodyText"/>
        <w:spacing w:line="249" w:lineRule="auto" w:before="181"/>
        <w:ind w:right="831"/>
      </w:pPr>
      <w:r>
        <w:rPr>
          <w:b/>
          <w:color w:val="0B0B0B"/>
        </w:rPr>
        <w:t>Zhao, Zhiyong</w:t>
      </w:r>
      <w:r>
        <w:rPr>
          <w:color w:val="0B0B0B"/>
        </w:rPr>
        <w:t>, (A), Assistant Professor, Obstetrics and Gynecology, School of Medicine. PhD, University of Manchester, England, 1993; MSc, South China Normal University, 1985; BSc, Dalian Fisheries College, 1982.</w:t>
      </w:r>
    </w:p>
    <w:p>
      <w:pPr>
        <w:pStyle w:val="BodyText"/>
        <w:spacing w:line="249" w:lineRule="auto" w:before="186"/>
        <w:ind w:right="759"/>
      </w:pPr>
      <w:r>
        <w:rPr>
          <w:b/>
          <w:color w:val="0B0B0B"/>
        </w:rPr>
        <w:t>Zhou, Qun</w:t>
      </w:r>
      <w:r>
        <w:rPr>
          <w:color w:val="0B0B0B"/>
        </w:rPr>
        <w:t>, (R), Associate Professor, Biochemistry and Molecular Biology, School of Medicine. PhD, West Virginia University, 2002; MS, Beijing University, 1990; MD, Nanjing University, 1987</w:t>
      </w:r>
    </w:p>
    <w:p>
      <w:pPr>
        <w:pStyle w:val="BodyText"/>
        <w:spacing w:line="249" w:lineRule="auto" w:before="180"/>
        <w:ind w:right="807"/>
      </w:pPr>
      <w:r>
        <w:rPr>
          <w:b/>
          <w:color w:val="0B0B0B"/>
        </w:rPr>
        <w:t>Zhu, Shijun</w:t>
      </w:r>
      <w:r>
        <w:rPr>
          <w:color w:val="0B0B0B"/>
        </w:rPr>
        <w:t>, (A), Assistant Professor, Organizational Systems and Adult Health, School of Nursing. Dr Eng, Morgan State University, 2005, MS, Colorado State University, 2007.</w:t>
      </w:r>
    </w:p>
    <w:p>
      <w:pPr>
        <w:pStyle w:val="BodyText"/>
        <w:spacing w:line="249" w:lineRule="auto" w:before="186"/>
        <w:ind w:right="807"/>
      </w:pPr>
      <w:r>
        <w:rPr>
          <w:b/>
          <w:color w:val="0B0B0B"/>
        </w:rPr>
        <w:t>Zielke, H. Ronald</w:t>
      </w:r>
      <w:r>
        <w:rPr>
          <w:color w:val="0B0B0B"/>
        </w:rPr>
        <w:t>, (R), Professor, Pediatrics, School of Medicine. PhD, Michigan State University, 1968; BS, University of Illinois, 1964.</w:t>
      </w:r>
    </w:p>
    <w:p>
      <w:pPr>
        <w:pStyle w:val="BodyText"/>
        <w:spacing w:line="249" w:lineRule="auto" w:before="179"/>
        <w:ind w:right="698"/>
      </w:pPr>
      <w:r>
        <w:rPr>
          <w:b/>
          <w:color w:val="0B0B0B"/>
        </w:rPr>
        <w:t>Zimberg, Patricia</w:t>
      </w:r>
      <w:r>
        <w:rPr>
          <w:color w:val="0B0B0B"/>
        </w:rPr>
        <w:t>, (A), Assistant Professor, Family and Community Health, School of Nursing. MS, University of Maryland, Baltimore, 2000; JD, University of Richmond, 1993; BSN, La Salle University, 1986; BS, Philadelphia College of Textiles and Science, 1980.</w:t>
      </w:r>
    </w:p>
    <w:p>
      <w:pPr>
        <w:pStyle w:val="BodyText"/>
        <w:spacing w:line="249" w:lineRule="auto" w:before="186"/>
        <w:ind w:right="621"/>
      </w:pPr>
      <w:r>
        <w:rPr>
          <w:b/>
          <w:color w:val="0B0B0B"/>
        </w:rPr>
        <w:t>Zito, Julie</w:t>
      </w:r>
      <w:r>
        <w:rPr>
          <w:color w:val="0B0B0B"/>
        </w:rPr>
        <w:t>, (R), Professor, Pharmaceutical Health Services Research, School of Medicine. PhD, University of Minnesota, 1984; MS, University of Connecticut, 1972; BS, St. John’s University, 1966.</w:t>
      </w:r>
    </w:p>
    <w:p>
      <w:pPr>
        <w:spacing w:before="181"/>
        <w:ind w:left="200" w:right="0" w:firstLine="0"/>
        <w:jc w:val="left"/>
        <w:rPr>
          <w:sz w:val="20"/>
        </w:rPr>
      </w:pPr>
      <w:r>
        <w:rPr>
          <w:b/>
          <w:color w:val="0B0B0B"/>
          <w:sz w:val="20"/>
        </w:rPr>
        <w:t>Zohar, Yonathan</w:t>
      </w:r>
      <w:r>
        <w:rPr>
          <w:color w:val="0B0B0B"/>
          <w:sz w:val="20"/>
        </w:rPr>
        <w:t>, (S), Associate Professor, Biological</w:t>
      </w:r>
    </w:p>
    <w:p>
      <w:pPr>
        <w:spacing w:after="0"/>
        <w:jc w:val="left"/>
        <w:rPr>
          <w:sz w:val="20"/>
        </w:rPr>
        <w:sectPr>
          <w:pgSz w:w="12240" w:h="15840"/>
          <w:pgMar w:header="746" w:footer="0" w:top="1320" w:bottom="280" w:left="880" w:right="300"/>
          <w:cols w:num="2" w:equalWidth="0">
            <w:col w:w="4961" w:space="525"/>
            <w:col w:w="5574"/>
          </w:cols>
        </w:sectPr>
      </w:pPr>
    </w:p>
    <w:p>
      <w:pPr>
        <w:pStyle w:val="BodyText"/>
        <w:spacing w:line="249" w:lineRule="auto" w:before="100"/>
        <w:ind w:right="25"/>
      </w:pPr>
      <w:r>
        <w:rPr>
          <w:color w:val="0B0B0B"/>
        </w:rPr>
        <w:t>Sciences. PhD, University of Pierre and Marie Curie, 1982; MS, Hebrew University of Jerusalem, 1976; BS, Hebrew University of Jerusalem, 1974.</w:t>
      </w:r>
    </w:p>
    <w:p>
      <w:pPr>
        <w:pStyle w:val="BodyText"/>
        <w:spacing w:line="249" w:lineRule="auto" w:before="180"/>
        <w:ind w:left="199" w:right="57"/>
        <w:jc w:val="both"/>
      </w:pPr>
      <w:r>
        <w:rPr>
          <w:b/>
          <w:color w:val="0B0B0B"/>
        </w:rPr>
        <w:t>Zou, Ying</w:t>
      </w:r>
      <w:r>
        <w:rPr>
          <w:color w:val="0B0B0B"/>
        </w:rPr>
        <w:t>, (A), Associate Professor, Pathology, School of Medicine. PhD, University of Texas Southwestern Medical Center, 2004; MD, Peking University, 1995.</w:t>
      </w:r>
    </w:p>
    <w:p>
      <w:pPr>
        <w:pStyle w:val="BodyText"/>
        <w:spacing w:before="0"/>
        <w:ind w:left="0"/>
        <w:rPr>
          <w:sz w:val="22"/>
        </w:rPr>
      </w:pPr>
    </w:p>
    <w:p>
      <w:pPr>
        <w:pStyle w:val="BodyText"/>
        <w:spacing w:before="4"/>
        <w:ind w:left="0"/>
        <w:rPr>
          <w:sz w:val="30"/>
        </w:rPr>
      </w:pPr>
    </w:p>
    <w:p>
      <w:pPr>
        <w:pStyle w:val="BodyText"/>
        <w:spacing w:line="249" w:lineRule="auto" w:before="0"/>
        <w:ind w:right="504"/>
      </w:pPr>
      <w:r>
        <w:rPr>
          <w:color w:val="0B0B0B"/>
        </w:rPr>
        <w:t>The Graduate Faculty directory includes Regular (R), Associate (A), and Special (S) members.</w:t>
      </w:r>
    </w:p>
    <w:p>
      <w:pPr>
        <w:pStyle w:val="BodyText"/>
        <w:spacing w:line="249" w:lineRule="auto" w:before="184"/>
        <w:ind w:right="209"/>
      </w:pPr>
      <w:r>
        <w:rPr>
          <w:b/>
          <w:color w:val="0B0B0B"/>
        </w:rPr>
        <w:t>Abrams, Thomas</w:t>
      </w:r>
      <w:r>
        <w:rPr>
          <w:color w:val="0B0B0B"/>
        </w:rPr>
        <w:t>, (R), Associate Professor, Pharmacology and Experimental Therapeutics, School of Medicine. PhD, University of Washington, 1981; BA, Carleton College, 1972.</w:t>
      </w:r>
    </w:p>
    <w:p>
      <w:pPr>
        <w:pStyle w:val="BodyText"/>
        <w:spacing w:line="249" w:lineRule="auto" w:before="180"/>
        <w:ind w:left="199" w:right="331"/>
      </w:pPr>
      <w:r>
        <w:rPr>
          <w:b/>
          <w:color w:val="0B0B0B"/>
        </w:rPr>
        <w:t>Abulseoud, Osama</w:t>
      </w:r>
      <w:r>
        <w:rPr>
          <w:color w:val="0B0B0B"/>
        </w:rPr>
        <w:t>, (S), Staff Scientist, Chemistry and Drug Metabolism, School of Medicine. MSc, Cairo University, 1996; MD, Cairo University, 1991.</w:t>
      </w:r>
    </w:p>
    <w:p>
      <w:pPr>
        <w:pStyle w:val="BodyText"/>
        <w:spacing w:line="249" w:lineRule="auto"/>
        <w:ind w:left="199" w:right="87"/>
      </w:pPr>
      <w:r>
        <w:rPr>
          <w:b/>
          <w:color w:val="0B0B0B"/>
        </w:rPr>
        <w:t>Acheson, David</w:t>
      </w:r>
      <w:r>
        <w:rPr>
          <w:color w:val="0B0B0B"/>
        </w:rPr>
        <w:t>, (A), Associate Professor, Epidemiology and Public Medicine, School of Medicine. MD, University of London, 1988; BS, University of London, 1977.</w:t>
      </w:r>
    </w:p>
    <w:p>
      <w:pPr>
        <w:pStyle w:val="BodyText"/>
        <w:spacing w:line="249" w:lineRule="auto" w:before="180"/>
        <w:ind w:left="199" w:right="310"/>
      </w:pPr>
      <w:r>
        <w:rPr>
          <w:b/>
          <w:color w:val="0B0B0B"/>
        </w:rPr>
        <w:t>Addison, Odessa</w:t>
      </w:r>
      <w:r>
        <w:rPr>
          <w:color w:val="0B0B0B"/>
        </w:rPr>
        <w:t>, (A), Assistant Professor, Physical Therapy and Rehabilitation Science. PhD, University of Utah, 2012; DPT, University of Utah, 2005; BS, University of Utah, 2003.</w:t>
      </w:r>
    </w:p>
    <w:p>
      <w:pPr>
        <w:pStyle w:val="BodyText"/>
        <w:spacing w:line="249" w:lineRule="auto"/>
        <w:ind w:left="199" w:right="104"/>
      </w:pPr>
      <w:r>
        <w:rPr>
          <w:b/>
          <w:color w:val="0B0B0B"/>
        </w:rPr>
        <w:t>Adebamowo, Clement</w:t>
      </w:r>
      <w:r>
        <w:rPr>
          <w:color w:val="0B0B0B"/>
        </w:rPr>
        <w:t>, (R), Professor, Epidemiology and Public Health, School of Medicine. DSc, Harvard University, 2004; MD, University of Jos, 1984.</w:t>
      </w:r>
    </w:p>
    <w:p>
      <w:pPr>
        <w:pStyle w:val="BodyText"/>
        <w:spacing w:line="249" w:lineRule="auto" w:before="180"/>
        <w:ind w:right="608"/>
      </w:pPr>
      <w:r>
        <w:rPr>
          <w:b/>
          <w:color w:val="0B0B0B"/>
        </w:rPr>
        <w:t>Adebamowo, Sally</w:t>
      </w:r>
      <w:r>
        <w:rPr>
          <w:color w:val="0B0B0B"/>
        </w:rPr>
        <w:t>, (A), Assistant Professor, Epidemiology and Public Health, DSc., Harvard University, 2014; MS., University of London, 2011; MBBS, University of Ibadan, 2007.</w:t>
      </w:r>
    </w:p>
    <w:p>
      <w:pPr>
        <w:pStyle w:val="BodyText"/>
        <w:spacing w:line="249" w:lineRule="auto"/>
        <w:ind w:right="26"/>
      </w:pPr>
      <w:r>
        <w:rPr>
          <w:b/>
          <w:color w:val="0B0B0B"/>
        </w:rPr>
        <w:t>Ahmed, Zubair</w:t>
      </w:r>
      <w:r>
        <w:rPr>
          <w:color w:val="0B0B0B"/>
        </w:rPr>
        <w:t>, (R), Professor, Otorhinolaryngology- Head and Neck Surgery, School of Medicine.</w:t>
      </w:r>
    </w:p>
    <w:p>
      <w:pPr>
        <w:pStyle w:val="BodyText"/>
        <w:spacing w:line="249" w:lineRule="auto" w:before="179"/>
        <w:ind w:right="80"/>
      </w:pPr>
      <w:r>
        <w:rPr>
          <w:b/>
          <w:color w:val="0B0B0B"/>
        </w:rPr>
        <w:t>Ahn, Haksoon</w:t>
      </w:r>
      <w:r>
        <w:rPr>
          <w:color w:val="0B0B0B"/>
        </w:rPr>
        <w:t>, (A), Associate Professor, School of Social Work. PhD, Brandeis University, 2009; MA, Brandeis University, 2004; MA, Yonsei University, 1995.</w:t>
      </w:r>
    </w:p>
    <w:p>
      <w:pPr>
        <w:pStyle w:val="BodyText"/>
        <w:spacing w:line="249" w:lineRule="auto"/>
        <w:ind w:right="342"/>
      </w:pPr>
      <w:r>
        <w:rPr>
          <w:b/>
          <w:color w:val="0B0B0B"/>
        </w:rPr>
        <w:t>Ahuja, Bhoomika</w:t>
      </w:r>
      <w:r>
        <w:rPr>
          <w:color w:val="0B0B0B"/>
        </w:rPr>
        <w:t>, (A), Clinical Assistant Professor, School of Dentistry. PhD, University of California, Los Angeles, 2011; BDS, Bhavnagar University, 2005.</w:t>
      </w:r>
    </w:p>
    <w:p>
      <w:pPr>
        <w:pStyle w:val="BodyText"/>
        <w:spacing w:line="249" w:lineRule="auto" w:before="179"/>
        <w:ind w:right="169"/>
      </w:pPr>
      <w:r>
        <w:rPr>
          <w:b/>
          <w:color w:val="0B0B0B"/>
        </w:rPr>
        <w:t>Aichelmann-Reidy</w:t>
      </w:r>
      <w:r>
        <w:rPr>
          <w:color w:val="0B0B0B"/>
        </w:rPr>
        <w:t>, Mary Beth, (R), Assistant Professor, Biomedical Sciences, School of Dentistry. Certificate of Periodontics, University of Pittsburgh, 1989; DDS, Stony Brook University, 1987; BS, Georgetown University, 1983.</w:t>
      </w:r>
    </w:p>
    <w:p>
      <w:pPr>
        <w:pStyle w:val="BodyText"/>
        <w:spacing w:line="249" w:lineRule="auto" w:before="96"/>
        <w:ind w:right="737"/>
      </w:pPr>
      <w:r>
        <w:rPr/>
        <w:br w:type="column"/>
      </w:r>
      <w:r>
        <w:rPr>
          <w:b/>
          <w:color w:val="0B0B0B"/>
        </w:rPr>
        <w:t>Akintade, Bimbola</w:t>
      </w:r>
      <w:r>
        <w:rPr>
          <w:color w:val="0B0B0B"/>
        </w:rPr>
        <w:t>, (A), Assistant Professor, Organizational Systems and Adult Health, School of Nursing. MBA, University of Maryland University College, 2012; PhD, University of Maryland, 2011; BSN, University of Maryland, 2003.</w:t>
      </w:r>
    </w:p>
    <w:p>
      <w:pPr>
        <w:pStyle w:val="BodyText"/>
        <w:spacing w:line="249" w:lineRule="auto" w:before="181"/>
        <w:ind w:right="759"/>
      </w:pPr>
      <w:r>
        <w:rPr>
          <w:b/>
          <w:color w:val="0B0B0B"/>
        </w:rPr>
        <w:t>Albrecht, Eugene</w:t>
      </w:r>
      <w:r>
        <w:rPr>
          <w:color w:val="0B0B0B"/>
        </w:rPr>
        <w:t>, (R), Professor, Obstetrics and Gynecology, School of Medicine. PhD, Rutgers University, 1972; MS, University of Vermont, 1967; BA, University of Vermont, 1965.</w:t>
      </w:r>
    </w:p>
    <w:p>
      <w:pPr>
        <w:pStyle w:val="BodyText"/>
        <w:spacing w:line="249" w:lineRule="auto" w:before="186"/>
        <w:ind w:right="826"/>
      </w:pPr>
      <w:r>
        <w:rPr>
          <w:b/>
          <w:color w:val="0B0B0B"/>
        </w:rPr>
        <w:t>Albrecht, Jennifer</w:t>
      </w:r>
      <w:r>
        <w:rPr>
          <w:color w:val="0B0B0B"/>
        </w:rPr>
        <w:t>, (A), Assistant Professor, Epidemiology and Public Health, School of Medicine. PhD, University of Maryland School of Medicine, 2012; BA, State University of New York at Buffalo, 1987.</w:t>
      </w:r>
    </w:p>
    <w:p>
      <w:pPr>
        <w:pStyle w:val="BodyText"/>
        <w:spacing w:line="249" w:lineRule="auto" w:before="180"/>
        <w:ind w:right="777"/>
      </w:pPr>
      <w:r>
        <w:rPr>
          <w:b/>
          <w:color w:val="0B0B0B"/>
        </w:rPr>
        <w:t>Albuquerque, Edson</w:t>
      </w:r>
      <w:r>
        <w:rPr>
          <w:color w:val="0B0B0B"/>
        </w:rPr>
        <w:t>, (R), Professor and Chair, Pharmacology and Experimental Therapeutics, School of Medicine. PhD, Escola Paulista de Medicina, 1962; MD, University Federal of Pernambuco, 1959; BS, Salesiano College, 1953.</w:t>
      </w:r>
    </w:p>
    <w:p>
      <w:pPr>
        <w:pStyle w:val="BodyText"/>
        <w:spacing w:line="249" w:lineRule="auto" w:before="186"/>
        <w:ind w:right="743"/>
      </w:pPr>
      <w:r>
        <w:rPr>
          <w:b/>
          <w:color w:val="0B0B0B"/>
        </w:rPr>
        <w:t>Aldrich, Jane</w:t>
      </w:r>
      <w:r>
        <w:rPr>
          <w:color w:val="0B0B0B"/>
        </w:rPr>
        <w:t>, (R), Professor, Pharmaceutical Sciences, School of Pharmacy. PhD, University of Michigan, 1983; BS, Michigan State University, 1976.</w:t>
      </w:r>
    </w:p>
    <w:p>
      <w:pPr>
        <w:pStyle w:val="BodyText"/>
        <w:spacing w:line="249" w:lineRule="auto" w:before="180"/>
        <w:ind w:right="665"/>
      </w:pPr>
      <w:r>
        <w:rPr>
          <w:b/>
          <w:color w:val="0B0B0B"/>
        </w:rPr>
        <w:t>Alger, Bradley</w:t>
      </w:r>
      <w:r>
        <w:rPr>
          <w:color w:val="0B0B0B"/>
        </w:rPr>
        <w:t>, (R), Professor, Physiology, School of Medicine. PhD, Harvard University, 1977; BA, University of California, Berkeley, 1972.</w:t>
      </w:r>
    </w:p>
    <w:p>
      <w:pPr>
        <w:pStyle w:val="BodyText"/>
        <w:spacing w:line="249" w:lineRule="auto"/>
        <w:ind w:right="777"/>
      </w:pPr>
      <w:r>
        <w:rPr>
          <w:b/>
          <w:color w:val="0B0B0B"/>
        </w:rPr>
        <w:t>Alkondon, Manickavasagom</w:t>
      </w:r>
      <w:r>
        <w:rPr>
          <w:color w:val="0B0B0B"/>
        </w:rPr>
        <w:t>, (A), Assistant Professor, Pharmacology and Experimental Therapeutics, School of Medicine. PhD, University of Delhi; MSc, University of Madras, 1976.</w:t>
      </w:r>
    </w:p>
    <w:p>
      <w:pPr>
        <w:pStyle w:val="BodyText"/>
        <w:spacing w:line="249" w:lineRule="auto" w:before="180"/>
        <w:ind w:right="721"/>
      </w:pPr>
      <w:r>
        <w:rPr>
          <w:b/>
          <w:color w:val="0B0B0B"/>
        </w:rPr>
        <w:t>Alley, Dawn</w:t>
      </w:r>
      <w:r>
        <w:rPr>
          <w:color w:val="0B0B0B"/>
        </w:rPr>
        <w:t>, (A), Assistant Professor, Epidemiology and Public Health, School of Medicine. PhD, University of Southern California, 2006; BS, University of Southern California, 2002.</w:t>
      </w:r>
    </w:p>
    <w:p>
      <w:pPr>
        <w:pStyle w:val="BodyText"/>
        <w:spacing w:line="249" w:lineRule="auto" w:before="186"/>
        <w:ind w:right="687"/>
      </w:pPr>
      <w:r>
        <w:rPr>
          <w:b/>
          <w:color w:val="0B0B0B"/>
        </w:rPr>
        <w:t>Alon, Gad</w:t>
      </w:r>
      <w:r>
        <w:rPr>
          <w:color w:val="0B0B0B"/>
        </w:rPr>
        <w:t>, (R), Associate Professor Emeritus, Physical Therapy and Rehabilitation Science, School of Medicine. PhD, University of Maryland, 1979; MS, Medical College of Virginia, 1975; BS, University of Maryland, 1972.</w:t>
      </w:r>
    </w:p>
    <w:p>
      <w:pPr>
        <w:pStyle w:val="BodyText"/>
        <w:spacing w:line="249" w:lineRule="auto" w:before="180"/>
        <w:ind w:right="654"/>
      </w:pPr>
      <w:r>
        <w:rPr>
          <w:b/>
          <w:color w:val="0B0B0B"/>
        </w:rPr>
        <w:t>Ambalavanar, Ranjinidevi</w:t>
      </w:r>
      <w:r>
        <w:rPr>
          <w:color w:val="0B0B0B"/>
        </w:rPr>
        <w:t>, (A), Research Assistant Professor, Biomedical Sciences, School of Dentistry. PhD, University of Liverpool, 1992; BVSc, University of Peradeniya, 1984.</w:t>
      </w:r>
    </w:p>
    <w:p>
      <w:pPr>
        <w:pStyle w:val="BodyText"/>
        <w:spacing w:line="249" w:lineRule="auto"/>
        <w:ind w:right="648"/>
      </w:pPr>
      <w:r>
        <w:rPr>
          <w:b/>
          <w:color w:val="0B0B0B"/>
        </w:rPr>
        <w:t>Ambulos Jr., Nicholas</w:t>
      </w:r>
      <w:r>
        <w:rPr>
          <w:color w:val="0B0B0B"/>
        </w:rPr>
        <w:t>, (A), Assistant Professor, Microbiology and Immunology, School of Medicine. PhD, University of Maryland, 1987; BS, University of Rochester, 1982.</w:t>
      </w:r>
    </w:p>
    <w:p>
      <w:pPr>
        <w:spacing w:after="0" w:line="249" w:lineRule="auto"/>
        <w:sectPr>
          <w:pgSz w:w="12240" w:h="15840"/>
          <w:pgMar w:header="746" w:footer="0" w:top="1320" w:bottom="280" w:left="880" w:right="300"/>
          <w:cols w:num="2" w:equalWidth="0">
            <w:col w:w="5006" w:space="480"/>
            <w:col w:w="5574"/>
          </w:cols>
        </w:sectPr>
      </w:pPr>
    </w:p>
    <w:p>
      <w:pPr>
        <w:pStyle w:val="BodyText"/>
        <w:spacing w:line="249" w:lineRule="auto" w:before="100"/>
        <w:ind w:right="96"/>
      </w:pPr>
      <w:r>
        <w:rPr>
          <w:b/>
          <w:color w:val="0B0B0B"/>
        </w:rPr>
        <w:t>Amelung, Pamela</w:t>
      </w:r>
      <w:r>
        <w:rPr>
          <w:color w:val="0B0B0B"/>
        </w:rPr>
        <w:t>, (A), Assistant Professor, Organized Research Center for the Genetics of Asthma and Complex Diseases, School of Medicine, MD, University of Maryland, 1987, BA, University of Maryland, 1982</w:t>
      </w:r>
    </w:p>
    <w:p>
      <w:pPr>
        <w:pStyle w:val="BodyText"/>
        <w:spacing w:line="249" w:lineRule="auto" w:before="180"/>
        <w:ind w:left="199" w:right="347"/>
      </w:pPr>
      <w:r>
        <w:rPr>
          <w:b/>
          <w:color w:val="0B0B0B"/>
        </w:rPr>
        <w:t>Ament, Seth</w:t>
      </w:r>
      <w:r>
        <w:rPr>
          <w:color w:val="0B0B0B"/>
        </w:rPr>
        <w:t>, (A), Assistant Professor, Anatomy and Neurobiology, School of Medicine. PhD, University of Illinois, 2010; AB, Harvard University, 2003.</w:t>
      </w:r>
    </w:p>
    <w:p>
      <w:pPr>
        <w:pStyle w:val="BodyText"/>
        <w:spacing w:line="249" w:lineRule="auto"/>
        <w:ind w:right="45"/>
      </w:pPr>
      <w:r>
        <w:rPr>
          <w:b/>
          <w:color w:val="0B0B0B"/>
        </w:rPr>
        <w:t>Amos, Veronica</w:t>
      </w:r>
      <w:r>
        <w:rPr>
          <w:color w:val="0B0B0B"/>
        </w:rPr>
        <w:t>, (A), Assistant Professor and Assistant Director of Nurse Anesthesia, Organizational Systems and Adult Health, School of Nursing. MS, University of Maryland, 2007; MS, University of Maryland, 2000; BSN, University of Maryland, 1999.</w:t>
      </w:r>
    </w:p>
    <w:p>
      <w:pPr>
        <w:pStyle w:val="BodyText"/>
        <w:spacing w:line="249" w:lineRule="auto" w:before="181"/>
        <w:ind w:left="199" w:right="46"/>
      </w:pPr>
      <w:r>
        <w:rPr>
          <w:b/>
          <w:color w:val="0B0B0B"/>
        </w:rPr>
        <w:t>Amr, Sania</w:t>
      </w:r>
      <w:r>
        <w:rPr>
          <w:color w:val="0B0B0B"/>
        </w:rPr>
        <w:t>, (R), Professor Emeritus, Epidemiology and Public Health, School of Medicine. MS, University of Maryland, 1997; MD, University Paul Sabatier, 1977; MS, University Paul Sabatier, 1976.</w:t>
      </w:r>
    </w:p>
    <w:p>
      <w:pPr>
        <w:pStyle w:val="BodyText"/>
        <w:spacing w:line="249" w:lineRule="auto"/>
        <w:ind w:left="199" w:right="851"/>
      </w:pPr>
      <w:r>
        <w:rPr>
          <w:b/>
          <w:color w:val="0B0B0B"/>
        </w:rPr>
        <w:t>An, Songon</w:t>
      </w:r>
      <w:r>
        <w:rPr>
          <w:color w:val="0B0B0B"/>
        </w:rPr>
        <w:t>, Assistant Professor, Chemistry and Biochemistry</w:t>
      </w:r>
    </w:p>
    <w:p>
      <w:pPr>
        <w:pStyle w:val="BodyText"/>
        <w:spacing w:line="249" w:lineRule="auto" w:before="180"/>
        <w:ind w:left="199" w:right="130"/>
      </w:pPr>
      <w:r>
        <w:rPr>
          <w:b/>
          <w:color w:val="0B0B0B"/>
        </w:rPr>
        <w:t>Anseloni, Vanessa C. Zilli</w:t>
      </w:r>
      <w:r>
        <w:rPr>
          <w:color w:val="0B0B0B"/>
        </w:rPr>
        <w:t>, (A), Research Assistant Professor, Biomedical Science, School of Dentistry. PhD, University of Sao Paulo, 1997; BS, University of Sao Paulo, 1994.</w:t>
      </w:r>
    </w:p>
    <w:p>
      <w:pPr>
        <w:pStyle w:val="BodyText"/>
        <w:spacing w:line="249" w:lineRule="auto"/>
        <w:ind w:left="199" w:right="71"/>
      </w:pPr>
      <w:r>
        <w:rPr>
          <w:b/>
          <w:color w:val="0B0B0B"/>
        </w:rPr>
        <w:t>Antalis, Toni M.</w:t>
      </w:r>
      <w:r>
        <w:rPr>
          <w:color w:val="0B0B0B"/>
        </w:rPr>
        <w:t>, (R), Professor, Physiology, School of Medicine. PhD, Rice University, 1981; BS, Furman University, 1975.</w:t>
      </w:r>
    </w:p>
    <w:p>
      <w:pPr>
        <w:pStyle w:val="BodyText"/>
        <w:spacing w:line="249" w:lineRule="auto" w:before="180"/>
        <w:ind w:left="199" w:right="196"/>
      </w:pPr>
      <w:r>
        <w:rPr>
          <w:b/>
          <w:color w:val="0B0B0B"/>
        </w:rPr>
        <w:t>Anthony, Bruno</w:t>
      </w:r>
      <w:r>
        <w:rPr>
          <w:color w:val="0B0B0B"/>
        </w:rPr>
        <w:t>, (R), Associate Professor, Psychiatry, School of Medicine. MA, MPhil, PhD, Columbia University, 1981; BA, University of Pennsylvania, 1973.</w:t>
      </w:r>
    </w:p>
    <w:p>
      <w:pPr>
        <w:pStyle w:val="BodyText"/>
        <w:spacing w:line="249" w:lineRule="auto" w:before="184"/>
        <w:ind w:left="199" w:right="85"/>
      </w:pPr>
      <w:r>
        <w:rPr>
          <w:b/>
          <w:color w:val="0B0B0B"/>
        </w:rPr>
        <w:t>Antony, Paul, </w:t>
      </w:r>
      <w:r>
        <w:rPr>
          <w:color w:val="0B0B0B"/>
        </w:rPr>
        <w:t>(R), Assistant Professor, Microbiology and Immunology, School of Medicine. MD, University of Michigan 2000; BS, University of Michigan, 1994.</w:t>
      </w:r>
    </w:p>
    <w:p>
      <w:pPr>
        <w:pStyle w:val="BodyText"/>
        <w:spacing w:line="249" w:lineRule="auto" w:before="180"/>
        <w:ind w:left="199" w:right="63"/>
      </w:pPr>
      <w:r>
        <w:rPr>
          <w:b/>
          <w:color w:val="0B0B0B"/>
        </w:rPr>
        <w:t>Archibald, Sarah N, </w:t>
      </w:r>
      <w:r>
        <w:rPr>
          <w:color w:val="0B0B0B"/>
        </w:rPr>
        <w:t>(A), Adjunct Faculty, Graduate School. BS, SUNY College at Buffalo, 1999; MA, George Mason University, 2003; PhD, University of Maryland, Baltimore County, 2012; MS, University of Maryland, Baltimore, 2016</w:t>
      </w:r>
    </w:p>
    <w:p>
      <w:pPr>
        <w:pStyle w:val="BodyText"/>
        <w:spacing w:line="249" w:lineRule="auto" w:before="186"/>
        <w:ind w:left="199" w:right="41"/>
      </w:pPr>
      <w:r>
        <w:rPr>
          <w:b/>
          <w:color w:val="0B0B0B"/>
        </w:rPr>
        <w:t>Atamas, Sergei</w:t>
      </w:r>
      <w:r>
        <w:rPr>
          <w:color w:val="0B0B0B"/>
        </w:rPr>
        <w:t>, (A), Assistant Professor, Microbiology and Immunology, School of Medicine. PhD, First Moscow Medical Institute, 1989; MD, Crimea State Medical Institute, 1984.</w:t>
      </w:r>
    </w:p>
    <w:p>
      <w:pPr>
        <w:pStyle w:val="BodyText"/>
        <w:spacing w:line="249" w:lineRule="auto" w:before="181"/>
        <w:ind w:left="199" w:right="18"/>
      </w:pPr>
      <w:r>
        <w:rPr>
          <w:b/>
          <w:color w:val="0B0B0B"/>
        </w:rPr>
        <w:t>Aurelian, Laure, </w:t>
      </w:r>
      <w:r>
        <w:rPr>
          <w:color w:val="0B0B0B"/>
        </w:rPr>
        <w:t>(R), Professor, Pharmacology and Experimental Therapeutics, School of Medicine. PhD, Johns Hopkins University, 1966; MS, Tel Aviv University, 1962.</w:t>
      </w:r>
    </w:p>
    <w:p>
      <w:pPr>
        <w:pStyle w:val="BodyText"/>
        <w:spacing w:line="249" w:lineRule="auto" w:before="96"/>
        <w:ind w:right="904"/>
      </w:pPr>
      <w:r>
        <w:rPr/>
        <w:br w:type="column"/>
      </w:r>
      <w:r>
        <w:rPr>
          <w:b/>
          <w:color w:val="0B0B0B"/>
        </w:rPr>
        <w:t>Azad, Abdu</w:t>
      </w:r>
      <w:r>
        <w:rPr>
          <w:color w:val="0B0B0B"/>
        </w:rPr>
        <w:t>, (R), Professor, Microbiology and Immunology, School of Medicine. PhD, Johns Hopkins University, 1976; MPH, University of Tehran, 1970; DPharm, University of Tehran, 1966.</w:t>
      </w:r>
    </w:p>
    <w:p>
      <w:pPr>
        <w:pStyle w:val="BodyText"/>
        <w:spacing w:line="249" w:lineRule="auto" w:before="180"/>
        <w:ind w:right="737"/>
      </w:pPr>
      <w:r>
        <w:rPr>
          <w:b/>
          <w:color w:val="0B0B0B"/>
        </w:rPr>
        <w:t>Azimzadeh, Agnes</w:t>
      </w:r>
      <w:r>
        <w:rPr>
          <w:color w:val="0B0B0B"/>
        </w:rPr>
        <w:t>, (R), Associate Professor, Surgery, School of Medicine. PhD, Institute of Molecular and Cellular Biology of the Center for National Scientific Research, 1992; MS, University Louis Pasteur, 1986; BS, University Louis Pasteur, 1984.</w:t>
      </w:r>
    </w:p>
    <w:p>
      <w:pPr>
        <w:pStyle w:val="BodyText"/>
        <w:spacing w:line="249" w:lineRule="auto" w:before="186"/>
        <w:ind w:right="682"/>
      </w:pPr>
      <w:r>
        <w:rPr>
          <w:b/>
          <w:color w:val="0B0B0B"/>
        </w:rPr>
        <w:t>Bachur, Nicholas</w:t>
      </w:r>
      <w:r>
        <w:rPr>
          <w:color w:val="0B0B0B"/>
        </w:rPr>
        <w:t>, (R), Professor, Greenebaum Cancer Center, School of Medicine. MD, University of Maryland, 1961; PhD, University of Maryland, 1961; AB, Johns Hopkins University, 1954.</w:t>
      </w:r>
    </w:p>
    <w:p>
      <w:pPr>
        <w:pStyle w:val="BodyText"/>
        <w:spacing w:line="249" w:lineRule="auto" w:before="181"/>
        <w:ind w:right="620"/>
      </w:pPr>
      <w:r>
        <w:rPr>
          <w:b/>
          <w:color w:val="0B0B0B"/>
        </w:rPr>
        <w:t>Baer, Maria R.</w:t>
      </w:r>
      <w:r>
        <w:rPr>
          <w:color w:val="0B0B0B"/>
        </w:rPr>
        <w:t>, (R), Professor, Molecular Medicine, School of Medicine. MD, Johns Hopkins University, 1979; BA, Harvard University, 1973.</w:t>
      </w:r>
    </w:p>
    <w:p>
      <w:pPr>
        <w:pStyle w:val="BodyText"/>
        <w:spacing w:line="249" w:lineRule="auto"/>
        <w:ind w:right="807"/>
      </w:pPr>
      <w:r>
        <w:rPr>
          <w:b/>
          <w:color w:val="0B0B0B"/>
        </w:rPr>
        <w:t>Bai, Guang</w:t>
      </w:r>
      <w:r>
        <w:rPr>
          <w:color w:val="0B0B0B"/>
        </w:rPr>
        <w:t>, (A), Assistant Professor, Oral and Craniofacial Biological Sciences, School of Dentistry. PhD, University of Ulm, 1988; MS, Fourth Military Medical College, 1983; MD, Fourth Military Medical College, 1978.</w:t>
      </w:r>
    </w:p>
    <w:p>
      <w:pPr>
        <w:pStyle w:val="BodyText"/>
        <w:spacing w:line="249" w:lineRule="auto" w:before="181"/>
        <w:ind w:left="199" w:right="627"/>
      </w:pPr>
      <w:r>
        <w:rPr>
          <w:b/>
          <w:color w:val="0B0B0B"/>
        </w:rPr>
        <w:t>Bailey, TaShara, </w:t>
      </w:r>
      <w:r>
        <w:rPr>
          <w:color w:val="0B0B0B"/>
        </w:rPr>
        <w:t>(A), Adjunct Faculty, Graduate School. BS, North Carolina Agricultural and Technical State University; MS, University of Michigan, 2000; PhD, 2014.</w:t>
      </w:r>
    </w:p>
    <w:p>
      <w:pPr>
        <w:pStyle w:val="BodyText"/>
        <w:spacing w:line="249" w:lineRule="auto" w:before="184"/>
        <w:ind w:right="660" w:hanging="1"/>
      </w:pPr>
      <w:r>
        <w:rPr>
          <w:b/>
          <w:color w:val="0B0B0B"/>
        </w:rPr>
        <w:t>Balcer-Kubiczek</w:t>
      </w:r>
      <w:r>
        <w:rPr>
          <w:color w:val="0B0B0B"/>
        </w:rPr>
        <w:t>, Elizabeth, (A), Associate Professor, Radiation Oncology, School of Medicine. PhD, University of Maryland, 1981; MS, University of Warsaw, 1967.</w:t>
      </w:r>
    </w:p>
    <w:p>
      <w:pPr>
        <w:pStyle w:val="BodyText"/>
        <w:spacing w:line="249" w:lineRule="auto" w:before="180"/>
        <w:ind w:right="815" w:hanging="1"/>
      </w:pPr>
      <w:r>
        <w:rPr>
          <w:b/>
          <w:color w:val="0B0B0B"/>
        </w:rPr>
        <w:t>Bambrick, Linda</w:t>
      </w:r>
      <w:r>
        <w:rPr>
          <w:color w:val="0B0B0B"/>
        </w:rPr>
        <w:t>, (A), Assistant Professor, Anesthesiology, School of Medicine. PhD, University of Alberta, 2002; PhD, University of Alberta, 1986; BS, University of Toronto, 1981.</w:t>
      </w:r>
    </w:p>
    <w:p>
      <w:pPr>
        <w:pStyle w:val="BodyText"/>
        <w:spacing w:line="249" w:lineRule="auto" w:before="186"/>
        <w:ind w:right="865"/>
      </w:pPr>
      <w:r>
        <w:rPr>
          <w:b/>
          <w:color w:val="0B0B0B"/>
        </w:rPr>
        <w:t>Banerjee, Arnob</w:t>
      </w:r>
      <w:r>
        <w:rPr>
          <w:color w:val="0B0B0B"/>
        </w:rPr>
        <w:t>, (R), Assistant, Microbiology and Immunology, School of Medicine. MD, Columbia University, 2002; PhD, Columbia University, 2002; BS, Brown University, 1993.</w:t>
      </w:r>
    </w:p>
    <w:p>
      <w:pPr>
        <w:pStyle w:val="BodyText"/>
        <w:spacing w:line="249" w:lineRule="auto" w:before="180"/>
        <w:ind w:right="648"/>
      </w:pPr>
      <w:r>
        <w:rPr>
          <w:b/>
          <w:color w:val="0B0B0B"/>
        </w:rPr>
        <w:t>Barnes, Douglas</w:t>
      </w:r>
      <w:r>
        <w:rPr>
          <w:color w:val="0B0B0B"/>
        </w:rPr>
        <w:t>, (A), Associate Professor, Oral Health Care Delivery, School of Dentistry. MS, University of Maryland, 1992; DDS, University of Maryland, 1983; BA, Western Maryland College, 1979.</w:t>
      </w:r>
    </w:p>
    <w:p>
      <w:pPr>
        <w:pStyle w:val="BodyText"/>
        <w:spacing w:line="249" w:lineRule="auto"/>
        <w:ind w:right="671"/>
      </w:pPr>
      <w:r>
        <w:rPr>
          <w:b/>
          <w:color w:val="0B0B0B"/>
        </w:rPr>
        <w:t>Barry, Eileen M.</w:t>
      </w:r>
      <w:r>
        <w:rPr>
          <w:color w:val="0B0B0B"/>
        </w:rPr>
        <w:t>, (R), Associate Professor, Microbiology and Immunology, School of Medicine. PhD, Medical College of Virginia; BA, University of Delaware, 1985.</w:t>
      </w:r>
    </w:p>
    <w:p>
      <w:pPr>
        <w:pStyle w:val="BodyText"/>
        <w:spacing w:line="249" w:lineRule="auto" w:before="180"/>
        <w:ind w:right="759"/>
      </w:pPr>
      <w:r>
        <w:rPr>
          <w:b/>
          <w:color w:val="0B0B0B"/>
        </w:rPr>
        <w:t>Barry, Kathryn</w:t>
      </w:r>
      <w:r>
        <w:rPr>
          <w:color w:val="0B0B0B"/>
        </w:rPr>
        <w:t>, (A), Assistant Professor, Epidemiology and Public Health. PhD, Yale University, 2011; MPH,</w:t>
      </w:r>
    </w:p>
    <w:p>
      <w:pPr>
        <w:spacing w:after="0" w:line="249" w:lineRule="auto"/>
        <w:sectPr>
          <w:headerReference w:type="default" r:id="rId124"/>
          <w:headerReference w:type="even" r:id="rId125"/>
          <w:pgSz w:w="12240" w:h="15840"/>
          <w:pgMar w:header="746" w:footer="0" w:top="1320" w:bottom="280" w:left="880" w:right="300"/>
          <w:cols w:num="2" w:equalWidth="0">
            <w:col w:w="4971" w:space="515"/>
            <w:col w:w="5574"/>
          </w:cols>
        </w:sectPr>
      </w:pPr>
    </w:p>
    <w:p>
      <w:pPr>
        <w:pStyle w:val="BodyText"/>
        <w:spacing w:before="100"/>
      </w:pPr>
      <w:r>
        <w:rPr>
          <w:color w:val="0B0B0B"/>
        </w:rPr>
        <w:t>Yale University, 2005; BS, Tufts University, 2003.</w:t>
      </w:r>
    </w:p>
    <w:p>
      <w:pPr>
        <w:pStyle w:val="BodyText"/>
        <w:spacing w:line="249" w:lineRule="auto" w:before="187"/>
        <w:ind w:right="148"/>
      </w:pPr>
      <w:r>
        <w:rPr>
          <w:b/>
          <w:color w:val="0B0B0B"/>
        </w:rPr>
        <w:t>Barth, Richard</w:t>
      </w:r>
      <w:r>
        <w:rPr>
          <w:color w:val="0B0B0B"/>
        </w:rPr>
        <w:t>, (R), Dean, School of Social Work. PhD, University of California, Berkeley, 1982; MSW, University of California, Berkeley, 1979; AB, Brown University, 1975.</w:t>
      </w:r>
    </w:p>
    <w:p>
      <w:pPr>
        <w:pStyle w:val="BodyText"/>
        <w:spacing w:line="249" w:lineRule="auto" w:before="186"/>
        <w:ind w:right="275"/>
      </w:pPr>
      <w:r>
        <w:rPr>
          <w:b/>
          <w:color w:val="0B0B0B"/>
        </w:rPr>
        <w:t>Bartlett, Stephen</w:t>
      </w:r>
      <w:r>
        <w:rPr>
          <w:color w:val="0B0B0B"/>
        </w:rPr>
        <w:t>, (R), Professor, Surgery, School of Medicine. MD, University of Chicago, 1979; BA, Johns Hopkins University, 1975.</w:t>
      </w:r>
    </w:p>
    <w:p>
      <w:pPr>
        <w:pStyle w:val="BodyText"/>
        <w:spacing w:line="249" w:lineRule="auto" w:before="179"/>
        <w:ind w:right="204"/>
      </w:pPr>
      <w:r>
        <w:rPr>
          <w:b/>
          <w:color w:val="0B0B0B"/>
        </w:rPr>
        <w:t>Barton, Joseph</w:t>
      </w:r>
      <w:r>
        <w:rPr>
          <w:color w:val="0B0B0B"/>
        </w:rPr>
        <w:t>, (A), Assistant Professor, Neurology, School of Medicine. PhD, University of California, Berkeley, 2004; MBA, Massachusetts Institute of Technology, 1984; MS, Rensselaer Polytechnic Institute, 1977.</w:t>
      </w:r>
    </w:p>
    <w:p>
      <w:pPr>
        <w:pStyle w:val="BodyText"/>
        <w:spacing w:line="249" w:lineRule="auto" w:before="186"/>
        <w:ind w:right="120"/>
      </w:pPr>
      <w:r>
        <w:rPr>
          <w:b/>
          <w:color w:val="0B0B0B"/>
        </w:rPr>
        <w:t>Bashirelahi, Nasir</w:t>
      </w:r>
      <w:r>
        <w:rPr>
          <w:color w:val="0B0B0B"/>
        </w:rPr>
        <w:t>, (R), Professor, Oral and Craniofacial Biological Sciences, School of Dentistry. PhD, University of Louisville, 1968; MS, University of Louisville, 1965; PharmD, Tehran University, 1962.</w:t>
      </w:r>
    </w:p>
    <w:p>
      <w:pPr>
        <w:pStyle w:val="BodyText"/>
        <w:spacing w:line="249" w:lineRule="auto" w:before="181"/>
        <w:ind w:left="199" w:right="71"/>
      </w:pPr>
      <w:r>
        <w:rPr>
          <w:b/>
          <w:color w:val="0B0B0B"/>
        </w:rPr>
        <w:t>Basile, John</w:t>
      </w:r>
      <w:r>
        <w:rPr>
          <w:color w:val="0B0B0B"/>
        </w:rPr>
        <w:t>, (R), Assistant Professor, Oral and Experimental Pathology, School of Dentistry, MA, DMSc, Harvard School of Dental Medicine, 2002, DDS, State University of New York, 1993, BA, Cornell University, 1989</w:t>
      </w:r>
    </w:p>
    <w:p>
      <w:pPr>
        <w:pStyle w:val="BodyText"/>
        <w:spacing w:line="249" w:lineRule="auto" w:before="186"/>
        <w:ind w:left="199" w:right="60"/>
      </w:pPr>
      <w:r>
        <w:rPr>
          <w:b/>
          <w:color w:val="0B0B0B"/>
        </w:rPr>
        <w:t>Baskakov, Ilia V.</w:t>
      </w:r>
      <w:r>
        <w:rPr>
          <w:color w:val="0B0B0B"/>
        </w:rPr>
        <w:t>, (A), Associate Professor, Anatomy and Neurobiology, </w:t>
      </w:r>
      <w:r>
        <w:rPr>
          <w:color w:val="0B0B0B"/>
          <w:spacing w:val="-2"/>
        </w:rPr>
        <w:t>School </w:t>
      </w:r>
      <w:r>
        <w:rPr>
          <w:color w:val="0B0B0B"/>
        </w:rPr>
        <w:t>of Medicine. </w:t>
      </w:r>
      <w:r>
        <w:rPr>
          <w:color w:val="0B0B0B"/>
          <w:spacing w:val="-3"/>
        </w:rPr>
        <w:t>PhD, </w:t>
      </w:r>
      <w:r>
        <w:rPr>
          <w:color w:val="0B0B0B"/>
        </w:rPr>
        <w:t>Shemyakin- Ovchinnikiv Institute Russia, 1996; MS, Lomonosov Moscow University, 1992; </w:t>
      </w:r>
      <w:r>
        <w:rPr>
          <w:color w:val="0B0B0B"/>
          <w:spacing w:val="-3"/>
        </w:rPr>
        <w:t>BS, </w:t>
      </w:r>
      <w:r>
        <w:rPr>
          <w:color w:val="0B0B0B"/>
        </w:rPr>
        <w:t>Lomonosov Moscow University,</w:t>
      </w:r>
      <w:r>
        <w:rPr>
          <w:color w:val="0B0B0B"/>
          <w:spacing w:val="4"/>
        </w:rPr>
        <w:t> </w:t>
      </w:r>
      <w:r>
        <w:rPr>
          <w:color w:val="0B0B0B"/>
        </w:rPr>
        <w:t>1990.</w:t>
      </w:r>
    </w:p>
    <w:p>
      <w:pPr>
        <w:pStyle w:val="BodyText"/>
        <w:spacing w:line="249" w:lineRule="auto" w:before="181"/>
        <w:ind w:left="199" w:right="74"/>
      </w:pPr>
      <w:r>
        <w:rPr>
          <w:b/>
          <w:color w:val="0B0B0B"/>
        </w:rPr>
        <w:t>Bastian, Amy</w:t>
      </w:r>
      <w:r>
        <w:rPr>
          <w:color w:val="0B0B0B"/>
        </w:rPr>
        <w:t>, (S), Assistant Professor, </w:t>
      </w:r>
      <w:r>
        <w:rPr>
          <w:color w:val="0B0B0B"/>
          <w:spacing w:val="-3"/>
        </w:rPr>
        <w:t>Neurology. </w:t>
      </w:r>
      <w:r>
        <w:rPr>
          <w:color w:val="0B0B0B"/>
        </w:rPr>
        <w:t>PhD, Washington University, 1995; </w:t>
      </w:r>
      <w:r>
        <w:rPr>
          <w:color w:val="0B0B0B"/>
          <w:spacing w:val="-3"/>
        </w:rPr>
        <w:t>BS, </w:t>
      </w:r>
      <w:r>
        <w:rPr>
          <w:color w:val="0B0B0B"/>
        </w:rPr>
        <w:t>University of Oklahoma,</w:t>
      </w:r>
      <w:r>
        <w:rPr>
          <w:color w:val="0B0B0B"/>
          <w:spacing w:val="-1"/>
        </w:rPr>
        <w:t> </w:t>
      </w:r>
      <w:r>
        <w:rPr>
          <w:color w:val="0B0B0B"/>
        </w:rPr>
        <w:t>1990.</w:t>
      </w:r>
    </w:p>
    <w:p>
      <w:pPr>
        <w:pStyle w:val="BodyText"/>
        <w:spacing w:line="249" w:lineRule="auto"/>
        <w:ind w:left="199" w:right="60"/>
      </w:pPr>
      <w:r>
        <w:rPr>
          <w:b/>
          <w:color w:val="0B0B0B"/>
        </w:rPr>
        <w:t>Battani, Kathryn</w:t>
      </w:r>
      <w:r>
        <w:rPr>
          <w:color w:val="0B0B0B"/>
        </w:rPr>
        <w:t>, (A), Program Director, </w:t>
      </w:r>
      <w:r>
        <w:rPr>
          <w:color w:val="0B0B0B"/>
          <w:spacing w:val="-3"/>
        </w:rPr>
        <w:t>Health </w:t>
      </w:r>
      <w:r>
        <w:rPr>
          <w:color w:val="0B0B0B"/>
        </w:rPr>
        <w:t>Promotion and </w:t>
      </w:r>
      <w:r>
        <w:rPr>
          <w:color w:val="0B0B0B"/>
          <w:spacing w:val="-3"/>
        </w:rPr>
        <w:t>Policy, </w:t>
      </w:r>
      <w:r>
        <w:rPr>
          <w:color w:val="0B0B0B"/>
          <w:spacing w:val="-2"/>
        </w:rPr>
        <w:t>School </w:t>
      </w:r>
      <w:r>
        <w:rPr>
          <w:color w:val="0B0B0B"/>
        </w:rPr>
        <w:t>of Dentistry. MS, University of Maryland, Baltimore, 2008; </w:t>
      </w:r>
      <w:r>
        <w:rPr>
          <w:color w:val="0B0B0B"/>
          <w:spacing w:val="-3"/>
        </w:rPr>
        <w:t>BS, </w:t>
      </w:r>
      <w:r>
        <w:rPr>
          <w:color w:val="0B0B0B"/>
        </w:rPr>
        <w:t>University </w:t>
      </w:r>
      <w:r>
        <w:rPr>
          <w:color w:val="0B0B0B"/>
          <w:spacing w:val="-5"/>
        </w:rPr>
        <w:t>of </w:t>
      </w:r>
      <w:r>
        <w:rPr>
          <w:color w:val="0B0B0B"/>
        </w:rPr>
        <w:t>Maryland, Baltimore,</w:t>
      </w:r>
      <w:r>
        <w:rPr>
          <w:color w:val="0B0B0B"/>
          <w:spacing w:val="4"/>
        </w:rPr>
        <w:t> </w:t>
      </w:r>
      <w:r>
        <w:rPr>
          <w:color w:val="0B0B0B"/>
        </w:rPr>
        <w:t>2002.</w:t>
      </w:r>
    </w:p>
    <w:p>
      <w:pPr>
        <w:pStyle w:val="BodyText"/>
        <w:spacing w:line="249" w:lineRule="auto" w:before="180"/>
        <w:ind w:left="199" w:right="316"/>
      </w:pPr>
      <w:r>
        <w:rPr>
          <w:b/>
          <w:color w:val="0B0B0B"/>
        </w:rPr>
        <w:t>Baulch, Janet E.</w:t>
      </w:r>
      <w:r>
        <w:rPr>
          <w:color w:val="0B0B0B"/>
        </w:rPr>
        <w:t>, (A), Assistant Professor, Molecular Medicine. PhD, California State University, 2000; BSc, California State University, 1992.</w:t>
      </w:r>
    </w:p>
    <w:p>
      <w:pPr>
        <w:pStyle w:val="BodyText"/>
        <w:spacing w:line="249" w:lineRule="auto"/>
        <w:ind w:left="199" w:right="326"/>
      </w:pPr>
      <w:r>
        <w:rPr>
          <w:b/>
          <w:color w:val="0B0B0B"/>
        </w:rPr>
        <w:t>Baumgarten, Mona</w:t>
      </w:r>
      <w:r>
        <w:rPr>
          <w:color w:val="0B0B0B"/>
        </w:rPr>
        <w:t>, (R), Adjunct Professor, Epidemiology and Public Health, School of Medicine. PhD, McGill University, 1990; MS, McGill University, 1981; BS, Concordia University, 1978.</w:t>
      </w:r>
    </w:p>
    <w:p>
      <w:pPr>
        <w:pStyle w:val="BodyText"/>
        <w:spacing w:line="249" w:lineRule="auto" w:before="181"/>
        <w:ind w:left="199" w:right="216"/>
      </w:pPr>
      <w:r>
        <w:rPr>
          <w:b/>
          <w:color w:val="0B0B0B"/>
        </w:rPr>
        <w:t>Bavoil, Patrik</w:t>
      </w:r>
      <w:r>
        <w:rPr>
          <w:color w:val="0B0B0B"/>
        </w:rPr>
        <w:t>, (R), Associate Professor, Oral and Craniofacial Biological Sciences, School of Dentistry. PhD, University of California, Berkeley, 1982.</w:t>
      </w:r>
    </w:p>
    <w:p>
      <w:pPr>
        <w:pStyle w:val="BodyText"/>
        <w:spacing w:line="249" w:lineRule="auto" w:before="96"/>
        <w:ind w:left="199" w:right="954"/>
      </w:pPr>
      <w:r>
        <w:rPr/>
        <w:br w:type="column"/>
      </w:r>
      <w:r>
        <w:rPr>
          <w:b/>
          <w:color w:val="0B0B0B"/>
        </w:rPr>
        <w:t>Beardsley, Robert S.</w:t>
      </w:r>
      <w:r>
        <w:rPr>
          <w:color w:val="0B0B0B"/>
        </w:rPr>
        <w:t>, (R), Professor, Pharmaceutical Health Services Research, School of Pharmacy. PhD, University of Minnesota, 1977; MS, University of Minnesota, 1974; BSP, Oregon State University, 1972.</w:t>
      </w:r>
    </w:p>
    <w:p>
      <w:pPr>
        <w:pStyle w:val="BodyText"/>
        <w:spacing w:line="249" w:lineRule="auto" w:before="180"/>
        <w:ind w:left="199" w:right="654"/>
      </w:pPr>
      <w:r>
        <w:rPr>
          <w:b/>
          <w:color w:val="0B0B0B"/>
        </w:rPr>
        <w:t>Bechtel, Roy</w:t>
      </w:r>
      <w:r>
        <w:rPr>
          <w:color w:val="0B0B0B"/>
        </w:rPr>
        <w:t>, (A), Assistant Professor, Physical Therapy and Rehabilitation Science, School of Medicine. PhD, University of Maryland, 1998; MA, New York University, 1982, BS; University of Maryland, 1979.</w:t>
      </w:r>
    </w:p>
    <w:p>
      <w:pPr>
        <w:pStyle w:val="BodyText"/>
        <w:spacing w:line="249" w:lineRule="auto" w:before="186"/>
        <w:ind w:left="199" w:right="799"/>
      </w:pPr>
      <w:r>
        <w:rPr>
          <w:b/>
          <w:color w:val="0B0B0B"/>
        </w:rPr>
        <w:t>Beitelshees, Amber</w:t>
      </w:r>
      <w:r>
        <w:rPr>
          <w:color w:val="0B0B0B"/>
        </w:rPr>
        <w:t>, (A), Assistant Professor, Medicine. PharmD, University of Florida, 2001;</w:t>
      </w:r>
    </w:p>
    <w:p>
      <w:pPr>
        <w:pStyle w:val="BodyText"/>
        <w:spacing w:line="249" w:lineRule="auto" w:before="179"/>
        <w:ind w:left="199" w:right="909"/>
      </w:pPr>
      <w:r>
        <w:rPr>
          <w:b/>
          <w:color w:val="0B0B0B"/>
        </w:rPr>
        <w:t>Belcher, John</w:t>
      </w:r>
      <w:r>
        <w:rPr>
          <w:color w:val="0B0B0B"/>
        </w:rPr>
        <w:t>, (R), Professor, School of Social Work. PhD, Ohio State University, 1987; MSW, University of Kentucky, 1981; BS, George Mason University, 1976.</w:t>
      </w:r>
    </w:p>
    <w:p>
      <w:pPr>
        <w:pStyle w:val="BodyText"/>
        <w:spacing w:line="249" w:lineRule="auto" w:before="184"/>
        <w:ind w:left="199" w:right="926"/>
      </w:pPr>
      <w:r>
        <w:rPr>
          <w:b/>
          <w:color w:val="0B0B0B"/>
        </w:rPr>
        <w:t>Belkin, Alexey</w:t>
      </w:r>
      <w:r>
        <w:rPr>
          <w:color w:val="0B0B0B"/>
        </w:rPr>
        <w:t>, (A), Assistant Professor, Biochemistry and Molecular Biology, School of Medicine, PhD, Moscow State University, 1989; MS, Moscow State University, 1983.</w:t>
      </w:r>
    </w:p>
    <w:p>
      <w:pPr>
        <w:pStyle w:val="BodyText"/>
        <w:spacing w:line="249" w:lineRule="auto" w:before="181"/>
        <w:ind w:left="199" w:right="615"/>
      </w:pPr>
      <w:r>
        <w:rPr>
          <w:b/>
          <w:color w:val="0B0B0B"/>
        </w:rPr>
        <w:t>Belkoff, Stephen</w:t>
      </w:r>
      <w:r>
        <w:rPr>
          <w:color w:val="0B0B0B"/>
        </w:rPr>
        <w:t>, (R), Assistant Professor, </w:t>
      </w:r>
      <w:r>
        <w:rPr>
          <w:color w:val="0B0B0B"/>
          <w:spacing w:val="-3"/>
        </w:rPr>
        <w:t>Surgery, </w:t>
      </w:r>
      <w:r>
        <w:rPr>
          <w:color w:val="0B0B0B"/>
          <w:spacing w:val="-2"/>
        </w:rPr>
        <w:t>School </w:t>
      </w:r>
      <w:r>
        <w:rPr>
          <w:color w:val="0B0B0B"/>
        </w:rPr>
        <w:t>of Medicine. PhD, Michigan State University, 1990; MS, Michigan State University, 1986; </w:t>
      </w:r>
      <w:r>
        <w:rPr>
          <w:color w:val="0B0B0B"/>
          <w:spacing w:val="-3"/>
        </w:rPr>
        <w:t>BA, </w:t>
      </w:r>
      <w:r>
        <w:rPr>
          <w:color w:val="0B0B0B"/>
        </w:rPr>
        <w:t>Michigan State University,</w:t>
      </w:r>
      <w:r>
        <w:rPr>
          <w:color w:val="0B0B0B"/>
          <w:spacing w:val="3"/>
        </w:rPr>
        <w:t> </w:t>
      </w:r>
      <w:r>
        <w:rPr>
          <w:color w:val="0B0B0B"/>
        </w:rPr>
        <w:t>1985.</w:t>
      </w:r>
    </w:p>
    <w:p>
      <w:pPr>
        <w:pStyle w:val="BodyText"/>
        <w:spacing w:line="249" w:lineRule="auto"/>
        <w:ind w:left="199" w:right="826"/>
      </w:pPr>
      <w:r>
        <w:rPr>
          <w:b/>
          <w:color w:val="0B0B0B"/>
        </w:rPr>
        <w:t>Bellin, Melissa H.</w:t>
      </w:r>
      <w:r>
        <w:rPr>
          <w:color w:val="0B0B0B"/>
        </w:rPr>
        <w:t>, (R), Associate Professor, School of Social Work. PhD, Virginia Commonwealth University, 2006; MSW, Virginia Commonwealth University, 1998; BA, Stanford University, 1995.</w:t>
      </w:r>
    </w:p>
    <w:p>
      <w:pPr>
        <w:pStyle w:val="BodyText"/>
        <w:spacing w:line="249" w:lineRule="auto" w:before="181"/>
        <w:ind w:left="199" w:right="665"/>
      </w:pPr>
      <w:r>
        <w:rPr>
          <w:b/>
          <w:color w:val="0B0B0B"/>
        </w:rPr>
        <w:t>Benavent, Vanessa</w:t>
      </w:r>
      <w:r>
        <w:rPr>
          <w:color w:val="0B0B0B"/>
        </w:rPr>
        <w:t>, (A), Clinical Assistant Professor, Neural and Pain Sciences, School of Dentistry. MS, New Jersey School of Dentistry, 2012; DDS, University of Maryland, Baltimore, 2009; BS, University of Puerto Rico at Mayaguez, 2005.</w:t>
      </w:r>
    </w:p>
    <w:p>
      <w:pPr>
        <w:pStyle w:val="BodyText"/>
        <w:spacing w:line="249" w:lineRule="auto" w:before="186"/>
        <w:ind w:left="199" w:right="628"/>
      </w:pPr>
      <w:r>
        <w:rPr>
          <w:b/>
          <w:color w:val="0B0B0B"/>
        </w:rPr>
        <w:t>Benavides, David</w:t>
      </w:r>
      <w:r>
        <w:rPr>
          <w:color w:val="0B0B0B"/>
        </w:rPr>
        <w:t>, (A), Assistant Professor, Neurology. MD, University of Texas Southwestern, 2010; PhD, University of Texas Southwestern, 2010; BS, St. Mary’s University, 2000.</w:t>
      </w:r>
    </w:p>
    <w:p>
      <w:pPr>
        <w:pStyle w:val="BodyText"/>
        <w:spacing w:line="249" w:lineRule="auto" w:before="180"/>
        <w:ind w:left="199" w:right="704"/>
      </w:pPr>
      <w:r>
        <w:rPr>
          <w:b/>
          <w:color w:val="0B0B0B"/>
        </w:rPr>
        <w:t>Benevento, Louis</w:t>
      </w:r>
      <w:r>
        <w:rPr>
          <w:color w:val="0B0B0B"/>
        </w:rPr>
        <w:t>, (R), Professor, Oral and Craniofacial Biological Sciences, School of Dentistry. PhD, University of Maryland, 1967; MS, Rensselaer Polytechnic Institute, 1964; BS, Rensselaer Polytechnic Institute, 1962.</w:t>
      </w:r>
    </w:p>
    <w:p>
      <w:pPr>
        <w:pStyle w:val="BodyText"/>
        <w:spacing w:line="249" w:lineRule="auto" w:before="186"/>
        <w:ind w:left="199" w:right="976"/>
      </w:pPr>
      <w:r>
        <w:rPr>
          <w:b/>
          <w:color w:val="0B0B0B"/>
        </w:rPr>
        <w:t>Bennett, Robert</w:t>
      </w:r>
      <w:r>
        <w:rPr>
          <w:color w:val="0B0B0B"/>
        </w:rPr>
        <w:t>, (A), Assistant Professor, Oral and Craniofacial Biological Sciences, School of Dentistry. PhD, University of Nebraska, 1967; MS, University of Nebraska, 1962; BA, Carleton College, 1960.</w:t>
      </w:r>
    </w:p>
    <w:p>
      <w:pPr>
        <w:pStyle w:val="BodyText"/>
        <w:spacing w:line="249" w:lineRule="auto" w:before="180"/>
        <w:ind w:right="710" w:hanging="1"/>
      </w:pPr>
      <w:r>
        <w:rPr>
          <w:b/>
          <w:color w:val="0B0B0B"/>
        </w:rPr>
        <w:t>Bentzen, Soren</w:t>
      </w:r>
      <w:r>
        <w:rPr>
          <w:color w:val="0B0B0B"/>
        </w:rPr>
        <w:t>, (R), Professor, Epidemiology and Public Heath, School of Medicine. MSci, University of Aarhus,</w:t>
      </w:r>
    </w:p>
    <w:p>
      <w:pPr>
        <w:spacing w:after="0" w:line="249" w:lineRule="auto"/>
        <w:sectPr>
          <w:pgSz w:w="12240" w:h="15840"/>
          <w:pgMar w:header="746" w:footer="0" w:top="1320" w:bottom="280" w:left="880" w:right="300"/>
          <w:cols w:num="2" w:equalWidth="0">
            <w:col w:w="4990" w:space="497"/>
            <w:col w:w="5573"/>
          </w:cols>
        </w:sectPr>
      </w:pPr>
    </w:p>
    <w:p>
      <w:pPr>
        <w:pStyle w:val="BodyText"/>
        <w:spacing w:line="249" w:lineRule="auto" w:before="100"/>
        <w:ind w:right="202"/>
      </w:pPr>
      <w:r>
        <w:rPr>
          <w:color w:val="0B0B0B"/>
        </w:rPr>
        <w:t>1994; PhD, University of Aarhus, 1986; MSc, University of Aarhus, 1981.</w:t>
      </w:r>
    </w:p>
    <w:p>
      <w:pPr>
        <w:pStyle w:val="BodyText"/>
        <w:spacing w:line="249" w:lineRule="auto" w:before="179"/>
        <w:ind w:right="297"/>
      </w:pPr>
      <w:r>
        <w:rPr>
          <w:b/>
          <w:color w:val="0B0B0B"/>
        </w:rPr>
        <w:t>Bergey, Gregory</w:t>
      </w:r>
      <w:r>
        <w:rPr>
          <w:color w:val="0B0B0B"/>
        </w:rPr>
        <w:t>, (A), Professor, Neurology, School of Medicine. MD, University of Pennsylvania, 1975; AB, Princeton University, 1971.</w:t>
      </w:r>
    </w:p>
    <w:p>
      <w:pPr>
        <w:pStyle w:val="BodyText"/>
        <w:spacing w:line="249" w:lineRule="auto" w:before="184"/>
        <w:ind w:right="154"/>
      </w:pPr>
      <w:r>
        <w:rPr>
          <w:b/>
          <w:color w:val="0B0B0B"/>
        </w:rPr>
        <w:t>Bergman, Stewart</w:t>
      </w:r>
      <w:r>
        <w:rPr>
          <w:color w:val="0B0B0B"/>
        </w:rPr>
        <w:t>, (A), Professor, Oral Surgery, School of Dentistry. MS, University of Maryland, 1986; DDS, State University of New York, 1968; BA, Brooklyn College, 1964.</w:t>
      </w:r>
    </w:p>
    <w:p>
      <w:pPr>
        <w:pStyle w:val="BodyText"/>
        <w:spacing w:line="249" w:lineRule="auto" w:before="181"/>
        <w:ind w:right="19"/>
      </w:pPr>
      <w:r>
        <w:rPr>
          <w:b/>
          <w:color w:val="0B0B0B"/>
        </w:rPr>
        <w:t>Berlin, Lisa</w:t>
      </w:r>
      <w:r>
        <w:rPr>
          <w:color w:val="0B0B0B"/>
        </w:rPr>
        <w:t>, (R), Assistant Professor, School of Social Work. PhD, Pennsylvania State University, 1994; MS, Pennsylvania State University, 1990; BA, Barnard College, 1986.</w:t>
      </w:r>
    </w:p>
    <w:p>
      <w:pPr>
        <w:pStyle w:val="BodyText"/>
        <w:spacing w:line="249" w:lineRule="auto"/>
        <w:ind w:right="363"/>
      </w:pPr>
      <w:r>
        <w:rPr>
          <w:b/>
          <w:color w:val="0B0B0B"/>
        </w:rPr>
        <w:t>Berndt, Rita</w:t>
      </w:r>
      <w:r>
        <w:rPr>
          <w:color w:val="0B0B0B"/>
        </w:rPr>
        <w:t>, (R), Professor, Neurology, School of Medicine. PhD, SUNY-Downstate, 1977; MA, SUNY- Downstate, 1975; BA, University of Maryland, 1971.</w:t>
      </w:r>
    </w:p>
    <w:p>
      <w:pPr>
        <w:pStyle w:val="BodyText"/>
        <w:spacing w:line="249" w:lineRule="auto" w:before="180"/>
        <w:ind w:right="61"/>
      </w:pPr>
      <w:r>
        <w:rPr>
          <w:b/>
          <w:color w:val="0B0B0B"/>
        </w:rPr>
        <w:t>Bernstein, Steven L.</w:t>
      </w:r>
      <w:r>
        <w:rPr>
          <w:color w:val="0B0B0B"/>
        </w:rPr>
        <w:t>, (R), Associate Professor, Neuroscience, School </w:t>
      </w:r>
      <w:r>
        <w:rPr>
          <w:color w:val="0B0B0B"/>
          <w:spacing w:val="-3"/>
        </w:rPr>
        <w:t>of </w:t>
      </w:r>
      <w:r>
        <w:rPr>
          <w:color w:val="0B0B0B"/>
        </w:rPr>
        <w:t>Medicine. </w:t>
      </w:r>
      <w:r>
        <w:rPr>
          <w:color w:val="0B0B0B"/>
          <w:spacing w:val="-3"/>
        </w:rPr>
        <w:t>MD, </w:t>
      </w:r>
      <w:r>
        <w:rPr>
          <w:color w:val="0B0B0B"/>
        </w:rPr>
        <w:t>Pennsylvania State University, 1985; </w:t>
      </w:r>
      <w:r>
        <w:rPr>
          <w:color w:val="0B0B0B"/>
          <w:spacing w:val="-3"/>
        </w:rPr>
        <w:t>PhD, </w:t>
      </w:r>
      <w:r>
        <w:rPr>
          <w:color w:val="0B0B0B"/>
        </w:rPr>
        <w:t>Cornell University, 1982; </w:t>
      </w:r>
      <w:r>
        <w:rPr>
          <w:color w:val="0B0B0B"/>
          <w:spacing w:val="-3"/>
        </w:rPr>
        <w:t>BSc, </w:t>
      </w:r>
      <w:r>
        <w:rPr>
          <w:color w:val="0B0B0B"/>
        </w:rPr>
        <w:t>Philadelphia College </w:t>
      </w:r>
      <w:r>
        <w:rPr>
          <w:color w:val="0B0B0B"/>
          <w:spacing w:val="-3"/>
        </w:rPr>
        <w:t>of </w:t>
      </w:r>
      <w:r>
        <w:rPr>
          <w:color w:val="0B0B0B"/>
        </w:rPr>
        <w:t>Pharmacy and Science,</w:t>
      </w:r>
      <w:r>
        <w:rPr>
          <w:color w:val="0B0B0B"/>
          <w:spacing w:val="8"/>
        </w:rPr>
        <w:t> </w:t>
      </w:r>
      <w:r>
        <w:rPr>
          <w:color w:val="0B0B0B"/>
        </w:rPr>
        <w:t>1975.</w:t>
      </w:r>
    </w:p>
    <w:p>
      <w:pPr>
        <w:pStyle w:val="BodyText"/>
        <w:spacing w:line="249" w:lineRule="auto"/>
        <w:ind w:right="663"/>
      </w:pPr>
      <w:r>
        <w:rPr>
          <w:b/>
          <w:color w:val="0B0B0B"/>
        </w:rPr>
        <w:t>Berry, Andrea Ahn-Yee</w:t>
      </w:r>
      <w:r>
        <w:rPr>
          <w:color w:val="0B0B0B"/>
        </w:rPr>
        <w:t>, (A), Assistant Professor, Pediatrics, School of Medicine. MD, University of Pennsylvania, 2003; BA, Columbia College, 1998.</w:t>
      </w:r>
    </w:p>
    <w:p>
      <w:pPr>
        <w:pStyle w:val="BodyText"/>
        <w:spacing w:line="249" w:lineRule="auto" w:before="180"/>
        <w:ind w:right="214"/>
      </w:pPr>
      <w:r>
        <w:rPr>
          <w:b/>
          <w:color w:val="0B0B0B"/>
        </w:rPr>
        <w:t>Bever Jr., Christopher</w:t>
      </w:r>
      <w:r>
        <w:rPr>
          <w:color w:val="0B0B0B"/>
        </w:rPr>
        <w:t>, (R), Professor, Neurology, School of Medicine. MD, University of Rochester, 1975; AB, Washington University, 1971.</w:t>
      </w:r>
    </w:p>
    <w:p>
      <w:pPr>
        <w:pStyle w:val="BodyText"/>
        <w:spacing w:line="249" w:lineRule="auto"/>
        <w:ind w:right="157"/>
      </w:pPr>
      <w:r>
        <w:rPr>
          <w:b/>
          <w:color w:val="0B0B0B"/>
        </w:rPr>
        <w:t>Bindon, Susan L.</w:t>
      </w:r>
      <w:r>
        <w:rPr>
          <w:color w:val="0B0B0B"/>
        </w:rPr>
        <w:t>, (A), Assistant Professor, Partnerships, Professional Education, and Practice, School of Nursing. DNP, University of Maryland, 2011; MS, University of Maryland, 2010; BSN, University of Pittsburgh, 1984.</w:t>
      </w:r>
    </w:p>
    <w:p>
      <w:pPr>
        <w:pStyle w:val="BodyText"/>
        <w:spacing w:line="249" w:lineRule="auto" w:before="180"/>
        <w:ind w:right="75"/>
      </w:pPr>
      <w:r>
        <w:rPr>
          <w:b/>
          <w:color w:val="0B0B0B"/>
        </w:rPr>
        <w:t>Birney, Kerry</w:t>
      </w:r>
      <w:r>
        <w:rPr>
          <w:color w:val="0B0B0B"/>
        </w:rPr>
        <w:t>, (A), Assistant Professor, Graduate School. BS, University of Maryland Baltimore County, 2004; MSHS, PA-C, George Washington University, 2011</w:t>
      </w:r>
    </w:p>
    <w:p>
      <w:pPr>
        <w:pStyle w:val="BodyText"/>
        <w:spacing w:line="249" w:lineRule="auto"/>
        <w:ind w:right="113"/>
      </w:pPr>
      <w:r>
        <w:rPr>
          <w:b/>
          <w:color w:val="0B0B0B"/>
        </w:rPr>
        <w:t>Bissonette, Bonita, </w:t>
      </w:r>
      <w:r>
        <w:rPr>
          <w:color w:val="0B0B0B"/>
        </w:rPr>
        <w:t>(A), Assistant Professor, Graduate School. BA, University of St. Thomas, 1985. MA, George Washington University, 1988; EdD, University of Minnesota, 2017.</w:t>
      </w:r>
    </w:p>
    <w:p>
      <w:pPr>
        <w:pStyle w:val="BodyText"/>
        <w:spacing w:line="249" w:lineRule="auto" w:before="180"/>
        <w:ind w:right="108"/>
      </w:pPr>
      <w:r>
        <w:rPr>
          <w:b/>
          <w:color w:val="0B0B0B"/>
        </w:rPr>
        <w:t>Bizzell, Kimberlee</w:t>
      </w:r>
      <w:r>
        <w:rPr>
          <w:color w:val="0B0B0B"/>
        </w:rPr>
        <w:t>, (A), Assistant Professor, Internal Medicine, School of Medicine. BS, Howard University, 1998; MS, Georgia State University, 2001; MD, The Ohio State University, 2006.</w:t>
      </w:r>
    </w:p>
    <w:p>
      <w:pPr>
        <w:pStyle w:val="BodyText"/>
        <w:spacing w:line="249" w:lineRule="auto" w:before="186"/>
        <w:ind w:right="341"/>
      </w:pPr>
      <w:r>
        <w:rPr>
          <w:b/>
          <w:color w:val="0B0B0B"/>
        </w:rPr>
        <w:t>Black, Lindsay</w:t>
      </w:r>
      <w:r>
        <w:rPr>
          <w:color w:val="0B0B0B"/>
        </w:rPr>
        <w:t>, (R), Professor, Biochemistry and Molecular Biology, School of Medicine. PhD, Stanford University, 1967; BS, University of Chicago, 1962.</w:t>
      </w:r>
    </w:p>
    <w:p>
      <w:pPr>
        <w:pStyle w:val="BodyText"/>
        <w:spacing w:line="249" w:lineRule="auto" w:before="96"/>
        <w:ind w:right="731"/>
      </w:pPr>
      <w:r>
        <w:rPr/>
        <w:br w:type="column"/>
      </w:r>
      <w:r>
        <w:rPr>
          <w:b/>
          <w:color w:val="0B0B0B"/>
        </w:rPr>
        <w:t>Black, Maureen</w:t>
      </w:r>
      <w:r>
        <w:rPr>
          <w:color w:val="0B0B0B"/>
        </w:rPr>
        <w:t>, (R), Professor, Pediatrics, School of Medicine. PhD, Emory University, 1978; MA, University of Southern California, 1973; BA, Pennsylvania State University, 1967.</w:t>
      </w:r>
    </w:p>
    <w:p>
      <w:pPr>
        <w:pStyle w:val="BodyText"/>
        <w:spacing w:line="249" w:lineRule="auto" w:before="180"/>
        <w:ind w:right="753"/>
      </w:pPr>
      <w:r>
        <w:rPr>
          <w:b/>
          <w:color w:val="0B0B0B"/>
        </w:rPr>
        <w:t>Blanchard, Thomas</w:t>
      </w:r>
      <w:r>
        <w:rPr>
          <w:color w:val="0B0B0B"/>
        </w:rPr>
        <w:t>, (R), Associate Professor, Microbiology and Immunology, School of Medicine. JD, Case Western Reserve University, 2002; PhD, University of Massachusetts, Amherst, 199; BS, University of Massachusetts, Lowell, 1985.</w:t>
      </w:r>
    </w:p>
    <w:p>
      <w:pPr>
        <w:pStyle w:val="BodyText"/>
        <w:spacing w:line="249" w:lineRule="auto" w:before="186"/>
        <w:ind w:right="669"/>
      </w:pPr>
      <w:r>
        <w:rPr>
          <w:b/>
          <w:color w:val="0B0B0B"/>
        </w:rPr>
        <w:t>Blanpied, Thomas A.</w:t>
      </w:r>
      <w:r>
        <w:rPr>
          <w:color w:val="0B0B0B"/>
        </w:rPr>
        <w:t>, (A), Assistant Professor, Physiology, School of Medicine. PhD, University of Pittsburgh, 1995; MS, University of Pittsburgh, 1991; BA, Yale University, 1987.</w:t>
      </w:r>
    </w:p>
    <w:p>
      <w:pPr>
        <w:pStyle w:val="BodyText"/>
        <w:spacing w:line="249" w:lineRule="auto" w:before="181"/>
        <w:ind w:right="903"/>
      </w:pPr>
      <w:r>
        <w:rPr>
          <w:b/>
          <w:color w:val="0B0B0B"/>
        </w:rPr>
        <w:t>Blattner, William</w:t>
      </w:r>
      <w:r>
        <w:rPr>
          <w:color w:val="0B0B0B"/>
        </w:rPr>
        <w:t>, (R), Professor, Medicine, School of Medicine. MD, Washington University, 1970; AB, Washington University, 1966.</w:t>
      </w:r>
    </w:p>
    <w:p>
      <w:pPr>
        <w:pStyle w:val="BodyText"/>
        <w:spacing w:line="249" w:lineRule="auto"/>
        <w:ind w:right="903"/>
      </w:pPr>
      <w:r>
        <w:rPr>
          <w:b/>
          <w:color w:val="0B0B0B"/>
        </w:rPr>
        <w:t>Blaustein, Mordecai</w:t>
      </w:r>
      <w:r>
        <w:rPr>
          <w:color w:val="0B0B0B"/>
        </w:rPr>
        <w:t>, (R), Professor and Chair, Physiology, School of Medicine. MD, Washington University, 1962, BA, Cornell University, 1957.</w:t>
      </w:r>
    </w:p>
    <w:p>
      <w:pPr>
        <w:pStyle w:val="BodyText"/>
        <w:spacing w:line="249" w:lineRule="auto" w:before="179"/>
        <w:ind w:right="997"/>
      </w:pPr>
      <w:r>
        <w:rPr>
          <w:b/>
          <w:color w:val="0B0B0B"/>
        </w:rPr>
        <w:t>Blitzer, Miriam</w:t>
      </w:r>
      <w:r>
        <w:rPr>
          <w:color w:val="0B0B0B"/>
        </w:rPr>
        <w:t>, (R), Professor and Interim Program Director, Human Genetics, School of Medicine. PhD, University of Pittsburgh, 1981; MS, University of Pittsburgh, 1980; BA, University of California, Irvine, 1974.</w:t>
      </w:r>
    </w:p>
    <w:p>
      <w:pPr>
        <w:pStyle w:val="BodyText"/>
        <w:spacing w:line="249" w:lineRule="auto" w:before="186"/>
        <w:ind w:right="720"/>
      </w:pPr>
      <w:r>
        <w:rPr>
          <w:b/>
          <w:color w:val="0B0B0B"/>
        </w:rPr>
        <w:t>Bloch, Robert</w:t>
      </w:r>
      <w:r>
        <w:rPr>
          <w:color w:val="0B0B0B"/>
        </w:rPr>
        <w:t>, (R), Professor, Physiology, School of Medicine. PhD, Harvard University, 1972; AB, Columbia University, 1967.</w:t>
      </w:r>
    </w:p>
    <w:p>
      <w:pPr>
        <w:pStyle w:val="BodyText"/>
        <w:spacing w:line="249" w:lineRule="auto" w:before="180"/>
        <w:ind w:right="682"/>
      </w:pPr>
      <w:r>
        <w:rPr>
          <w:b/>
          <w:color w:val="0B0B0B"/>
        </w:rPr>
        <w:t>Bode, Claire</w:t>
      </w:r>
      <w:r>
        <w:rPr>
          <w:color w:val="0B0B0B"/>
        </w:rPr>
        <w:t>, (A), Assistant Professor, Family and Community Health, School of Nursing. DNP, University of Maryland School of Nursing, 2015; MS, University of Maryland School of Nursing, 2010; BSN, Catholic University of America, 1980.</w:t>
      </w:r>
    </w:p>
    <w:p>
      <w:pPr>
        <w:pStyle w:val="BodyText"/>
        <w:spacing w:line="249" w:lineRule="auto" w:before="186"/>
        <w:ind w:right="847"/>
      </w:pPr>
      <w:r>
        <w:rPr>
          <w:b/>
          <w:color w:val="0B0B0B"/>
        </w:rPr>
        <w:t>Bondy, Mary Jo</w:t>
      </w:r>
      <w:r>
        <w:rPr>
          <w:color w:val="0B0B0B"/>
        </w:rPr>
        <w:t>, (A), Director of Graduate Studies, Graduate School. DHEd, AT Still University, 2011; PA, Duke University Medical School, 1993; MHS, Duke University Medical School, 1993.</w:t>
      </w:r>
    </w:p>
    <w:p>
      <w:pPr>
        <w:pStyle w:val="BodyText"/>
        <w:spacing w:line="249" w:lineRule="auto" w:before="181"/>
        <w:ind w:right="770"/>
      </w:pPr>
      <w:r>
        <w:rPr>
          <w:b/>
          <w:color w:val="0B0B0B"/>
        </w:rPr>
        <w:t>Born, Catherine</w:t>
      </w:r>
      <w:r>
        <w:rPr>
          <w:color w:val="0B0B0B"/>
        </w:rPr>
        <w:t>, (A), Associate Professor, School of Social Work. PhD, University of Maryland, 1982; MSW, University of Maryland, 1973; BA, University of Maryland, 1972.</w:t>
      </w:r>
    </w:p>
    <w:p>
      <w:pPr>
        <w:pStyle w:val="BodyText"/>
        <w:spacing w:line="249" w:lineRule="auto"/>
        <w:ind w:right="620"/>
      </w:pPr>
      <w:r>
        <w:rPr>
          <w:b/>
          <w:color w:val="0B0B0B"/>
        </w:rPr>
        <w:t>Boyman, Liron</w:t>
      </w:r>
      <w:r>
        <w:rPr>
          <w:color w:val="0B0B0B"/>
        </w:rPr>
        <w:t>, (A), Research Associate, Physiology, School of Medicine. PhD, Tel Aviv University, 2010; BSc, Tel Aviv University, 2004.</w:t>
      </w:r>
    </w:p>
    <w:p>
      <w:pPr>
        <w:spacing w:before="180"/>
        <w:ind w:left="200" w:right="0" w:firstLine="0"/>
        <w:jc w:val="left"/>
        <w:rPr>
          <w:sz w:val="20"/>
        </w:rPr>
      </w:pPr>
      <w:r>
        <w:rPr>
          <w:b/>
          <w:color w:val="0B0B0B"/>
          <w:sz w:val="20"/>
        </w:rPr>
        <w:t>Brandt, Nicole</w:t>
      </w:r>
      <w:r>
        <w:rPr>
          <w:color w:val="0B0B0B"/>
          <w:sz w:val="20"/>
        </w:rPr>
        <w:t>, (A), Assistant Professor, Pharmaceutical</w:t>
      </w:r>
    </w:p>
    <w:p>
      <w:pPr>
        <w:spacing w:after="0"/>
        <w:jc w:val="left"/>
        <w:rPr>
          <w:sz w:val="20"/>
        </w:rPr>
        <w:sectPr>
          <w:headerReference w:type="even" r:id="rId126"/>
          <w:headerReference w:type="default" r:id="rId127"/>
          <w:pgSz w:w="12240" w:h="15840"/>
          <w:pgMar w:header="746" w:footer="0" w:top="1320" w:bottom="280" w:left="880" w:right="300"/>
          <w:pgNumType w:start="212"/>
          <w:cols w:num="2" w:equalWidth="0">
            <w:col w:w="5000" w:space="487"/>
            <w:col w:w="5573"/>
          </w:cols>
        </w:sectPr>
      </w:pPr>
    </w:p>
    <w:p>
      <w:pPr>
        <w:pStyle w:val="BodyText"/>
        <w:spacing w:line="249" w:lineRule="auto" w:before="100"/>
        <w:ind w:right="184"/>
      </w:pPr>
      <w:r>
        <w:rPr>
          <w:color w:val="0B0B0B"/>
        </w:rPr>
        <w:t>Health Services Research, School of Pharmacy. PharmD, University of Maryland, 1997; BS, State University of New York, 1993.</w:t>
      </w:r>
    </w:p>
    <w:p>
      <w:pPr>
        <w:pStyle w:val="BodyText"/>
        <w:spacing w:line="249" w:lineRule="auto" w:before="180"/>
        <w:ind w:right="83"/>
      </w:pPr>
      <w:r>
        <w:rPr>
          <w:b/>
          <w:color w:val="0B0B0B"/>
        </w:rPr>
        <w:t>Braver, Elisa R.</w:t>
      </w:r>
      <w:r>
        <w:rPr>
          <w:color w:val="0B0B0B"/>
        </w:rPr>
        <w:t>, (A), Associate Professor, Epidemiology and Public Health, School of Medicine. PhD, Johns Hopkins Bloomberg School of Public Health, 1990; MHS, Johns Hopkins Bloomberg School of Public Health, 1977; BA, Johns Hopkins University, 1975.</w:t>
      </w:r>
    </w:p>
    <w:p>
      <w:pPr>
        <w:pStyle w:val="BodyText"/>
        <w:spacing w:line="249" w:lineRule="auto" w:before="186"/>
        <w:ind w:right="22"/>
      </w:pPr>
      <w:r>
        <w:rPr>
          <w:b/>
          <w:color w:val="0B0B0B"/>
        </w:rPr>
        <w:t>Bress, Lisa</w:t>
      </w:r>
      <w:r>
        <w:rPr>
          <w:color w:val="0B0B0B"/>
        </w:rPr>
        <w:t>, (A), Assistant Clinical Professor, Health Promotion and Policy, School of Dentistry. MS, University of Maryland, 1994; BS, University of Maryland, 1993.</w:t>
      </w:r>
    </w:p>
    <w:p>
      <w:pPr>
        <w:pStyle w:val="BodyText"/>
        <w:spacing w:line="249" w:lineRule="auto" w:before="179"/>
        <w:ind w:right="178"/>
      </w:pPr>
      <w:r>
        <w:rPr>
          <w:b/>
          <w:color w:val="0B0B0B"/>
        </w:rPr>
        <w:t>Bright, Charlotte</w:t>
      </w:r>
      <w:r>
        <w:rPr>
          <w:color w:val="0B0B0B"/>
        </w:rPr>
        <w:t>, (R), Associate Professor, School of Social Work. PhD, Washington University, 2008; MSW, University of Iowa, 2000; BM, University of Iowa, 1998.</w:t>
      </w:r>
    </w:p>
    <w:p>
      <w:pPr>
        <w:pStyle w:val="BodyText"/>
        <w:spacing w:line="249" w:lineRule="auto"/>
        <w:ind w:right="34"/>
      </w:pPr>
      <w:r>
        <w:rPr>
          <w:b/>
          <w:color w:val="0B0B0B"/>
        </w:rPr>
        <w:t>Brindle, Timothy J.</w:t>
      </w:r>
      <w:r>
        <w:rPr>
          <w:color w:val="0B0B0B"/>
        </w:rPr>
        <w:t>, (S), Instructor, Physical Therapy and Rehabilitation Science, School of Medicine. PhD, University of Kentucky, 2001; MS, Beaver College, 1989; BS, SUNY, 1987.</w:t>
      </w:r>
    </w:p>
    <w:p>
      <w:pPr>
        <w:pStyle w:val="BodyText"/>
        <w:spacing w:line="249" w:lineRule="auto" w:before="181"/>
        <w:ind w:right="140"/>
      </w:pPr>
      <w:r>
        <w:rPr>
          <w:b/>
          <w:color w:val="0B0B0B"/>
        </w:rPr>
        <w:t>Bromberg, Jonathan</w:t>
      </w:r>
      <w:r>
        <w:rPr>
          <w:color w:val="0B0B0B"/>
        </w:rPr>
        <w:t>, (R), Professor, Surgery, School of Medicine. PhD, Harvard Graduate School of Arts and Sciences, 1983; MD, Harvard Medical School, 1983; AB, Harvard College, 1977.</w:t>
      </w:r>
    </w:p>
    <w:p>
      <w:pPr>
        <w:pStyle w:val="BodyText"/>
        <w:spacing w:line="249" w:lineRule="auto"/>
        <w:ind w:right="90"/>
        <w:jc w:val="both"/>
      </w:pPr>
      <w:r>
        <w:rPr>
          <w:b/>
          <w:color w:val="0B0B0B"/>
        </w:rPr>
        <w:t>Brookes, Neville</w:t>
      </w:r>
      <w:r>
        <w:rPr>
          <w:color w:val="0B0B0B"/>
        </w:rPr>
        <w:t>, (R), Associate Professor, Pharmacology and Experimental Therapeutics, School of Medicine. PhD, Leeds University, 1967; PharmS, Bath University, 1962.</w:t>
      </w:r>
    </w:p>
    <w:p>
      <w:pPr>
        <w:pStyle w:val="BodyText"/>
        <w:spacing w:line="249" w:lineRule="auto" w:before="180"/>
        <w:ind w:right="599"/>
      </w:pPr>
      <w:r>
        <w:rPr>
          <w:b/>
          <w:color w:val="0B0B0B"/>
        </w:rPr>
        <w:t>Brotemarkle, Rebecca</w:t>
      </w:r>
      <w:r>
        <w:rPr>
          <w:color w:val="0B0B0B"/>
        </w:rPr>
        <w:t>, (A), Assistant Professor, Organization Systems and Adult Health, School of Nursing. PhD, Johns Hopkins University, 2013; MSN/MBA, Johns Hopkins University, 2004; BSN, University of Maryland, Baltimore County, 1986.</w:t>
      </w:r>
    </w:p>
    <w:p>
      <w:pPr>
        <w:pStyle w:val="BodyText"/>
        <w:spacing w:line="249" w:lineRule="auto" w:before="186"/>
        <w:ind w:right="312" w:hanging="1"/>
      </w:pPr>
      <w:r>
        <w:rPr>
          <w:b/>
          <w:color w:val="0B0B0B"/>
        </w:rPr>
        <w:t>Brotman, Rebecca</w:t>
      </w:r>
      <w:r>
        <w:rPr>
          <w:color w:val="0B0B0B"/>
        </w:rPr>
        <w:t>, (A), Associate Professor, Epidemiology and Public Health, </w:t>
      </w:r>
      <w:r>
        <w:rPr>
          <w:color w:val="0B0B0B"/>
          <w:spacing w:val="-3"/>
        </w:rPr>
        <w:t>School </w:t>
      </w:r>
      <w:r>
        <w:rPr>
          <w:color w:val="0B0B0B"/>
        </w:rPr>
        <w:t>of Medicine. PhD, Johns Hopkins University, 2007; </w:t>
      </w:r>
      <w:r>
        <w:rPr>
          <w:color w:val="0B0B0B"/>
          <w:spacing w:val="-3"/>
        </w:rPr>
        <w:t>MPH, </w:t>
      </w:r>
      <w:r>
        <w:rPr>
          <w:color w:val="0B0B0B"/>
        </w:rPr>
        <w:t>Johns Hopkins University, 2001; </w:t>
      </w:r>
      <w:r>
        <w:rPr>
          <w:color w:val="0B0B0B"/>
          <w:spacing w:val="-3"/>
        </w:rPr>
        <w:t>BA, </w:t>
      </w:r>
      <w:r>
        <w:rPr>
          <w:color w:val="0B0B0B"/>
        </w:rPr>
        <w:t>Washington University, 1996.</w:t>
      </w:r>
    </w:p>
    <w:p>
      <w:pPr>
        <w:pStyle w:val="BodyText"/>
        <w:spacing w:line="249" w:lineRule="auto" w:before="181"/>
        <w:ind w:right="171"/>
      </w:pPr>
      <w:r>
        <w:rPr>
          <w:b/>
          <w:color w:val="0B0B0B"/>
        </w:rPr>
        <w:t>Brown, Blanche</w:t>
      </w:r>
      <w:r>
        <w:rPr>
          <w:color w:val="0B0B0B"/>
        </w:rPr>
        <w:t>, (A), Assistant Professor, Family and Community Health, </w:t>
      </w:r>
      <w:r>
        <w:rPr>
          <w:color w:val="0B0B0B"/>
          <w:spacing w:val="-2"/>
        </w:rPr>
        <w:t>School </w:t>
      </w:r>
      <w:r>
        <w:rPr>
          <w:color w:val="0B0B0B"/>
          <w:spacing w:val="-3"/>
        </w:rPr>
        <w:t>of </w:t>
      </w:r>
      <w:r>
        <w:rPr>
          <w:color w:val="0B0B0B"/>
        </w:rPr>
        <w:t>Nursing. </w:t>
      </w:r>
      <w:r>
        <w:rPr>
          <w:color w:val="0B0B0B"/>
          <w:spacing w:val="-3"/>
        </w:rPr>
        <w:t>DNP, </w:t>
      </w:r>
      <w:r>
        <w:rPr>
          <w:color w:val="0B0B0B"/>
        </w:rPr>
        <w:t>University of Maryland </w:t>
      </w:r>
      <w:r>
        <w:rPr>
          <w:color w:val="0B0B0B"/>
          <w:spacing w:val="-2"/>
        </w:rPr>
        <w:t>School </w:t>
      </w:r>
      <w:r>
        <w:rPr>
          <w:color w:val="0B0B0B"/>
          <w:spacing w:val="-3"/>
        </w:rPr>
        <w:t>of </w:t>
      </w:r>
      <w:r>
        <w:rPr>
          <w:color w:val="0B0B0B"/>
        </w:rPr>
        <w:t>Nursing, 2015; MSN, Catholic University of America, 1996; </w:t>
      </w:r>
      <w:r>
        <w:rPr>
          <w:color w:val="0B0B0B"/>
          <w:spacing w:val="-3"/>
        </w:rPr>
        <w:t>BSN, Widener </w:t>
      </w:r>
      <w:r>
        <w:rPr>
          <w:color w:val="0B0B0B"/>
        </w:rPr>
        <w:t>University, 1990.</w:t>
      </w:r>
    </w:p>
    <w:p>
      <w:pPr>
        <w:pStyle w:val="BodyText"/>
        <w:spacing w:line="249" w:lineRule="auto" w:before="186"/>
        <w:ind w:right="128"/>
      </w:pPr>
      <w:r>
        <w:rPr>
          <w:b/>
          <w:color w:val="0B0B0B"/>
        </w:rPr>
        <w:t>Brown, Clayton</w:t>
      </w:r>
      <w:r>
        <w:rPr>
          <w:color w:val="0B0B0B"/>
        </w:rPr>
        <w:t>, (R), Associate Professor, Epidemiology and Public Health, School of Medicine. PhD, Johns Hopkins University, 2001; MS, University of California, 1995; BS, University of Oregon, 1981.</w:t>
      </w:r>
    </w:p>
    <w:p>
      <w:pPr>
        <w:pStyle w:val="BodyText"/>
        <w:spacing w:line="249" w:lineRule="auto" w:before="96"/>
        <w:ind w:right="650"/>
      </w:pPr>
      <w:r>
        <w:rPr/>
        <w:br w:type="column"/>
      </w:r>
      <w:r>
        <w:rPr>
          <w:b/>
          <w:color w:val="0B0B0B"/>
        </w:rPr>
        <w:t>Brown, Jessica</w:t>
      </w:r>
      <w:r>
        <w:rPr>
          <w:color w:val="0B0B0B"/>
        </w:rPr>
        <w:t>, (A), Assistant Professor, Epidemiology and Public Health, </w:t>
      </w:r>
      <w:r>
        <w:rPr>
          <w:color w:val="0B0B0B"/>
          <w:spacing w:val="-2"/>
        </w:rPr>
        <w:t>School </w:t>
      </w:r>
      <w:r>
        <w:rPr>
          <w:color w:val="0B0B0B"/>
          <w:spacing w:val="-3"/>
        </w:rPr>
        <w:t>of </w:t>
      </w:r>
      <w:r>
        <w:rPr>
          <w:color w:val="0B0B0B"/>
        </w:rPr>
        <w:t>Medicine. </w:t>
      </w:r>
      <w:r>
        <w:rPr>
          <w:color w:val="0B0B0B"/>
          <w:spacing w:val="-3"/>
        </w:rPr>
        <w:t>PhD, </w:t>
      </w:r>
      <w:r>
        <w:rPr>
          <w:color w:val="0B0B0B"/>
        </w:rPr>
        <w:t>University of Maryland, Baltimore </w:t>
      </w:r>
      <w:r>
        <w:rPr>
          <w:color w:val="0B0B0B"/>
          <w:spacing w:val="-3"/>
        </w:rPr>
        <w:t>County, </w:t>
      </w:r>
      <w:r>
        <w:rPr>
          <w:color w:val="0B0B0B"/>
        </w:rPr>
        <w:t>2006; </w:t>
      </w:r>
      <w:r>
        <w:rPr>
          <w:color w:val="0B0B0B"/>
          <w:spacing w:val="-3"/>
        </w:rPr>
        <w:t>MA, </w:t>
      </w:r>
      <w:r>
        <w:rPr>
          <w:color w:val="0B0B0B"/>
        </w:rPr>
        <w:t>University of Maryland, Baltimore </w:t>
      </w:r>
      <w:r>
        <w:rPr>
          <w:color w:val="0B0B0B"/>
          <w:spacing w:val="-3"/>
        </w:rPr>
        <w:t>County, </w:t>
      </w:r>
      <w:r>
        <w:rPr>
          <w:color w:val="0B0B0B"/>
        </w:rPr>
        <w:t>2004; </w:t>
      </w:r>
      <w:r>
        <w:rPr>
          <w:color w:val="0B0B0B"/>
          <w:spacing w:val="-3"/>
        </w:rPr>
        <w:t>BA, </w:t>
      </w:r>
      <w:r>
        <w:rPr>
          <w:color w:val="0B0B0B"/>
        </w:rPr>
        <w:t>University of New Hampshire, 1998.</w:t>
      </w:r>
    </w:p>
    <w:p>
      <w:pPr>
        <w:pStyle w:val="BodyText"/>
        <w:spacing w:line="249" w:lineRule="auto" w:before="181"/>
        <w:ind w:right="764"/>
      </w:pPr>
      <w:r>
        <w:rPr>
          <w:b/>
          <w:color w:val="0B0B0B"/>
        </w:rPr>
        <w:t>Bruno, Vincent</w:t>
      </w:r>
      <w:r>
        <w:rPr>
          <w:color w:val="0B0B0B"/>
        </w:rPr>
        <w:t>, (A), Assistant Professor, Microbiology and Immunology, School of Medicine. PhD, Columbia University, 2004; BS, Carnegie Mellon University, 1996.</w:t>
      </w:r>
    </w:p>
    <w:p>
      <w:pPr>
        <w:pStyle w:val="BodyText"/>
        <w:spacing w:line="249" w:lineRule="auto"/>
        <w:ind w:right="770"/>
      </w:pPr>
      <w:r>
        <w:rPr>
          <w:b/>
          <w:color w:val="0B0B0B"/>
        </w:rPr>
        <w:t>Bucci, Enrico, </w:t>
      </w:r>
      <w:r>
        <w:rPr>
          <w:color w:val="0B0B0B"/>
        </w:rPr>
        <w:t>(R), Professor, Biochemistry and Molecular Biology, School of Medicine. PhD, University of Rome, 1965; MD, University of Rome, 1956; MC, Liceo-Mamiani, 1950.</w:t>
      </w:r>
    </w:p>
    <w:p>
      <w:pPr>
        <w:pStyle w:val="BodyText"/>
        <w:spacing w:line="249" w:lineRule="auto" w:before="180"/>
        <w:ind w:right="736"/>
      </w:pPr>
      <w:r>
        <w:rPr>
          <w:b/>
          <w:color w:val="0B0B0B"/>
        </w:rPr>
        <w:t>Buchanan, Robert</w:t>
      </w:r>
      <w:r>
        <w:rPr>
          <w:color w:val="0B0B0B"/>
        </w:rPr>
        <w:t>, (A), Professor, Psychiatry, School of Medicine. MD, New Jersey Medical School, 1980; BS, Lehigh University, 1976.</w:t>
      </w:r>
    </w:p>
    <w:p>
      <w:pPr>
        <w:pStyle w:val="BodyText"/>
        <w:spacing w:line="249" w:lineRule="auto"/>
        <w:ind w:right="781"/>
      </w:pPr>
      <w:r>
        <w:rPr>
          <w:b/>
          <w:color w:val="0B0B0B"/>
        </w:rPr>
        <w:t>Buckley, Kathleen M.</w:t>
      </w:r>
      <w:r>
        <w:rPr>
          <w:color w:val="0B0B0B"/>
        </w:rPr>
        <w:t>, (R), Associate Professor, Family and Community Health, School of Nursing. PhD, University of Maryland, 1997; MS, University of Maryland, 1976; BS, University of Maryland, 1973.</w:t>
      </w:r>
    </w:p>
    <w:p>
      <w:pPr>
        <w:pStyle w:val="BodyText"/>
        <w:spacing w:line="249" w:lineRule="auto" w:before="180"/>
        <w:ind w:right="803"/>
      </w:pPr>
      <w:r>
        <w:rPr>
          <w:b/>
          <w:color w:val="0B0B0B"/>
        </w:rPr>
        <w:t>Bundy, Elaine</w:t>
      </w:r>
      <w:r>
        <w:rPr>
          <w:color w:val="0B0B0B"/>
        </w:rPr>
        <w:t>, (A), Assistant Professor, Family and Community Health, School of Nursing. DNP, University of Maryland, 2011; MS, University of Maryland, 2009; BSN, University of Maryland, 1979.</w:t>
      </w:r>
    </w:p>
    <w:p>
      <w:pPr>
        <w:pStyle w:val="BodyText"/>
        <w:spacing w:line="249" w:lineRule="auto" w:before="186"/>
        <w:ind w:right="742"/>
      </w:pPr>
      <w:r>
        <w:rPr>
          <w:b/>
          <w:color w:val="0B0B0B"/>
        </w:rPr>
        <w:t>Burda, Charon</w:t>
      </w:r>
      <w:r>
        <w:rPr>
          <w:color w:val="0B0B0B"/>
        </w:rPr>
        <w:t>, (A), Assistant Professor and Director, Family and Community Health, School of Nursing. DNP, University of Maryland, 2016; MSN, University of Maryland School of Nursing, 2003; BSN, Notre Dame College of Maryland, 1992.</w:t>
      </w:r>
    </w:p>
    <w:p>
      <w:pPr>
        <w:pStyle w:val="BodyText"/>
        <w:spacing w:line="249" w:lineRule="auto" w:before="181"/>
        <w:ind w:right="628"/>
      </w:pPr>
      <w:r>
        <w:rPr>
          <w:b/>
          <w:color w:val="0B0B0B"/>
        </w:rPr>
        <w:t>Burger, Angelika M., </w:t>
      </w:r>
      <w:r>
        <w:rPr>
          <w:color w:val="0B0B0B"/>
        </w:rPr>
        <w:t>(R), Associate Professor, Pharmacology and Experimental Therapeutics, School of Medicine. PhD, University of Bradford, 2004; MSc, Johannes Gutenberg University, 1993; PhD, Johannes Gutenberg University, 1992.</w:t>
      </w:r>
    </w:p>
    <w:p>
      <w:pPr>
        <w:pStyle w:val="BodyText"/>
        <w:spacing w:line="249" w:lineRule="auto" w:before="186"/>
        <w:ind w:right="682"/>
      </w:pPr>
      <w:r>
        <w:rPr>
          <w:b/>
          <w:color w:val="0B0B0B"/>
        </w:rPr>
        <w:t>Burry, Caroline</w:t>
      </w:r>
      <w:r>
        <w:rPr>
          <w:color w:val="0B0B0B"/>
        </w:rPr>
        <w:t>, (R), Assistant Professor, School of Social Work. PhD, University of South Carolina, 1995; MSW, University of Georgia, 1980; BA, Furman University, 1978.</w:t>
      </w:r>
    </w:p>
    <w:p>
      <w:pPr>
        <w:pStyle w:val="BodyText"/>
        <w:spacing w:line="249" w:lineRule="auto" w:before="181"/>
        <w:ind w:right="720"/>
      </w:pPr>
      <w:r>
        <w:rPr>
          <w:b/>
          <w:color w:val="0B0B0B"/>
        </w:rPr>
        <w:t>Buxbaum, Jerome</w:t>
      </w:r>
      <w:r>
        <w:rPr>
          <w:color w:val="0B0B0B"/>
        </w:rPr>
        <w:t>, (A), Professor, Oral and Craniofacial Biological Sciences, School of Dentistry. FAGD, University of Maryland, 1976; DDS, University of Maryland, 1955; BS, University of Maryland, 1951.</w:t>
      </w:r>
    </w:p>
    <w:p>
      <w:pPr>
        <w:pStyle w:val="BodyText"/>
        <w:spacing w:line="249" w:lineRule="auto"/>
        <w:ind w:right="676"/>
      </w:pPr>
      <w:r>
        <w:rPr>
          <w:b/>
          <w:color w:val="0B0B0B"/>
        </w:rPr>
        <w:t>Buzza, Marguerite</w:t>
      </w:r>
      <w:r>
        <w:rPr>
          <w:color w:val="0B0B0B"/>
        </w:rPr>
        <w:t>, (A), Research Associate, Center for Vascular and Inflammatory Diseases, School of Medicine. PhD, Monash University, 2004; BSc, Monash University, 1996.</w:t>
      </w:r>
    </w:p>
    <w:p>
      <w:pPr>
        <w:spacing w:after="0" w:line="249" w:lineRule="auto"/>
        <w:sectPr>
          <w:pgSz w:w="12240" w:h="15840"/>
          <w:pgMar w:header="746" w:footer="0" w:top="1320" w:bottom="280" w:left="880" w:right="300"/>
          <w:cols w:num="2" w:equalWidth="0">
            <w:col w:w="4987" w:space="500"/>
            <w:col w:w="5573"/>
          </w:cols>
        </w:sectPr>
      </w:pPr>
    </w:p>
    <w:p>
      <w:pPr>
        <w:pStyle w:val="BodyText"/>
        <w:spacing w:line="249" w:lineRule="auto" w:before="100"/>
        <w:ind w:right="288"/>
      </w:pPr>
      <w:r>
        <w:rPr>
          <w:b/>
          <w:color w:val="0B0B0B"/>
        </w:rPr>
        <w:t>Cagle, John</w:t>
      </w:r>
      <w:r>
        <w:rPr>
          <w:color w:val="0B0B0B"/>
        </w:rPr>
        <w:t>, (R), Assistant Professor, School of Social Work. PhD, Virginia Commonwealth University, 2008; MSW, Virginia Commonwealth University, 1998; BS, Mary Washington College, 1995.</w:t>
      </w:r>
    </w:p>
    <w:p>
      <w:pPr>
        <w:pStyle w:val="BodyText"/>
        <w:spacing w:line="249" w:lineRule="auto" w:before="180"/>
        <w:ind w:right="100"/>
      </w:pPr>
      <w:r>
        <w:rPr>
          <w:b/>
          <w:color w:val="0B0B0B"/>
        </w:rPr>
        <w:t>Callahan, Christine</w:t>
      </w:r>
      <w:r>
        <w:rPr>
          <w:color w:val="0B0B0B"/>
        </w:rPr>
        <w:t>, (A), Research Specialist, School of Social Work. PhD, Catholic University of America, 2012; MSW, Virginia Commonwealth University, 1993; BA, Houghton College, 1984.</w:t>
      </w:r>
    </w:p>
    <w:p>
      <w:pPr>
        <w:pStyle w:val="BodyText"/>
        <w:spacing w:line="249" w:lineRule="auto" w:before="186"/>
        <w:ind w:right="233"/>
      </w:pPr>
      <w:r>
        <w:rPr>
          <w:b/>
          <w:color w:val="0B0B0B"/>
        </w:rPr>
        <w:t>Capra, Norman</w:t>
      </w:r>
      <w:r>
        <w:rPr>
          <w:color w:val="0B0B0B"/>
        </w:rPr>
        <w:t>, (R), Associate Professor and Program Director, Oral and Craniofacial Biological Sciences, School of Dentistry. PhD, University of Alabama, 1976; MS, University of Alabama, 1975; BS, Birmingham Southern College, 1969.</w:t>
      </w:r>
    </w:p>
    <w:p>
      <w:pPr>
        <w:pStyle w:val="BodyText"/>
        <w:spacing w:line="249" w:lineRule="auto" w:before="181"/>
        <w:ind w:right="38"/>
      </w:pPr>
      <w:r>
        <w:rPr>
          <w:b/>
          <w:color w:val="0B0B0B"/>
        </w:rPr>
        <w:t>Carbonetti, Nicholas</w:t>
      </w:r>
      <w:r>
        <w:rPr>
          <w:color w:val="0B0B0B"/>
        </w:rPr>
        <w:t>, (R), Associate Professor, Microbiology and Immunology, School of Medicine. PhD, University of Leicester, 1985; BS, University of Birmingham, 1981.</w:t>
      </w:r>
    </w:p>
    <w:p>
      <w:pPr>
        <w:pStyle w:val="BodyText"/>
        <w:spacing w:line="249" w:lineRule="auto"/>
        <w:ind w:right="150"/>
      </w:pPr>
      <w:r>
        <w:rPr>
          <w:b/>
          <w:color w:val="0B0B0B"/>
        </w:rPr>
        <w:t>Carey, Gregory B.</w:t>
      </w:r>
      <w:r>
        <w:rPr>
          <w:color w:val="0B0B0B"/>
        </w:rPr>
        <w:t>, (A), Assistant Professor, Microbiology and Immunology and Center for Vascular and Inflammatory Diseases, School of Medicine. PhD, Virginia Commonwealth University, 1995; BSc, Virginia Commonwealth University, 1990 AA, College of the Bahamas, 1986.</w:t>
      </w:r>
    </w:p>
    <w:p>
      <w:pPr>
        <w:pStyle w:val="BodyText"/>
        <w:spacing w:line="249" w:lineRule="auto" w:before="182"/>
        <w:ind w:right="155"/>
      </w:pPr>
      <w:r>
        <w:rPr>
          <w:b/>
          <w:color w:val="0B0B0B"/>
        </w:rPr>
        <w:t>Caridha, Artur</w:t>
      </w:r>
      <w:r>
        <w:rPr>
          <w:color w:val="0B0B0B"/>
        </w:rPr>
        <w:t>, (A), Assistant Professor, Universities at Shady Grove, School of Nursing. MD, University of Tirana, 1986; PhD, University of Tirana, 1995; BS, University of Maryland, 2007.</w:t>
      </w:r>
    </w:p>
    <w:p>
      <w:pPr>
        <w:pStyle w:val="BodyText"/>
        <w:spacing w:line="249" w:lineRule="auto"/>
        <w:ind w:left="199" w:right="39"/>
      </w:pPr>
      <w:r>
        <w:rPr>
          <w:b/>
          <w:color w:val="0B0B0B"/>
        </w:rPr>
        <w:t>Carneiro da Silva, Joana</w:t>
      </w:r>
      <w:r>
        <w:rPr>
          <w:color w:val="0B0B0B"/>
        </w:rPr>
        <w:t>, (A), Associate Professor, Microbiology and Immunology, School of Medicine. PhD, University of Arizona, 2000; BSc, Faculty of Sciences, Lisbon, Portugal, 1992.</w:t>
      </w:r>
    </w:p>
    <w:p>
      <w:pPr>
        <w:pStyle w:val="BodyText"/>
        <w:spacing w:line="249" w:lineRule="auto" w:before="181"/>
        <w:ind w:left="199" w:right="212"/>
      </w:pPr>
      <w:r>
        <w:rPr>
          <w:b/>
          <w:color w:val="0B0B0B"/>
        </w:rPr>
        <w:t>Carney, James</w:t>
      </w:r>
      <w:r>
        <w:rPr>
          <w:color w:val="0B0B0B"/>
        </w:rPr>
        <w:t>, (S), Assistant Professor, Radiation Oncology, School of Medicine. PhD, Loyola University, 1994; BS, Niagara University, 1989.</w:t>
      </w:r>
    </w:p>
    <w:p>
      <w:pPr>
        <w:pStyle w:val="BodyText"/>
        <w:spacing w:line="249" w:lineRule="auto"/>
        <w:ind w:left="199" w:right="179"/>
      </w:pPr>
      <w:r>
        <w:rPr>
          <w:b/>
          <w:color w:val="0B0B0B"/>
        </w:rPr>
        <w:t>Carpenter Jr., William</w:t>
      </w:r>
      <w:r>
        <w:rPr>
          <w:color w:val="0B0B0B"/>
        </w:rPr>
        <w:t>, (A), Professor, Psychiatry, School of Medicine. MD, Wake Forest University, 1962; BS, Wofford College, 1958.</w:t>
      </w:r>
    </w:p>
    <w:p>
      <w:pPr>
        <w:pStyle w:val="BodyText"/>
        <w:spacing w:line="249" w:lineRule="auto" w:before="179"/>
        <w:ind w:left="199" w:right="207"/>
      </w:pPr>
      <w:r>
        <w:rPr>
          <w:b/>
          <w:color w:val="0B0B0B"/>
        </w:rPr>
        <w:t>Carrier, France</w:t>
      </w:r>
      <w:r>
        <w:rPr>
          <w:color w:val="0B0B0B"/>
        </w:rPr>
        <w:t>, (R), Assistant Professor, Biochemistry and Molecular Biology, School of Medicine. PhD, University of Montreal, 1988; MSc, University of Montreal, 1986; BSc, University of Quebec at Trois- Riviéres, 1983.</w:t>
      </w:r>
    </w:p>
    <w:p>
      <w:pPr>
        <w:pStyle w:val="BodyText"/>
        <w:spacing w:line="249" w:lineRule="auto" w:before="186"/>
        <w:ind w:left="199" w:right="23"/>
      </w:pPr>
      <w:r>
        <w:rPr>
          <w:b/>
          <w:color w:val="0B0B0B"/>
        </w:rPr>
        <w:t>Carroll, Mary</w:t>
      </w:r>
      <w:r>
        <w:rPr>
          <w:color w:val="0B0B0B"/>
        </w:rPr>
        <w:t>, (A), Assistant Professor, Family and Community Health, School of Nursing. PhD, University of Maryland, 2007; MS, University of Maryland, 1996; BSN,</w:t>
      </w:r>
    </w:p>
    <w:p>
      <w:pPr>
        <w:pStyle w:val="BodyText"/>
        <w:spacing w:before="96"/>
        <w:ind w:left="199"/>
      </w:pPr>
      <w:r>
        <w:rPr/>
        <w:br w:type="column"/>
      </w:r>
      <w:r>
        <w:rPr>
          <w:color w:val="0B0B0B"/>
        </w:rPr>
        <w:t>Bowie State University.</w:t>
      </w:r>
    </w:p>
    <w:p>
      <w:pPr>
        <w:pStyle w:val="BodyText"/>
        <w:spacing w:line="249" w:lineRule="auto" w:before="187"/>
        <w:ind w:right="748"/>
      </w:pPr>
      <w:r>
        <w:rPr>
          <w:b/>
          <w:color w:val="0B0B0B"/>
        </w:rPr>
        <w:t>Cartee, Deborah</w:t>
      </w:r>
      <w:r>
        <w:rPr>
          <w:color w:val="0B0B0B"/>
        </w:rPr>
        <w:t>, (A), Instructor, Health Promotion and Policy, School of Dentistry. MS, University of Maryland, Baltimore, 2008; BS, University of Maryland, Baltimore, 2002.</w:t>
      </w:r>
    </w:p>
    <w:p>
      <w:pPr>
        <w:pStyle w:val="BodyText"/>
        <w:spacing w:line="249" w:lineRule="auto" w:before="186"/>
        <w:ind w:right="755"/>
      </w:pPr>
      <w:r>
        <w:rPr>
          <w:b/>
          <w:color w:val="0B0B0B"/>
        </w:rPr>
        <w:t>Catania, Selen</w:t>
      </w:r>
      <w:r>
        <w:rPr>
          <w:color w:val="0B0B0B"/>
        </w:rPr>
        <w:t>, (A), Research Associate, Center for Vascular and Inflammatory Disease, School of Medicine. PhD, Jozsef Attila University, 1999; BS, Middle East Technical University, 1993.</w:t>
      </w:r>
    </w:p>
    <w:p>
      <w:pPr>
        <w:pStyle w:val="BodyText"/>
        <w:spacing w:line="249" w:lineRule="auto" w:before="180"/>
        <w:ind w:right="941"/>
      </w:pPr>
      <w:r>
        <w:rPr>
          <w:b/>
          <w:color w:val="0B0B0B"/>
        </w:rPr>
        <w:t>Ceraul, Shane</w:t>
      </w:r>
      <w:r>
        <w:rPr>
          <w:color w:val="0B0B0B"/>
        </w:rPr>
        <w:t>, (A), Assistant Professor, Microbiology and Immunology, School of Medicine. PhD, Old Dominion University, 2005; MS, Old Dominion University, 2001; BS, Christopher Newport University, 1997.</w:t>
      </w:r>
    </w:p>
    <w:p>
      <w:pPr>
        <w:pStyle w:val="BodyText"/>
        <w:spacing w:line="249" w:lineRule="auto" w:before="186"/>
        <w:ind w:right="871"/>
      </w:pPr>
      <w:r>
        <w:rPr>
          <w:b/>
          <w:color w:val="0B0B0B"/>
        </w:rPr>
        <w:t>Cestone, Christina, </w:t>
      </w:r>
      <w:r>
        <w:rPr>
          <w:color w:val="0B0B0B"/>
        </w:rPr>
        <w:t>(A), Associate Professor, Graduate School. BA, Hunter College, 1993; MA, George Washington University; PhD, The University of Texas, Austin, 2013.</w:t>
      </w:r>
    </w:p>
    <w:p>
      <w:pPr>
        <w:pStyle w:val="BodyText"/>
        <w:spacing w:line="249" w:lineRule="auto" w:before="181"/>
        <w:ind w:right="710"/>
      </w:pPr>
      <w:r>
        <w:rPr>
          <w:b/>
          <w:color w:val="0B0B0B"/>
        </w:rPr>
        <w:t>Chaffin, Charles</w:t>
      </w:r>
      <w:r>
        <w:rPr>
          <w:color w:val="0B0B0B"/>
        </w:rPr>
        <w:t>, (R), Associate Professor, Physiology, School of Medicine. PhD, University of Wisconsin, 1996; MS, University of Wisconsin, 1992; AB, Ripon College, 1989.</w:t>
      </w:r>
    </w:p>
    <w:p>
      <w:pPr>
        <w:pStyle w:val="BodyText"/>
        <w:spacing w:line="249" w:lineRule="auto"/>
        <w:ind w:right="605"/>
      </w:pPr>
      <w:r>
        <w:rPr>
          <w:b/>
          <w:color w:val="0B0B0B"/>
        </w:rPr>
        <w:t>Chang, Yen-Pei Christy</w:t>
      </w:r>
      <w:r>
        <w:rPr>
          <w:color w:val="0B0B0B"/>
        </w:rPr>
        <w:t>, (R), Human Genetics, School of Medicine. PhD, Johns Hopkins University, 1994; BS, Virginia Polytechnic Institute, 1988.</w:t>
      </w:r>
    </w:p>
    <w:p>
      <w:pPr>
        <w:pStyle w:val="BodyText"/>
        <w:spacing w:line="249" w:lineRule="auto" w:before="180"/>
        <w:ind w:right="676"/>
      </w:pPr>
      <w:r>
        <w:rPr>
          <w:b/>
          <w:color w:val="0B0B0B"/>
        </w:rPr>
        <w:t>Chang, Yung-Feng</w:t>
      </w:r>
      <w:r>
        <w:rPr>
          <w:color w:val="0B0B0B"/>
        </w:rPr>
        <w:t>, (R), Professor, Oral and Craniofacial Biological Sciences, School of Dentistry. PhD, University of Pittsburgh, 1966; MS, National Taiwan University, 1960; BS, National Taiwan University, 1958.</w:t>
      </w:r>
    </w:p>
    <w:p>
      <w:pPr>
        <w:pStyle w:val="BodyText"/>
        <w:spacing w:line="249" w:lineRule="auto"/>
        <w:ind w:right="999"/>
      </w:pPr>
      <w:r>
        <w:rPr>
          <w:b/>
          <w:color w:val="0B0B0B"/>
        </w:rPr>
        <w:t>Chang, Wei Chao</w:t>
      </w:r>
      <w:r>
        <w:rPr>
          <w:color w:val="0B0B0B"/>
        </w:rPr>
        <w:t>, (A), Adjunct Faculty, Graduate School. BS, California State University, Sacramento, 1995; MPAS, University of Nebraska Medical Center, 2001; DHSc, Nova Southeastern</w:t>
      </w:r>
    </w:p>
    <w:p>
      <w:pPr>
        <w:pStyle w:val="BodyText"/>
        <w:spacing w:before="3"/>
      </w:pPr>
      <w:r>
        <w:rPr>
          <w:color w:val="0B0B0B"/>
        </w:rPr>
        <w:t>University, 2007; PhD, 2015.</w:t>
      </w:r>
    </w:p>
    <w:p>
      <w:pPr>
        <w:pStyle w:val="BodyText"/>
        <w:spacing w:line="249" w:lineRule="auto" w:before="188"/>
        <w:ind w:right="754"/>
      </w:pPr>
      <w:r>
        <w:rPr>
          <w:b/>
          <w:color w:val="0B0B0B"/>
        </w:rPr>
        <w:t>Chaoul, Marco (Alejandro), </w:t>
      </w:r>
      <w:r>
        <w:rPr>
          <w:color w:val="0B0B0B"/>
        </w:rPr>
        <w:t>(A), Adjunct Faculty, Graduate School. BS, BA, Boston University, 1987; MA, University of Virginia, 1999; PhD, Rice University 2006.</w:t>
      </w:r>
    </w:p>
    <w:p>
      <w:pPr>
        <w:pStyle w:val="BodyText"/>
        <w:spacing w:line="249" w:lineRule="auto" w:before="184"/>
        <w:ind w:right="648"/>
      </w:pPr>
      <w:r>
        <w:rPr>
          <w:b/>
          <w:color w:val="0B0B0B"/>
        </w:rPr>
        <w:t>Chapoval, Andrei I.</w:t>
      </w:r>
      <w:r>
        <w:rPr>
          <w:color w:val="0B0B0B"/>
        </w:rPr>
        <w:t>, (A), Assisant Professor, Microbiology and Immunology, School of Medicine. PhD, Russian Academy of Medical Science, 1994; MS, Altai State University, 1989.</w:t>
      </w:r>
    </w:p>
    <w:p>
      <w:pPr>
        <w:pStyle w:val="BodyText"/>
        <w:spacing w:line="249" w:lineRule="auto" w:before="181"/>
        <w:ind w:right="642" w:hanging="1"/>
      </w:pPr>
      <w:r>
        <w:rPr>
          <w:b/>
          <w:color w:val="0B0B0B"/>
        </w:rPr>
        <w:t>Charurat, Manhattan</w:t>
      </w:r>
      <w:r>
        <w:rPr>
          <w:color w:val="0B0B0B"/>
        </w:rPr>
        <w:t>, (R), Associate Professor, Epidemiology and Public Health, School of Medicine. PhD, Johns Hopkins University, 2002; MS, Johns Hopkins</w:t>
      </w:r>
    </w:p>
    <w:p>
      <w:pPr>
        <w:spacing w:after="0" w:line="249" w:lineRule="auto"/>
        <w:sectPr>
          <w:pgSz w:w="12240" w:h="15840"/>
          <w:pgMar w:header="746" w:footer="0" w:top="1320" w:bottom="280" w:left="880" w:right="300"/>
          <w:cols w:num="2" w:equalWidth="0">
            <w:col w:w="4964" w:space="522"/>
            <w:col w:w="5574"/>
          </w:cols>
        </w:sectPr>
      </w:pPr>
    </w:p>
    <w:p>
      <w:pPr>
        <w:pStyle w:val="BodyText"/>
        <w:spacing w:before="100"/>
      </w:pPr>
      <w:r>
        <w:rPr>
          <w:color w:val="0B0B0B"/>
        </w:rPr>
        <w:t>University, 1999; BS, University of Washington, 1996.</w:t>
      </w:r>
    </w:p>
    <w:p>
      <w:pPr>
        <w:pStyle w:val="BodyText"/>
        <w:spacing w:line="249" w:lineRule="auto" w:before="187"/>
        <w:ind w:left="199" w:right="256"/>
        <w:jc w:val="both"/>
      </w:pPr>
      <w:r>
        <w:rPr>
          <w:b/>
          <w:color w:val="0B0B0B"/>
        </w:rPr>
        <w:t>Cheer, Joseph</w:t>
      </w:r>
      <w:r>
        <w:rPr>
          <w:color w:val="0B0B0B"/>
        </w:rPr>
        <w:t>, (R), Associate Professor, Anatomy and Neurobiology, School of Medicine. PhD, University of Nottingham, 2000; BS, Universidad de los Andes, 1996.</w:t>
      </w:r>
    </w:p>
    <w:p>
      <w:pPr>
        <w:pStyle w:val="BodyText"/>
        <w:spacing w:line="249" w:lineRule="auto"/>
        <w:ind w:left="199" w:right="42"/>
      </w:pPr>
      <w:r>
        <w:rPr>
          <w:b/>
          <w:color w:val="0B0B0B"/>
        </w:rPr>
        <w:t>Chellaiah, Meena</w:t>
      </w:r>
      <w:r>
        <w:rPr>
          <w:color w:val="0B0B0B"/>
        </w:rPr>
        <w:t>, (R), Assistant Professor, Biomedical Sciences, School of Dentistry. PhD, Mudurai Kamaraj University, 1985; MS, Mudurai Kamaraj University, 1977; BS, Mudurai Kamaraj University, 1975.</w:t>
      </w:r>
    </w:p>
    <w:p>
      <w:pPr>
        <w:pStyle w:val="BodyText"/>
        <w:spacing w:line="249" w:lineRule="auto" w:before="180"/>
        <w:ind w:left="199" w:right="181"/>
      </w:pPr>
      <w:r>
        <w:rPr>
          <w:b/>
          <w:color w:val="0B0B0B"/>
        </w:rPr>
        <w:t>Chen, Hegang</w:t>
      </w:r>
      <w:r>
        <w:rPr>
          <w:color w:val="0B0B0B"/>
        </w:rPr>
        <w:t>, (A), Professor, Epidemiology and Public Health, School of Medicine. PhD, University of Illinois, 1993; MS, University of Mississippi, 1987.</w:t>
      </w:r>
    </w:p>
    <w:p>
      <w:pPr>
        <w:pStyle w:val="BodyText"/>
        <w:spacing w:line="249" w:lineRule="auto"/>
        <w:ind w:left="199" w:right="451"/>
      </w:pPr>
      <w:r>
        <w:rPr>
          <w:b/>
          <w:color w:val="0B0B0B"/>
        </w:rPr>
        <w:t>Chen, Lynn</w:t>
      </w:r>
      <w:r>
        <w:rPr>
          <w:color w:val="0B0B0B"/>
        </w:rPr>
        <w:t>, (A), Assistant Professor, Organizational Systems and Adult Health, School of Nursing. PhD, University of Texas- Austin, 2010; MA, University of Texas- Austin, 2009; BA, Soochow University, 1997.</w:t>
      </w:r>
    </w:p>
    <w:p>
      <w:pPr>
        <w:pStyle w:val="BodyText"/>
        <w:spacing w:line="249" w:lineRule="auto" w:before="181"/>
        <w:ind w:right="119"/>
      </w:pPr>
      <w:r>
        <w:rPr>
          <w:b/>
          <w:color w:val="0B0B0B"/>
        </w:rPr>
        <w:t>Chen, Stephanie</w:t>
      </w:r>
      <w:r>
        <w:rPr>
          <w:color w:val="0B0B0B"/>
        </w:rPr>
        <w:t>, (A), Assistant Professor, Neurology, School of Medicine. MD, Northwestern University, 2009; MS, University of Pennsylvania, 2016; BS, Northwestern University, 2006.</w:t>
      </w:r>
    </w:p>
    <w:p>
      <w:pPr>
        <w:pStyle w:val="BodyText"/>
        <w:spacing w:line="249" w:lineRule="auto"/>
        <w:ind w:hanging="1"/>
      </w:pPr>
      <w:r>
        <w:rPr>
          <w:b/>
          <w:color w:val="0B0B0B"/>
        </w:rPr>
        <w:t>Cheng, Yu-Ching</w:t>
      </w:r>
      <w:r>
        <w:rPr>
          <w:color w:val="0B0B0B"/>
        </w:rPr>
        <w:t>, (A), Instructor, School of Medicine. PhD, Johns Hopkins University, 2008; MS, National Taiwan University, 2003; BS, National Taiwan University, 2001.</w:t>
      </w:r>
    </w:p>
    <w:p>
      <w:pPr>
        <w:pStyle w:val="BodyText"/>
        <w:spacing w:line="249" w:lineRule="auto" w:before="180"/>
        <w:ind w:right="19"/>
      </w:pPr>
      <w:r>
        <w:rPr>
          <w:b/>
          <w:color w:val="0B0B0B"/>
        </w:rPr>
        <w:t>Christenson, Robert</w:t>
      </w:r>
      <w:r>
        <w:rPr>
          <w:color w:val="0B0B0B"/>
        </w:rPr>
        <w:t>, (R), Professor, Pathology, School of Medicine. PhD, Florida State University, 1980; BA, University of Massachusetts, 1976.</w:t>
      </w:r>
    </w:p>
    <w:p>
      <w:pPr>
        <w:pStyle w:val="BodyText"/>
        <w:spacing w:line="249" w:lineRule="auto"/>
        <w:ind w:right="535"/>
      </w:pPr>
      <w:r>
        <w:rPr>
          <w:b/>
          <w:color w:val="0B0B0B"/>
        </w:rPr>
        <w:t>Chuang, Pei-Ying</w:t>
      </w:r>
      <w:r>
        <w:rPr>
          <w:color w:val="0B0B0B"/>
        </w:rPr>
        <w:t>, (A), Assistant Professor, Organizational Systems and Adult Health, School of Nursing. PhD, University of Pittsburgh, 2008; MSN, University of Minnesota, 1997; BSN, University of Dubuque, 1994.</w:t>
      </w:r>
    </w:p>
    <w:p>
      <w:pPr>
        <w:pStyle w:val="BodyText"/>
        <w:spacing w:line="249" w:lineRule="auto" w:before="181"/>
        <w:ind w:right="180"/>
      </w:pPr>
      <w:r>
        <w:rPr>
          <w:b/>
          <w:color w:val="0B0B0B"/>
        </w:rPr>
        <w:t>Chung, Man-Kyo</w:t>
      </w:r>
      <w:r>
        <w:rPr>
          <w:color w:val="0B0B0B"/>
        </w:rPr>
        <w:t>, (A), Research Assistant Professor, Biomedical Sciences, School of Dentistry. PhD, Kyung Hee University, 1999; MS, Kyung Hee University, 1997; DMD, Kyung Hee University, 1995.</w:t>
      </w:r>
    </w:p>
    <w:p>
      <w:pPr>
        <w:pStyle w:val="BodyText"/>
        <w:spacing w:line="249" w:lineRule="auto" w:before="186"/>
        <w:ind w:right="581"/>
      </w:pPr>
      <w:r>
        <w:rPr>
          <w:b/>
          <w:color w:val="0B0B0B"/>
        </w:rPr>
        <w:t>Civin, Curt</w:t>
      </w:r>
      <w:r>
        <w:rPr>
          <w:color w:val="0B0B0B"/>
        </w:rPr>
        <w:t>, (R), Professor, Pediatrics, School of Medicine. MD, Harvard Medical School, 1974; BA, Amherst College, 1970.</w:t>
      </w:r>
    </w:p>
    <w:p>
      <w:pPr>
        <w:pStyle w:val="BodyText"/>
        <w:spacing w:line="249" w:lineRule="auto" w:before="179"/>
        <w:ind w:right="319"/>
      </w:pPr>
      <w:r>
        <w:rPr>
          <w:b/>
          <w:color w:val="0B0B0B"/>
        </w:rPr>
        <w:t>Clark, Jane</w:t>
      </w:r>
      <w:r>
        <w:rPr>
          <w:color w:val="0B0B0B"/>
        </w:rPr>
        <w:t>, (S), Professor and Chair, Kinesiology, School of Medicine. PhD, University of Wisconsin- Madison, 1976; MEd, University of Washington, 1970; BSPE, State University of New York, 1968.</w:t>
      </w:r>
    </w:p>
    <w:p>
      <w:pPr>
        <w:pStyle w:val="BodyText"/>
        <w:spacing w:line="249" w:lineRule="auto" w:before="186"/>
        <w:ind w:right="336"/>
      </w:pPr>
      <w:r>
        <w:rPr>
          <w:b/>
          <w:color w:val="0B0B0B"/>
        </w:rPr>
        <w:t>Clark, Karen</w:t>
      </w:r>
      <w:r>
        <w:rPr>
          <w:color w:val="0B0B0B"/>
        </w:rPr>
        <w:t>, (A), Assistant Professor, Universities at Shady Grove, School of Nursing. PhD, George Mason</w:t>
      </w:r>
    </w:p>
    <w:p>
      <w:pPr>
        <w:pStyle w:val="BodyText"/>
        <w:spacing w:line="249" w:lineRule="auto" w:before="96"/>
        <w:ind w:right="737"/>
      </w:pPr>
      <w:r>
        <w:rPr/>
        <w:br w:type="column"/>
      </w:r>
      <w:r>
        <w:rPr>
          <w:color w:val="0B0B0B"/>
        </w:rPr>
        <w:t>University, 2005; MSN, George Mason University, 1995; BSN, George Mason University, 1992.</w:t>
      </w:r>
    </w:p>
    <w:p>
      <w:pPr>
        <w:pStyle w:val="BodyText"/>
        <w:spacing w:line="249" w:lineRule="auto" w:before="179"/>
        <w:ind w:right="759"/>
      </w:pPr>
      <w:r>
        <w:rPr>
          <w:b/>
          <w:color w:val="0B0B0B"/>
        </w:rPr>
        <w:t>Cohen, Leonard</w:t>
      </w:r>
      <w:r>
        <w:rPr>
          <w:color w:val="0B0B0B"/>
        </w:rPr>
        <w:t>, (R), Professor, Oral Health Care Delivery, School of Dentistry. MS, Harvard University, 1976; MPH, George Washington University, 1974; DDS, Howard University, 1971.</w:t>
      </w:r>
    </w:p>
    <w:p>
      <w:pPr>
        <w:pStyle w:val="BodyText"/>
        <w:spacing w:line="249" w:lineRule="auto"/>
        <w:ind w:right="648"/>
      </w:pPr>
      <w:r>
        <w:rPr>
          <w:b/>
          <w:color w:val="0B0B0B"/>
        </w:rPr>
        <w:t>Cohen-Callow, Amy</w:t>
      </w:r>
      <w:r>
        <w:rPr>
          <w:color w:val="0B0B0B"/>
        </w:rPr>
        <w:t>, (A), Assistant Professor, School of Social Work. PhD, University of Maryland, Baltimore, 2008; MSSW, Columbia University, 1994; BA, Brandeis University, 1991.Cole, Gerald, (R), Professor, Microbiology and Immunology, School of Medicine. PhD, University of Maryland, 1966; BS, Wilson Teachers College, 1952.</w:t>
      </w:r>
    </w:p>
    <w:p>
      <w:pPr>
        <w:pStyle w:val="BodyText"/>
        <w:spacing w:line="249" w:lineRule="auto" w:before="183"/>
        <w:ind w:right="621"/>
      </w:pPr>
      <w:r>
        <w:rPr>
          <w:b/>
          <w:color w:val="0B0B0B"/>
        </w:rPr>
        <w:t>Collins, John</w:t>
      </w:r>
      <w:r>
        <w:rPr>
          <w:color w:val="0B0B0B"/>
        </w:rPr>
        <w:t>, (R), Professor, Biochemistry and Molecular Biology, School of Medicine. PhD, Boston University, 1970; MEd, University of Cincinnati, 1984; AB, Northeastern University, 1965.</w:t>
      </w:r>
    </w:p>
    <w:p>
      <w:pPr>
        <w:pStyle w:val="BodyText"/>
        <w:spacing w:line="249" w:lineRule="auto"/>
        <w:ind w:right="848"/>
      </w:pPr>
      <w:r>
        <w:rPr>
          <w:b/>
          <w:color w:val="0B0B0B"/>
        </w:rPr>
        <w:t>Collins, Kathryn</w:t>
      </w:r>
      <w:r>
        <w:rPr>
          <w:color w:val="0B0B0B"/>
        </w:rPr>
        <w:t>, (A), Associate Professor, School of Social Work. PhD, University of South Carolina, 1999; MSW, Tulane University, 1993; BA, Mars Hill College, 1993.</w:t>
      </w:r>
    </w:p>
    <w:p>
      <w:pPr>
        <w:pStyle w:val="BodyText"/>
        <w:spacing w:line="249" w:lineRule="auto" w:before="181"/>
        <w:ind w:right="629"/>
      </w:pPr>
      <w:r>
        <w:rPr>
          <w:b/>
          <w:color w:val="0B0B0B"/>
        </w:rPr>
        <w:t>Colloca, Luana</w:t>
      </w:r>
      <w:r>
        <w:rPr>
          <w:color w:val="0B0B0B"/>
        </w:rPr>
        <w:t>, (R), Associate Professor, Organizational Systems and Adult Health, </w:t>
      </w:r>
      <w:r>
        <w:rPr>
          <w:color w:val="0B0B0B"/>
          <w:spacing w:val="-2"/>
        </w:rPr>
        <w:t>School </w:t>
      </w:r>
      <w:r>
        <w:rPr>
          <w:color w:val="0B0B0B"/>
          <w:spacing w:val="-3"/>
        </w:rPr>
        <w:t>of </w:t>
      </w:r>
      <w:r>
        <w:rPr>
          <w:color w:val="0B0B0B"/>
        </w:rPr>
        <w:t>Nursing. </w:t>
      </w:r>
      <w:r>
        <w:rPr>
          <w:color w:val="0B0B0B"/>
          <w:spacing w:val="-2"/>
        </w:rPr>
        <w:t>MA, </w:t>
      </w:r>
      <w:r>
        <w:rPr>
          <w:color w:val="0B0B0B"/>
        </w:rPr>
        <w:t>University of Turin Medical School, 2008; PhD, University of Turin Medical School, 2007; MD, University of Catanzaro,</w:t>
      </w:r>
      <w:r>
        <w:rPr>
          <w:color w:val="0B0B0B"/>
          <w:spacing w:val="2"/>
        </w:rPr>
        <w:t> </w:t>
      </w:r>
      <w:r>
        <w:rPr>
          <w:color w:val="0B0B0B"/>
        </w:rPr>
        <w:t>2002.</w:t>
      </w:r>
    </w:p>
    <w:p>
      <w:pPr>
        <w:pStyle w:val="BodyText"/>
        <w:spacing w:line="249" w:lineRule="auto" w:before="186"/>
        <w:ind w:right="1035"/>
      </w:pPr>
      <w:r>
        <w:rPr>
          <w:b/>
          <w:color w:val="0B0B0B"/>
        </w:rPr>
        <w:t>Connolly, Martha</w:t>
      </w:r>
      <w:r>
        <w:rPr>
          <w:color w:val="0B0B0B"/>
        </w:rPr>
        <w:t>, (S), </w:t>
      </w:r>
      <w:r>
        <w:rPr>
          <w:color w:val="0B0B0B"/>
          <w:spacing w:val="-3"/>
        </w:rPr>
        <w:t>Mtech </w:t>
      </w:r>
      <w:r>
        <w:rPr>
          <w:color w:val="0B0B0B"/>
        </w:rPr>
        <w:t>Director, </w:t>
      </w:r>
      <w:r>
        <w:rPr>
          <w:color w:val="0B0B0B"/>
          <w:spacing w:val="-2"/>
        </w:rPr>
        <w:t>School </w:t>
      </w:r>
      <w:r>
        <w:rPr>
          <w:color w:val="0B0B0B"/>
          <w:spacing w:val="-5"/>
        </w:rPr>
        <w:t>of </w:t>
      </w:r>
      <w:r>
        <w:rPr>
          <w:color w:val="0B0B0B"/>
        </w:rPr>
        <w:t>Medicine. PhD, Johns Hopkins University, 1979, </w:t>
      </w:r>
      <w:r>
        <w:rPr>
          <w:color w:val="0B0B0B"/>
          <w:spacing w:val="-3"/>
        </w:rPr>
        <w:t>MS, </w:t>
      </w:r>
      <w:r>
        <w:rPr>
          <w:color w:val="0B0B0B"/>
        </w:rPr>
        <w:t>Stevens Institute </w:t>
      </w:r>
      <w:r>
        <w:rPr>
          <w:color w:val="0B0B0B"/>
          <w:spacing w:val="-3"/>
        </w:rPr>
        <w:t>of </w:t>
      </w:r>
      <w:r>
        <w:rPr>
          <w:color w:val="0B0B0B"/>
        </w:rPr>
        <w:t>Technology, 1975, </w:t>
      </w:r>
      <w:r>
        <w:rPr>
          <w:color w:val="0B0B0B"/>
          <w:spacing w:val="-3"/>
        </w:rPr>
        <w:t>BS, </w:t>
      </w:r>
      <w:r>
        <w:rPr>
          <w:color w:val="0B0B0B"/>
        </w:rPr>
        <w:t>Stevens Institute </w:t>
      </w:r>
      <w:r>
        <w:rPr>
          <w:color w:val="0B0B0B"/>
          <w:spacing w:val="-3"/>
        </w:rPr>
        <w:t>of </w:t>
      </w:r>
      <w:r>
        <w:rPr>
          <w:color w:val="0B0B0B"/>
        </w:rPr>
        <w:t>Technology,</w:t>
      </w:r>
      <w:r>
        <w:rPr>
          <w:color w:val="0B0B0B"/>
          <w:spacing w:val="4"/>
        </w:rPr>
        <w:t> </w:t>
      </w:r>
      <w:r>
        <w:rPr>
          <w:color w:val="0B0B0B"/>
        </w:rPr>
        <w:t>1975.</w:t>
      </w:r>
    </w:p>
    <w:p>
      <w:pPr>
        <w:pStyle w:val="BodyText"/>
        <w:spacing w:line="249" w:lineRule="auto" w:before="180"/>
        <w:ind w:right="807"/>
      </w:pPr>
      <w:r>
        <w:rPr>
          <w:b/>
          <w:color w:val="0B0B0B"/>
        </w:rPr>
        <w:t>Constantine, Niel</w:t>
      </w:r>
      <w:r>
        <w:rPr>
          <w:color w:val="0B0B0B"/>
        </w:rPr>
        <w:t>, (R), Professor, </w:t>
      </w:r>
      <w:r>
        <w:rPr>
          <w:color w:val="0B0B0B"/>
          <w:spacing w:val="-3"/>
        </w:rPr>
        <w:t>Pathology, </w:t>
      </w:r>
      <w:r>
        <w:rPr>
          <w:color w:val="0B0B0B"/>
          <w:spacing w:val="-2"/>
        </w:rPr>
        <w:t>School </w:t>
      </w:r>
      <w:r>
        <w:rPr>
          <w:color w:val="0B0B0B"/>
        </w:rPr>
        <w:t>of Medicine. PhD, University of Maryland, 1981; </w:t>
      </w:r>
      <w:r>
        <w:rPr>
          <w:color w:val="0B0B0B"/>
          <w:spacing w:val="-3"/>
        </w:rPr>
        <w:t>BS, </w:t>
      </w:r>
      <w:r>
        <w:rPr>
          <w:color w:val="0B0B0B"/>
        </w:rPr>
        <w:t>University of Maryland,</w:t>
      </w:r>
      <w:r>
        <w:rPr>
          <w:color w:val="0B0B0B"/>
          <w:spacing w:val="-9"/>
        </w:rPr>
        <w:t> </w:t>
      </w:r>
      <w:r>
        <w:rPr>
          <w:color w:val="0B0B0B"/>
        </w:rPr>
        <w:t>1974.</w:t>
      </w:r>
    </w:p>
    <w:p>
      <w:pPr>
        <w:pStyle w:val="BodyText"/>
        <w:spacing w:line="249" w:lineRule="auto"/>
        <w:ind w:right="894" w:hanging="1"/>
      </w:pPr>
      <w:r>
        <w:rPr>
          <w:b/>
          <w:color w:val="0B0B0B"/>
        </w:rPr>
        <w:t>Contreras-Vidal</w:t>
      </w:r>
      <w:r>
        <w:rPr>
          <w:color w:val="0B0B0B"/>
        </w:rPr>
        <w:t>, Jose L., (S), Assistant Professor, Physical Therapy and Rehabilitation Science, School of Medicine. PhD, Boston University, 1994; MSEE, University of Boulder, 1990; Engineer’s Degree, Monterrey Institute of Technology, 1987.</w:t>
      </w:r>
    </w:p>
    <w:p>
      <w:pPr>
        <w:pStyle w:val="BodyText"/>
        <w:spacing w:line="249" w:lineRule="auto" w:before="181"/>
        <w:ind w:right="726"/>
      </w:pPr>
      <w:r>
        <w:rPr>
          <w:b/>
          <w:color w:val="0B0B0B"/>
        </w:rPr>
        <w:t>Cook, Linda</w:t>
      </w:r>
      <w:r>
        <w:rPr>
          <w:color w:val="0B0B0B"/>
        </w:rPr>
        <w:t>, (A), Assistant Professor, Organizational Systems and Adult Health, School of Nursing. PhD, University of Maryland, Baltimore, 2005; MS, University of Maryland, Baltimore, 1997; BSN, Alfred University, 1978.</w:t>
      </w:r>
    </w:p>
    <w:p>
      <w:pPr>
        <w:pStyle w:val="BodyText"/>
        <w:spacing w:line="249" w:lineRule="auto" w:before="186"/>
        <w:ind w:right="754"/>
      </w:pPr>
      <w:r>
        <w:rPr>
          <w:b/>
          <w:color w:val="0B0B0B"/>
        </w:rPr>
        <w:t>Coop, Andrew</w:t>
      </w:r>
      <w:r>
        <w:rPr>
          <w:color w:val="0B0B0B"/>
        </w:rPr>
        <w:t>, (R), Professor, Pharmaceutical Sciences, School of Pharmacy. PhD, University of Bristol, 1994;</w:t>
      </w:r>
    </w:p>
    <w:p>
      <w:pPr>
        <w:spacing w:after="0" w:line="249" w:lineRule="auto"/>
        <w:sectPr>
          <w:pgSz w:w="12240" w:h="15840"/>
          <w:pgMar w:header="746" w:footer="0" w:top="1320" w:bottom="280" w:left="880" w:right="300"/>
          <w:cols w:num="2" w:equalWidth="0">
            <w:col w:w="4978" w:space="508"/>
            <w:col w:w="5574"/>
          </w:cols>
        </w:sectPr>
      </w:pPr>
    </w:p>
    <w:p>
      <w:pPr>
        <w:pStyle w:val="BodyText"/>
        <w:spacing w:before="100"/>
      </w:pPr>
      <w:r>
        <w:rPr>
          <w:color w:val="0B0B0B"/>
        </w:rPr>
        <w:t>BA, MA, University of Oxford, 1991.</w:t>
      </w:r>
    </w:p>
    <w:p>
      <w:pPr>
        <w:pStyle w:val="BodyText"/>
        <w:spacing w:line="249" w:lineRule="auto" w:before="187"/>
        <w:ind w:right="179"/>
      </w:pPr>
      <w:r>
        <w:rPr>
          <w:b/>
          <w:color w:val="0B0B0B"/>
        </w:rPr>
        <w:t>Costa, Linda L.</w:t>
      </w:r>
      <w:r>
        <w:rPr>
          <w:color w:val="0B0B0B"/>
        </w:rPr>
        <w:t>, (A), Assistant Professor, School of Nursing. PhD, Catholic University, 1999; MSN, Catholic University, 1982; BSN, University of Maryland, 1976.</w:t>
      </w:r>
    </w:p>
    <w:p>
      <w:pPr>
        <w:pStyle w:val="BodyText"/>
        <w:spacing w:line="249" w:lineRule="auto"/>
        <w:ind w:right="118"/>
      </w:pPr>
      <w:r>
        <w:rPr>
          <w:b/>
          <w:color w:val="0B0B0B"/>
        </w:rPr>
        <w:t>Costello, Leslie</w:t>
      </w:r>
      <w:r>
        <w:rPr>
          <w:color w:val="0B0B0B"/>
        </w:rPr>
        <w:t>, (R), Professor, Oral and Craniofacial Biological Sciences, School of Dentistry. PhD, University of Maryland, 1957; MS, University of Maryland, 1954; BS, University of Maryland, 1952.</w:t>
      </w:r>
    </w:p>
    <w:p>
      <w:pPr>
        <w:pStyle w:val="BodyText"/>
        <w:spacing w:line="249" w:lineRule="auto" w:before="180"/>
        <w:ind w:right="190"/>
      </w:pPr>
      <w:r>
        <w:rPr>
          <w:b/>
          <w:color w:val="0B0B0B"/>
        </w:rPr>
        <w:t>Couwenhoven, Ross</w:t>
      </w:r>
      <w:r>
        <w:rPr>
          <w:color w:val="0B0B0B"/>
        </w:rPr>
        <w:t>, (A), Assistant Professor, Oral and Experimental Pathology, School of Dentistry. PhD, University of Chicago-Illinois, 1991; DDS, University of Illinois, 1981; BA, Calvin College, 1976.</w:t>
      </w:r>
    </w:p>
    <w:p>
      <w:pPr>
        <w:pStyle w:val="BodyText"/>
        <w:spacing w:line="249" w:lineRule="auto" w:before="186"/>
        <w:ind w:right="80"/>
      </w:pPr>
      <w:r>
        <w:rPr>
          <w:b/>
          <w:color w:val="0B0B0B"/>
        </w:rPr>
        <w:t>Creath, Robert</w:t>
      </w:r>
      <w:r>
        <w:rPr>
          <w:color w:val="0B0B0B"/>
        </w:rPr>
        <w:t>, (A), Assistant Professor, Physical Therapy and Rehabilitation Science, School of Medicine. PhD, University of Maryland, 2008; MA, Johns Hopkins University, 1999; BS, Cornell University, 1993.</w:t>
      </w:r>
    </w:p>
    <w:p>
      <w:pPr>
        <w:pStyle w:val="BodyText"/>
        <w:spacing w:line="249" w:lineRule="auto" w:before="180"/>
        <w:ind w:left="199"/>
      </w:pPr>
      <w:r>
        <w:rPr>
          <w:b/>
          <w:color w:val="0B0B0B"/>
        </w:rPr>
        <w:t>Creed, Meaghan</w:t>
      </w:r>
      <w:r>
        <w:rPr>
          <w:color w:val="0B0B0B"/>
        </w:rPr>
        <w:t>, (A), Assistant Professor, Pharmacology, School of Medicine. PhD, University of Toronto, 2012.</w:t>
      </w:r>
    </w:p>
    <w:p>
      <w:pPr>
        <w:pStyle w:val="BodyText"/>
        <w:spacing w:line="249" w:lineRule="auto" w:before="184"/>
        <w:ind w:left="199" w:right="380"/>
      </w:pPr>
      <w:r>
        <w:rPr>
          <w:b/>
          <w:color w:val="0B0B0B"/>
        </w:rPr>
        <w:t>Cross, Alan, </w:t>
      </w:r>
      <w:r>
        <w:rPr>
          <w:color w:val="0B0B0B"/>
        </w:rPr>
        <w:t>(R), Professor, Medicine, School of Medicine. MD, University of Pennsylvania, 1970; BA, Harvard University, 1966.</w:t>
      </w:r>
    </w:p>
    <w:p>
      <w:pPr>
        <w:pStyle w:val="BodyText"/>
        <w:spacing w:line="249" w:lineRule="auto" w:before="180"/>
        <w:ind w:left="199" w:right="258"/>
      </w:pPr>
      <w:r>
        <w:rPr>
          <w:b/>
          <w:color w:val="0B0B0B"/>
        </w:rPr>
        <w:t>Crossley, Harold</w:t>
      </w:r>
      <w:r>
        <w:rPr>
          <w:color w:val="0B0B0B"/>
        </w:rPr>
        <w:t>, (A), Associate Professor, Oral and Craniofacial Biological Sciences, School of Dentistry. DDS, University of Maryland, 1980; PhD, University of Rhode Island, 1972; MS, University of Rhode Island, 1969.</w:t>
      </w:r>
    </w:p>
    <w:p>
      <w:pPr>
        <w:pStyle w:val="BodyText"/>
        <w:spacing w:line="249" w:lineRule="auto" w:before="186"/>
        <w:ind w:left="199" w:right="81"/>
      </w:pPr>
      <w:r>
        <w:rPr>
          <w:b/>
          <w:color w:val="0B0B0B"/>
        </w:rPr>
        <w:t>Dababnah, Sarah</w:t>
      </w:r>
      <w:r>
        <w:rPr>
          <w:color w:val="0B0B0B"/>
        </w:rPr>
        <w:t>, (A), Assistant Professor, School of Social Work. PhD, University of North Carolina at Chapel Hill, 2014; MSW, University of North Carolina at Chapel Hill, 2010; MPH, Johns Hopkins University, 2005.</w:t>
      </w:r>
    </w:p>
    <w:p>
      <w:pPr>
        <w:pStyle w:val="BodyText"/>
        <w:spacing w:line="249" w:lineRule="auto" w:before="181"/>
        <w:ind w:right="121"/>
        <w:jc w:val="both"/>
      </w:pPr>
      <w:r>
        <w:rPr>
          <w:b/>
          <w:color w:val="0B0B0B"/>
        </w:rPr>
        <w:t>Dalby, Richard</w:t>
      </w:r>
      <w:r>
        <w:rPr>
          <w:color w:val="0B0B0B"/>
        </w:rPr>
        <w:t>, (R), Professor, Pharmaceutical Sciences, School of Pharmacy. PhD, University of Kentucky, 1988; BPharm, University of Nottingham, 1983.</w:t>
      </w:r>
    </w:p>
    <w:p>
      <w:pPr>
        <w:pStyle w:val="BodyText"/>
        <w:spacing w:line="249" w:lineRule="auto" w:before="184"/>
        <w:ind w:right="114"/>
      </w:pPr>
      <w:r>
        <w:rPr>
          <w:b/>
          <w:color w:val="0B0B0B"/>
        </w:rPr>
        <w:t>Damcott, Coleen</w:t>
      </w:r>
      <w:r>
        <w:rPr>
          <w:color w:val="0B0B0B"/>
        </w:rPr>
        <w:t>, (A), Associate Professor, Human Genetics, School of Medicine. PhD, University of Pittsburgh, 2002; BS, Cornell University, 1997; AAS, State University of New York College of Technology, 1995.</w:t>
      </w:r>
    </w:p>
    <w:p>
      <w:pPr>
        <w:pStyle w:val="BodyText"/>
        <w:spacing w:line="249" w:lineRule="auto" w:before="181"/>
        <w:ind w:right="301"/>
      </w:pPr>
      <w:r>
        <w:rPr>
          <w:b/>
          <w:color w:val="0B0B0B"/>
        </w:rPr>
        <w:t>Darlington, Daniel</w:t>
      </w:r>
      <w:r>
        <w:rPr>
          <w:color w:val="0B0B0B"/>
        </w:rPr>
        <w:t>, (A), Assistant Professor, Surgery, School of Medicine. PhD, University of Virginia, 1983; BS, Pennsylvania State University, 1978.</w:t>
      </w:r>
    </w:p>
    <w:p>
      <w:pPr>
        <w:pStyle w:val="BodyText"/>
        <w:spacing w:line="249" w:lineRule="auto"/>
        <w:ind w:left="199" w:right="38"/>
        <w:jc w:val="both"/>
      </w:pPr>
      <w:r>
        <w:rPr>
          <w:b/>
          <w:color w:val="0B0B0B"/>
        </w:rPr>
        <w:t>DasSarma, Shiladitya</w:t>
      </w:r>
      <w:r>
        <w:rPr>
          <w:color w:val="0B0B0B"/>
        </w:rPr>
        <w:t>, (R), Professor, Molecular and Cell Biology, School of Medicine. PhD, Massachusetts Institute of Technology, 1984; BS, Indiana University, 1979.</w:t>
      </w:r>
    </w:p>
    <w:p>
      <w:pPr>
        <w:pStyle w:val="BodyText"/>
        <w:spacing w:line="249" w:lineRule="auto" w:before="96"/>
        <w:ind w:right="809"/>
      </w:pPr>
      <w:r>
        <w:rPr/>
        <w:br w:type="column"/>
      </w:r>
      <w:r>
        <w:rPr>
          <w:b/>
          <w:color w:val="0B0B0B"/>
        </w:rPr>
        <w:t>Davenport, Joan M.</w:t>
      </w:r>
      <w:r>
        <w:rPr>
          <w:color w:val="0B0B0B"/>
        </w:rPr>
        <w:t>, (A), Assistant Professor, Organizational Systems and Adult Health, School of Nursing. PhD, University of Maryland, Baltimore, 2000; MSN, University of Alabama, 1982; BS, Salisbury State University, 1979.</w:t>
      </w:r>
    </w:p>
    <w:p>
      <w:pPr>
        <w:pStyle w:val="BodyText"/>
        <w:spacing w:line="249" w:lineRule="auto" w:before="181"/>
        <w:ind w:right="647"/>
      </w:pPr>
      <w:r>
        <w:rPr>
          <w:b/>
          <w:color w:val="0B0B0B"/>
        </w:rPr>
        <w:t>Davidson, Wendy F.</w:t>
      </w:r>
      <w:r>
        <w:rPr>
          <w:color w:val="0B0B0B"/>
        </w:rPr>
        <w:t>, (A), Associate Professor, Microbiology and Immunology, School of Medicine. PhD, Australian National University, 1976; BS, University of NSW, 1973.</w:t>
      </w:r>
    </w:p>
    <w:p>
      <w:pPr>
        <w:pStyle w:val="BodyText"/>
        <w:spacing w:line="249" w:lineRule="auto"/>
        <w:ind w:right="746"/>
        <w:jc w:val="both"/>
      </w:pPr>
      <w:r>
        <w:rPr>
          <w:b/>
          <w:color w:val="0B0B0B"/>
        </w:rPr>
        <w:t>Davidson, William</w:t>
      </w:r>
      <w:r>
        <w:rPr>
          <w:color w:val="0B0B0B"/>
        </w:rPr>
        <w:t>, (R), Professor, Orthodontics, School of Dentistry. PhD, University of Minnesota, 1969; DMS, Harvard University, 1965; AB, Dartmouth College, 1960.</w:t>
      </w:r>
    </w:p>
    <w:p>
      <w:pPr>
        <w:pStyle w:val="BodyText"/>
        <w:spacing w:line="249" w:lineRule="auto" w:before="180"/>
        <w:ind w:right="903"/>
      </w:pPr>
      <w:r>
        <w:rPr>
          <w:b/>
          <w:color w:val="0B0B0B"/>
        </w:rPr>
        <w:t>Davila, Eduardo</w:t>
      </w:r>
      <w:r>
        <w:rPr>
          <w:color w:val="0B0B0B"/>
        </w:rPr>
        <w:t>, (R), Associate Professor, Otorhinolaryngology, School of Medicine. PhD, Mayo Clinic Graduate School, 2002; BS, New Mexico State University, 1998.</w:t>
      </w:r>
    </w:p>
    <w:p>
      <w:pPr>
        <w:pStyle w:val="BodyText"/>
        <w:spacing w:line="249" w:lineRule="auto" w:before="186"/>
        <w:ind w:right="680"/>
      </w:pPr>
      <w:r>
        <w:rPr>
          <w:b/>
          <w:color w:val="0B0B0B"/>
        </w:rPr>
        <w:t>Davis, Allison Del Bene</w:t>
      </w:r>
      <w:r>
        <w:rPr>
          <w:color w:val="0B0B0B"/>
        </w:rPr>
        <w:t>, (A), Assistant Professor, Family and Community Health, School of Nursing. PhD, University of Maryland, Baltimore, 2006; MS, University of Maryland, Baltimore, 2003; BSN, University of Maryland, Baltimore, 2002.</w:t>
      </w:r>
    </w:p>
    <w:p>
      <w:pPr>
        <w:pStyle w:val="BodyText"/>
        <w:spacing w:line="249" w:lineRule="auto" w:before="181"/>
        <w:ind w:right="825"/>
      </w:pPr>
      <w:r>
        <w:rPr>
          <w:b/>
          <w:color w:val="0B0B0B"/>
        </w:rPr>
        <w:t>Davis, Neil, </w:t>
      </w:r>
      <w:r>
        <w:rPr>
          <w:color w:val="0B0B0B"/>
        </w:rPr>
        <w:t>(A), Adjunct Faculty, Graduate School. BS, Lafayette College. MBA, University of Maryland, Baltimore.</w:t>
      </w:r>
    </w:p>
    <w:p>
      <w:pPr>
        <w:pStyle w:val="BodyText"/>
        <w:spacing w:line="249" w:lineRule="auto" w:before="184"/>
        <w:ind w:right="682"/>
      </w:pPr>
      <w:r>
        <w:rPr>
          <w:b/>
          <w:color w:val="0B0B0B"/>
        </w:rPr>
        <w:t>Davitt, Joan</w:t>
      </w:r>
      <w:r>
        <w:rPr>
          <w:color w:val="0B0B0B"/>
        </w:rPr>
        <w:t>, (A), Associate Professor, School of Social Work. PhD, Bryn Mawr College, 2003; MLSP, Bryn Mawr College, 1994; MSS, Bryn Mawr College, 1993.</w:t>
      </w:r>
    </w:p>
    <w:p>
      <w:pPr>
        <w:pStyle w:val="BodyText"/>
        <w:spacing w:line="249" w:lineRule="auto" w:before="180"/>
        <w:ind w:right="903"/>
      </w:pPr>
      <w:r>
        <w:rPr>
          <w:b/>
          <w:color w:val="0B0B0B"/>
        </w:rPr>
        <w:t>DeForge, Bruce</w:t>
      </w:r>
      <w:r>
        <w:rPr>
          <w:color w:val="0B0B0B"/>
        </w:rPr>
        <w:t>, (R), Research Associate Professor, School of Social Work. PhD, University of Maryland, 1994; MA, Towson University, 1985; BA, Central Connecticut State College, 1977.</w:t>
      </w:r>
    </w:p>
    <w:p>
      <w:pPr>
        <w:pStyle w:val="BodyText"/>
        <w:spacing w:line="249" w:lineRule="auto" w:before="186"/>
        <w:ind w:right="692"/>
      </w:pPr>
      <w:r>
        <w:rPr>
          <w:b/>
          <w:color w:val="0B0B0B"/>
        </w:rPr>
        <w:t>DePaola, Louis</w:t>
      </w:r>
      <w:r>
        <w:rPr>
          <w:color w:val="0B0B0B"/>
        </w:rPr>
        <w:t>, (A), Associate Professor, Oral Medicine, School of Dentistry. MS, University of Maryland, 1981; DDS, University of Maryland, 1975; BA, University of Maryland, 1971.</w:t>
      </w:r>
    </w:p>
    <w:p>
      <w:pPr>
        <w:pStyle w:val="BodyText"/>
        <w:spacing w:line="249" w:lineRule="auto" w:before="180"/>
        <w:ind w:right="625"/>
      </w:pPr>
      <w:r>
        <w:rPr>
          <w:b/>
          <w:color w:val="0B0B0B"/>
        </w:rPr>
        <w:t>Depireux, Didier</w:t>
      </w:r>
      <w:r>
        <w:rPr>
          <w:color w:val="0B0B0B"/>
        </w:rPr>
        <w:t>, (R), Assistant Professor, Anatomy and Neurobiology, School of Medicine, PhD, University of Maryland, 1991, MSc, University of Maryland, 1988, BSc, Universite de Liege, 1986</w:t>
      </w:r>
    </w:p>
    <w:p>
      <w:pPr>
        <w:pStyle w:val="BodyText"/>
        <w:spacing w:line="249" w:lineRule="auto"/>
        <w:ind w:right="625"/>
      </w:pPr>
      <w:r>
        <w:rPr>
          <w:b/>
          <w:color w:val="0B0B0B"/>
        </w:rPr>
        <w:t>Deshpande, Deepak</w:t>
      </w:r>
      <w:r>
        <w:rPr>
          <w:color w:val="0B0B0B"/>
        </w:rPr>
        <w:t>, (A), Associate Professor, Pulmonary Division, School of Medicine. PhD, University of Minnesota, 2004; MS, Veterinary College, University of Agricultural Sciences, Bangalore, India, 1997; DVM, Veterinary College, University of Agricultural Sciences, Bangalore, India, 1994.</w:t>
      </w:r>
    </w:p>
    <w:p>
      <w:pPr>
        <w:spacing w:after="0" w:line="249" w:lineRule="auto"/>
        <w:sectPr>
          <w:pgSz w:w="12240" w:h="15840"/>
          <w:pgMar w:header="746" w:footer="0" w:top="1320" w:bottom="280" w:left="880" w:right="300"/>
          <w:cols w:num="2" w:equalWidth="0">
            <w:col w:w="4988" w:space="499"/>
            <w:col w:w="5573"/>
          </w:cols>
        </w:sectPr>
      </w:pPr>
    </w:p>
    <w:p>
      <w:pPr>
        <w:pStyle w:val="BodyText"/>
        <w:spacing w:line="249" w:lineRule="auto" w:before="100"/>
        <w:ind w:right="125"/>
      </w:pPr>
      <w:r>
        <w:rPr>
          <w:b/>
          <w:color w:val="0B0B0B"/>
        </w:rPr>
        <w:t>Dessem, Dean</w:t>
      </w:r>
      <w:r>
        <w:rPr>
          <w:color w:val="0B0B0B"/>
        </w:rPr>
        <w:t>, (R), Associate Professor, Oral and Craniofacial Biological Sciences, School of Dentistry. PhD, University of Illinois, 1985; BS, Tulane University, 1976.</w:t>
      </w:r>
    </w:p>
    <w:p>
      <w:pPr>
        <w:pStyle w:val="BodyText"/>
        <w:spacing w:line="249" w:lineRule="auto" w:before="180"/>
        <w:ind w:left="199" w:right="308"/>
      </w:pPr>
      <w:r>
        <w:rPr>
          <w:b/>
          <w:color w:val="0B0B0B"/>
        </w:rPr>
        <w:t>DeTolla, Louis</w:t>
      </w:r>
      <w:r>
        <w:rPr>
          <w:color w:val="0B0B0B"/>
        </w:rPr>
        <w:t>, (R), Professor, Comparative Medicine, School of Medicine. VMD, University of Pennsylvania, 1982; PhD, Rutgers University, 1978; MS, Rutgers University, 1974.</w:t>
      </w:r>
    </w:p>
    <w:p>
      <w:pPr>
        <w:pStyle w:val="BodyText"/>
        <w:spacing w:line="249" w:lineRule="auto" w:before="186"/>
        <w:ind w:left="199" w:right="52"/>
      </w:pPr>
      <w:r>
        <w:rPr>
          <w:b/>
          <w:color w:val="0B0B0B"/>
        </w:rPr>
        <w:t>DeVico, Anthony</w:t>
      </w:r>
      <w:r>
        <w:rPr>
          <w:color w:val="0B0B0B"/>
        </w:rPr>
        <w:t>, (A), Associate Professor, Microbiology and Immunology, School of Medicine. PhD, George Washington University, 1992; BS, Virginia Polytechnic Institute, 1979.</w:t>
      </w:r>
    </w:p>
    <w:p>
      <w:pPr>
        <w:pStyle w:val="BodyText"/>
        <w:spacing w:line="249" w:lineRule="auto" w:before="180"/>
        <w:ind w:left="199" w:right="202"/>
      </w:pPr>
      <w:r>
        <w:rPr>
          <w:b/>
          <w:color w:val="0B0B0B"/>
        </w:rPr>
        <w:t>Devine, Scott E.</w:t>
      </w:r>
      <w:r>
        <w:rPr>
          <w:color w:val="0B0B0B"/>
        </w:rPr>
        <w:t>, (R), Associate Professor, Medicine, School of Medicine. PhD, University of Maryland, 1993; BS, Stonehill College, 1984.</w:t>
      </w:r>
    </w:p>
    <w:p>
      <w:pPr>
        <w:pStyle w:val="BodyText"/>
        <w:spacing w:line="249" w:lineRule="auto"/>
        <w:ind w:left="199" w:right="25"/>
      </w:pPr>
      <w:r>
        <w:rPr>
          <w:b/>
          <w:color w:val="0B0B0B"/>
        </w:rPr>
        <w:t>Dhar, Vineet</w:t>
      </w:r>
      <w:r>
        <w:rPr>
          <w:color w:val="0B0B0B"/>
        </w:rPr>
        <w:t>, (A), Associate Professor, Orthodontics and Pediatric Dentistry, School of Dentistry. PhD, M LS University, 2009; MBA/PGDHHM, Symbiosis Center of Health Care, 2009; MDS, College of Dental Surgery, 1999.</w:t>
      </w:r>
    </w:p>
    <w:p>
      <w:pPr>
        <w:pStyle w:val="BodyText"/>
        <w:spacing w:line="249" w:lineRule="auto" w:before="180"/>
        <w:ind w:left="199" w:right="57"/>
      </w:pPr>
      <w:r>
        <w:rPr>
          <w:b/>
          <w:color w:val="0B0B0B"/>
        </w:rPr>
        <w:t>Diaconis, Linda</w:t>
      </w:r>
      <w:r>
        <w:rPr>
          <w:color w:val="0B0B0B"/>
        </w:rPr>
        <w:t>, (A), Assistant Professor, Organizational Systems and Adult Health, School of Nursing. PhD, University of Maryland, 2001; MS, University of Maryland, Baltimore, 1994; BSN, University of Maryland, Baltimore, 1992.</w:t>
      </w:r>
    </w:p>
    <w:p>
      <w:pPr>
        <w:pStyle w:val="BodyText"/>
        <w:spacing w:line="249" w:lineRule="auto" w:before="186"/>
        <w:ind w:left="199" w:right="324"/>
      </w:pPr>
      <w:r>
        <w:rPr>
          <w:b/>
          <w:color w:val="0B0B0B"/>
        </w:rPr>
        <w:t>DiBlasio, Frederick</w:t>
      </w:r>
      <w:r>
        <w:rPr>
          <w:color w:val="0B0B0B"/>
        </w:rPr>
        <w:t>, (R), Professor, School of Social Work. PhD, Virginia Commonwealth University, 1983; MSW, University of Maryland, 1978; BA, Western Maryland College, 1975.</w:t>
      </w:r>
    </w:p>
    <w:p>
      <w:pPr>
        <w:pStyle w:val="BodyText"/>
        <w:spacing w:line="249" w:lineRule="auto" w:before="181"/>
        <w:ind w:left="199" w:right="64"/>
      </w:pPr>
      <w:r>
        <w:rPr>
          <w:b/>
          <w:color w:val="0B0B0B"/>
        </w:rPr>
        <w:t>Dickinson, Nancy</w:t>
      </w:r>
      <w:r>
        <w:rPr>
          <w:color w:val="0B0B0B"/>
        </w:rPr>
        <w:t>, (A), Associate Professor, School of Social Work. PhD, University of Seattle, 1986; MSW, University of Tennessee, 1978; BA, University of Richmond, 1967.</w:t>
      </w:r>
    </w:p>
    <w:p>
      <w:pPr>
        <w:pStyle w:val="BodyText"/>
        <w:spacing w:line="249" w:lineRule="auto"/>
        <w:ind w:left="199" w:right="64"/>
      </w:pPr>
      <w:r>
        <w:rPr>
          <w:b/>
          <w:color w:val="0B0B0B"/>
        </w:rPr>
        <w:t>Dimyan, Michael</w:t>
      </w:r>
      <w:r>
        <w:rPr>
          <w:color w:val="0B0B0B"/>
        </w:rPr>
        <w:t>, (A), Assistant Professor, Physical Therapy and Rehabilitation Science, School of Medicine. MD, University of California, San Francisco, 2002; BS, University of California, Irvine, 1997.</w:t>
      </w:r>
    </w:p>
    <w:p>
      <w:pPr>
        <w:pStyle w:val="BodyText"/>
        <w:spacing w:line="249" w:lineRule="auto" w:before="181"/>
        <w:ind w:left="199" w:right="24"/>
      </w:pPr>
      <w:r>
        <w:rPr>
          <w:b/>
          <w:color w:val="0B0B0B"/>
        </w:rPr>
        <w:t>Dixon, Shannan D.</w:t>
      </w:r>
      <w:r>
        <w:rPr>
          <w:color w:val="0B0B0B"/>
        </w:rPr>
        <w:t>, (A), Director, Masters in Genetic Counseling Program, School of Medicine. MS, Arcadia University, 1998; BS, Pennsylvania State University, 1996.</w:t>
      </w:r>
    </w:p>
    <w:p>
      <w:pPr>
        <w:pStyle w:val="BodyText"/>
        <w:spacing w:line="249" w:lineRule="auto" w:before="184"/>
        <w:ind w:left="199" w:right="185"/>
      </w:pPr>
      <w:r>
        <w:rPr>
          <w:b/>
          <w:color w:val="0B0B0B"/>
        </w:rPr>
        <w:t>Donahue, Jr. Donald A</w:t>
      </w:r>
      <w:r>
        <w:rPr>
          <w:color w:val="0B0B0B"/>
        </w:rPr>
        <w:t>. (A), Adjunct Faculty, Graduate School. BS, University of the State of New York, 1981; MS, Seton Hall University, 2018; MBA, Baruch College, 1989; DHEd, A.T. Still University, 2009.</w:t>
      </w:r>
    </w:p>
    <w:p>
      <w:pPr>
        <w:spacing w:before="181"/>
        <w:ind w:left="199" w:right="0" w:firstLine="0"/>
        <w:jc w:val="left"/>
        <w:rPr>
          <w:sz w:val="20"/>
        </w:rPr>
      </w:pPr>
      <w:r>
        <w:rPr>
          <w:b/>
          <w:color w:val="0B0B0B"/>
          <w:sz w:val="20"/>
        </w:rPr>
        <w:t>Donnenberg, Michael</w:t>
      </w:r>
      <w:r>
        <w:rPr>
          <w:color w:val="0B0B0B"/>
          <w:sz w:val="20"/>
        </w:rPr>
        <w:t>, (R), Associate Professor,</w:t>
      </w:r>
    </w:p>
    <w:p>
      <w:pPr>
        <w:pStyle w:val="BodyText"/>
        <w:spacing w:line="249" w:lineRule="auto" w:before="96"/>
        <w:ind w:left="199" w:right="605"/>
      </w:pPr>
      <w:r>
        <w:rPr/>
        <w:br w:type="column"/>
      </w:r>
      <w:r>
        <w:rPr>
          <w:color w:val="0B0B0B"/>
        </w:rPr>
        <w:t>Medicine, School of Medicine. MD, Columbia University, 1983; BS, State University of New York, 1979.</w:t>
      </w:r>
    </w:p>
    <w:p>
      <w:pPr>
        <w:pStyle w:val="BodyText"/>
        <w:spacing w:line="249" w:lineRule="auto" w:before="179"/>
        <w:ind w:left="199" w:right="633"/>
      </w:pPr>
      <w:r>
        <w:rPr>
          <w:b/>
          <w:color w:val="0B0B0B"/>
        </w:rPr>
        <w:t>Doran, Kelly</w:t>
      </w:r>
      <w:r>
        <w:rPr>
          <w:color w:val="0B0B0B"/>
        </w:rPr>
        <w:t>, (A), Assistant Professor, Family and Community Health, School of Nursing. PhD, University of Maryland, Baltimore, 2011; MS, University of Maryland, 2008; BSN, Drexel University, 2005.</w:t>
      </w:r>
    </w:p>
    <w:p>
      <w:pPr>
        <w:pStyle w:val="BodyText"/>
        <w:spacing w:line="249" w:lineRule="auto"/>
        <w:ind w:left="199" w:right="644"/>
      </w:pPr>
      <w:r>
        <w:rPr>
          <w:b/>
          <w:color w:val="0B0B0B"/>
        </w:rPr>
        <w:t>Dorgan, Joanne</w:t>
      </w:r>
      <w:r>
        <w:rPr>
          <w:color w:val="0B0B0B"/>
        </w:rPr>
        <w:t>, (R), Professor, Epidemiology and Public Health, School of Medicine. PhD, Johns Hopkins University School of Hygeine and Public Health, 1985; MPH, University of North Carolina School of Public Health, 1976; BS, Cornell University, 1974.</w:t>
      </w:r>
    </w:p>
    <w:p>
      <w:pPr>
        <w:pStyle w:val="BodyText"/>
        <w:spacing w:line="249" w:lineRule="auto" w:before="182"/>
        <w:ind w:left="199" w:right="722"/>
      </w:pPr>
      <w:r>
        <w:rPr>
          <w:b/>
          <w:color w:val="0B0B0B"/>
        </w:rPr>
        <w:t>Dorsey, Susan</w:t>
      </w:r>
      <w:r>
        <w:rPr>
          <w:color w:val="0B0B0B"/>
        </w:rPr>
        <w:t>, (R), Professor, Pain and Translational Symptom Science, School of Nursing. PhD, University of Maryland, Baltimore, 2001; MS, University of Maryland, Baltimore, 1997; BS, West Virginia Wesleyan College, 1986.</w:t>
      </w:r>
    </w:p>
    <w:p>
      <w:pPr>
        <w:pStyle w:val="BodyText"/>
        <w:spacing w:line="249" w:lineRule="auto" w:before="186"/>
        <w:ind w:left="199" w:right="833"/>
      </w:pPr>
      <w:r>
        <w:rPr>
          <w:b/>
          <w:color w:val="0B0B0B"/>
        </w:rPr>
        <w:t>Doshi, Peter</w:t>
      </w:r>
      <w:r>
        <w:rPr>
          <w:color w:val="0B0B0B"/>
        </w:rPr>
        <w:t>, (A), Assistant Professor, Pharmaceutical Health Services Research, School of Pharmacy. PhD, Massachusetts Institute of Technology, 2011; MA, Harvard University, 2006; BA, Brown University, 2002.</w:t>
      </w:r>
    </w:p>
    <w:p>
      <w:pPr>
        <w:pStyle w:val="BodyText"/>
        <w:spacing w:line="249" w:lineRule="auto" w:before="180"/>
        <w:ind w:left="199" w:right="705"/>
      </w:pPr>
      <w:r>
        <w:rPr>
          <w:b/>
          <w:color w:val="0B0B0B"/>
        </w:rPr>
        <w:t>dosReis, Susan</w:t>
      </w:r>
      <w:r>
        <w:rPr>
          <w:color w:val="0B0B0B"/>
        </w:rPr>
        <w:t>, (R), Associate Professor, Pharmaceutical Health Services Research, School of Pharmacy. PhD, University of Maryland, 1999; BS, University of Rhode Island, 1991.</w:t>
      </w:r>
    </w:p>
    <w:p>
      <w:pPr>
        <w:pStyle w:val="BodyText"/>
        <w:spacing w:line="249" w:lineRule="auto"/>
        <w:ind w:left="199" w:right="807"/>
      </w:pPr>
      <w:r>
        <w:rPr>
          <w:b/>
          <w:color w:val="0B0B0B"/>
        </w:rPr>
        <w:t>Driscoll, Carl</w:t>
      </w:r>
      <w:r>
        <w:rPr>
          <w:color w:val="0B0B0B"/>
        </w:rPr>
        <w:t>, (A), Assistant Professor, Restorative Dentistry, School of Dentistry. DMD, Tufts University, 1977; BA, Merrimack College, 1974.</w:t>
      </w:r>
    </w:p>
    <w:p>
      <w:pPr>
        <w:pStyle w:val="BodyText"/>
        <w:spacing w:line="249" w:lineRule="auto" w:before="180"/>
        <w:ind w:left="199" w:right="644"/>
      </w:pPr>
      <w:r>
        <w:rPr>
          <w:b/>
          <w:color w:val="0B0B0B"/>
        </w:rPr>
        <w:t>Drohat, Alexander</w:t>
      </w:r>
      <w:r>
        <w:rPr>
          <w:color w:val="0B0B0B"/>
        </w:rPr>
        <w:t>, (R), Associate Professor, Biochemistry and Molecular Biology, School of Medicine. PhD, University of Maryland, Baltimore, 1997; BS, University of Maryland, College Park, 1988.</w:t>
      </w:r>
    </w:p>
    <w:p>
      <w:pPr>
        <w:pStyle w:val="BodyText"/>
        <w:spacing w:line="249" w:lineRule="auto" w:before="186"/>
        <w:ind w:left="199" w:right="621"/>
      </w:pPr>
      <w:r>
        <w:rPr>
          <w:b/>
          <w:color w:val="0B0B0B"/>
        </w:rPr>
        <w:t>Du, Jim Shao-jun</w:t>
      </w:r>
      <w:r>
        <w:rPr>
          <w:color w:val="0B0B0B"/>
        </w:rPr>
        <w:t>, (R), Associate Professor, Biochemistry and Molecular Biology, School of Medicine. PhD, University of Toronto, 1993; MSc, Chinese Academy of Sciences, 1986; BSc, Shandong University-China, 1983.</w:t>
      </w:r>
    </w:p>
    <w:p>
      <w:pPr>
        <w:pStyle w:val="BodyText"/>
        <w:spacing w:line="249" w:lineRule="auto" w:before="180"/>
        <w:ind w:left="199" w:right="682"/>
      </w:pPr>
      <w:r>
        <w:rPr>
          <w:b/>
          <w:color w:val="0B0B0B"/>
        </w:rPr>
        <w:t>Dubner, Ronald</w:t>
      </w:r>
      <w:r>
        <w:rPr>
          <w:color w:val="0B0B0B"/>
        </w:rPr>
        <w:t>, (R), Professor, Oral and Craniofacial Biological Sciences, School of Dentistry. PhD, University of Michigan, 1964; DDS, Columbia University, 1981; BS, Columbia University, 1955.</w:t>
      </w:r>
    </w:p>
    <w:p>
      <w:pPr>
        <w:pStyle w:val="BodyText"/>
        <w:spacing w:line="249" w:lineRule="auto"/>
        <w:ind w:left="199" w:right="883"/>
      </w:pPr>
      <w:r>
        <w:rPr>
          <w:b/>
          <w:color w:val="0B0B0B"/>
        </w:rPr>
        <w:t>Duh, Show-Hong</w:t>
      </w:r>
      <w:r>
        <w:rPr>
          <w:color w:val="0B0B0B"/>
        </w:rPr>
        <w:t>, (A), Associate Director, Clinical Chemistry Laboratory, School of Medicine. PhD, North Dakota State University, 1985; MS, North Dakota State University, 1981; BS, Taipei Medical College, 1971.</w:t>
      </w:r>
    </w:p>
    <w:p>
      <w:pPr>
        <w:spacing w:before="181"/>
        <w:ind w:left="199" w:right="0" w:firstLine="0"/>
        <w:jc w:val="left"/>
        <w:rPr>
          <w:sz w:val="20"/>
        </w:rPr>
      </w:pPr>
      <w:r>
        <w:rPr>
          <w:b/>
          <w:color w:val="0B0B0B"/>
          <w:sz w:val="20"/>
        </w:rPr>
        <w:t>Eckert, Richard</w:t>
      </w:r>
      <w:r>
        <w:rPr>
          <w:color w:val="0B0B0B"/>
          <w:sz w:val="20"/>
        </w:rPr>
        <w:t>, (R), Professor, Biochemistry and</w:t>
      </w:r>
    </w:p>
    <w:p>
      <w:pPr>
        <w:spacing w:after="0"/>
        <w:jc w:val="left"/>
        <w:rPr>
          <w:sz w:val="20"/>
        </w:rPr>
        <w:sectPr>
          <w:pgSz w:w="12240" w:h="15840"/>
          <w:pgMar w:header="746" w:footer="0" w:top="1320" w:bottom="280" w:left="880" w:right="300"/>
          <w:cols w:num="2" w:equalWidth="0">
            <w:col w:w="4999" w:space="487"/>
            <w:col w:w="5574"/>
          </w:cols>
        </w:sectPr>
      </w:pPr>
    </w:p>
    <w:p>
      <w:pPr>
        <w:pStyle w:val="BodyText"/>
        <w:spacing w:line="249" w:lineRule="auto" w:before="100"/>
        <w:ind w:right="183"/>
      </w:pPr>
      <w:r>
        <w:rPr>
          <w:color w:val="0B0B0B"/>
        </w:rPr>
        <w:t>Molecular Biology, School of Medicine. PhD, University of Illinois, 1964; MS, University of Illinois, 1978; BA, University of Wisconsin-Parkside, 1975.</w:t>
      </w:r>
    </w:p>
    <w:p>
      <w:pPr>
        <w:pStyle w:val="BodyText"/>
        <w:spacing w:line="249" w:lineRule="auto" w:before="180"/>
        <w:ind w:left="199" w:right="50"/>
      </w:pPr>
      <w:r>
        <w:rPr>
          <w:b/>
          <w:color w:val="0B0B0B"/>
        </w:rPr>
        <w:t>Eddington, Natalie</w:t>
      </w:r>
      <w:r>
        <w:rPr>
          <w:color w:val="0B0B0B"/>
        </w:rPr>
        <w:t>, (R), Dean, School of Pharmacy. PhD, University of Maryland, 1989; BS, Howard University, 1982.</w:t>
      </w:r>
    </w:p>
    <w:p>
      <w:pPr>
        <w:pStyle w:val="BodyText"/>
        <w:spacing w:line="249" w:lineRule="auto" w:before="184"/>
        <w:ind w:left="199" w:right="384"/>
      </w:pPr>
      <w:r>
        <w:rPr>
          <w:b/>
          <w:color w:val="0B0B0B"/>
        </w:rPr>
        <w:t>Edelman, Bennett</w:t>
      </w:r>
      <w:r>
        <w:rPr>
          <w:color w:val="0B0B0B"/>
        </w:rPr>
        <w:t>, (A), Associate Professor, Clinical Laboratories, School of Medicine. MD, Johns Hopkins University, 1975; BS, Yale University, 1971.</w:t>
      </w:r>
    </w:p>
    <w:p>
      <w:pPr>
        <w:pStyle w:val="BodyText"/>
        <w:spacing w:line="249" w:lineRule="auto" w:before="180"/>
        <w:ind w:left="199" w:right="383"/>
      </w:pPr>
      <w:r>
        <w:rPr>
          <w:b/>
          <w:color w:val="0B0B0B"/>
        </w:rPr>
        <w:t>Edmondson Smith, Melissa</w:t>
      </w:r>
      <w:r>
        <w:rPr>
          <w:color w:val="0B0B0B"/>
        </w:rPr>
        <w:t>, (A), Assistant Professor, School of Social Work. PhD, University of Southern California, 2012; MsSW, Columbia University, 2012.</w:t>
      </w:r>
    </w:p>
    <w:p>
      <w:pPr>
        <w:pStyle w:val="BodyText"/>
        <w:spacing w:line="249" w:lineRule="auto"/>
        <w:ind w:left="199" w:right="150"/>
      </w:pPr>
      <w:r>
        <w:rPr>
          <w:b/>
          <w:color w:val="0B0B0B"/>
        </w:rPr>
        <w:t>Edwards, Lori</w:t>
      </w:r>
      <w:r>
        <w:rPr>
          <w:color w:val="0B0B0B"/>
        </w:rPr>
        <w:t>, (A), Assistant Professor, Family and Community Health, School of Nursing. DrPH, Johns Hopkins University School of Public Health, 2012; MPH, Johns Hopkins University School of Public Health, 1989; BSN, University of Maryland School of Nursing, 1980.</w:t>
      </w:r>
    </w:p>
    <w:p>
      <w:pPr>
        <w:pStyle w:val="BodyText"/>
        <w:spacing w:line="249" w:lineRule="auto" w:before="181"/>
        <w:ind w:left="199" w:right="22"/>
      </w:pPr>
      <w:r>
        <w:rPr>
          <w:b/>
          <w:color w:val="0B0B0B"/>
        </w:rPr>
        <w:t>El-Kamary, Samer</w:t>
      </w:r>
      <w:r>
        <w:rPr>
          <w:color w:val="0B0B0B"/>
        </w:rPr>
        <w:t>, (R), Associate Professor, Epidemiology and Public Health, School of Medicine. MPH, Johns Hopkins University, 2001; MSc, University of Alexandria (Egypt), 1994; MB ChB (MD equivalent), University of Alexandria (Egypt), 1989.</w:t>
      </w:r>
    </w:p>
    <w:p>
      <w:pPr>
        <w:pStyle w:val="BodyText"/>
        <w:spacing w:line="249" w:lineRule="auto" w:before="186"/>
        <w:ind w:left="199" w:right="156"/>
      </w:pPr>
      <w:r>
        <w:rPr>
          <w:b/>
          <w:color w:val="0B0B0B"/>
        </w:rPr>
        <w:t>Ellish, Nancy</w:t>
      </w:r>
      <w:r>
        <w:rPr>
          <w:color w:val="0B0B0B"/>
        </w:rPr>
        <w:t>, (A), Associate Professor, Epidemiology and Public Health, School of Medicine. DPH, University of Illinois at Chicago, 1981; MS, University of North Carolina, 1974; BA, State University of New York, 1973.</w:t>
      </w:r>
    </w:p>
    <w:p>
      <w:pPr>
        <w:pStyle w:val="BodyText"/>
        <w:spacing w:line="249" w:lineRule="auto" w:before="180"/>
        <w:ind w:left="199"/>
      </w:pPr>
      <w:r>
        <w:rPr>
          <w:b/>
          <w:color w:val="0B0B0B"/>
        </w:rPr>
        <w:t>Elmer, Gregory</w:t>
      </w:r>
      <w:r>
        <w:rPr>
          <w:color w:val="0B0B0B"/>
        </w:rPr>
        <w:t>, (R), Professor, Psychiatry, School of Medicine. PhD, University of Maryland, 1990; BS, University of Colorado, 1982.</w:t>
      </w:r>
    </w:p>
    <w:p>
      <w:pPr>
        <w:pStyle w:val="BodyText"/>
        <w:spacing w:line="249" w:lineRule="auto"/>
        <w:ind w:left="199" w:right="323"/>
      </w:pPr>
      <w:r>
        <w:rPr>
          <w:b/>
          <w:color w:val="0B0B0B"/>
        </w:rPr>
        <w:t>Enwonwu, Cyril</w:t>
      </w:r>
      <w:r>
        <w:rPr>
          <w:color w:val="0B0B0B"/>
        </w:rPr>
        <w:t>, (R), Professor, Oral and Craniofacial Biological Sciences, School of Dentistry. ScD, Massachusetts Institute of Technology, 1968; MDS, University of Bristol, 1966; PhD, University of Bristol, 1976.</w:t>
      </w:r>
    </w:p>
    <w:p>
      <w:pPr>
        <w:pStyle w:val="BodyText"/>
        <w:spacing w:line="249" w:lineRule="auto" w:before="181"/>
        <w:ind w:left="199" w:right="48"/>
      </w:pPr>
      <w:r>
        <w:rPr>
          <w:b/>
          <w:color w:val="0B0B0B"/>
        </w:rPr>
        <w:t>Ernst, Robert K.</w:t>
      </w:r>
      <w:r>
        <w:rPr>
          <w:color w:val="0B0B0B"/>
        </w:rPr>
        <w:t>, (R), </w:t>
      </w:r>
      <w:r>
        <w:rPr>
          <w:color w:val="0B0B0B"/>
          <w:spacing w:val="-3"/>
        </w:rPr>
        <w:t>Professor </w:t>
      </w:r>
      <w:r>
        <w:rPr>
          <w:color w:val="0B0B0B"/>
        </w:rPr>
        <w:t>and Vice Chair, Microbial Pathogenesis, </w:t>
      </w:r>
      <w:r>
        <w:rPr>
          <w:color w:val="0B0B0B"/>
          <w:spacing w:val="-2"/>
        </w:rPr>
        <w:t>School </w:t>
      </w:r>
      <w:r>
        <w:rPr>
          <w:color w:val="0B0B0B"/>
          <w:spacing w:val="-3"/>
        </w:rPr>
        <w:t>of </w:t>
      </w:r>
      <w:r>
        <w:rPr>
          <w:color w:val="0B0B0B"/>
        </w:rPr>
        <w:t>Dentistry. PhD, University of Virginia, 1996; MA, State University of New York, 1988; </w:t>
      </w:r>
      <w:r>
        <w:rPr>
          <w:color w:val="0B0B0B"/>
          <w:spacing w:val="-3"/>
        </w:rPr>
        <w:t>BS, </w:t>
      </w:r>
      <w:r>
        <w:rPr>
          <w:color w:val="0B0B0B"/>
        </w:rPr>
        <w:t>State University of New York,</w:t>
      </w:r>
      <w:r>
        <w:rPr>
          <w:color w:val="0B0B0B"/>
          <w:spacing w:val="-2"/>
        </w:rPr>
        <w:t> </w:t>
      </w:r>
      <w:r>
        <w:rPr>
          <w:color w:val="0B0B0B"/>
        </w:rPr>
        <w:t>1986.</w:t>
      </w:r>
    </w:p>
    <w:p>
      <w:pPr>
        <w:pStyle w:val="BodyText"/>
        <w:spacing w:line="249" w:lineRule="auto" w:before="186"/>
        <w:ind w:left="199"/>
      </w:pPr>
      <w:r>
        <w:rPr>
          <w:b/>
          <w:color w:val="0B0B0B"/>
        </w:rPr>
        <w:t>Erzurumlu, Reha</w:t>
      </w:r>
      <w:r>
        <w:rPr>
          <w:color w:val="0B0B0B"/>
        </w:rPr>
        <w:t>, (R), Professor, Anesthesiology, School of Medicine. PhD, University of California, 1981; MA, Washington University, 1975; BA, University of Ankara, 1972.</w:t>
      </w:r>
    </w:p>
    <w:p>
      <w:pPr>
        <w:pStyle w:val="BodyText"/>
        <w:spacing w:line="249" w:lineRule="auto" w:before="180"/>
        <w:ind w:left="199" w:right="294"/>
      </w:pPr>
      <w:r>
        <w:rPr>
          <w:b/>
          <w:color w:val="0B0B0B"/>
        </w:rPr>
        <w:t>Faden, Alan</w:t>
      </w:r>
      <w:r>
        <w:rPr>
          <w:color w:val="0B0B0B"/>
        </w:rPr>
        <w:t>, (R), Professor, Anesthesiology, School of Medicine. MD, University of Chicago, 1971; BA,</w:t>
      </w:r>
    </w:p>
    <w:p>
      <w:pPr>
        <w:pStyle w:val="BodyText"/>
        <w:spacing w:before="96"/>
        <w:ind w:left="199"/>
      </w:pPr>
      <w:r>
        <w:rPr/>
        <w:br w:type="column"/>
      </w:r>
      <w:r>
        <w:rPr>
          <w:color w:val="0B0B0B"/>
        </w:rPr>
        <w:t>University of Pennsylvania, 1966.</w:t>
      </w:r>
    </w:p>
    <w:p>
      <w:pPr>
        <w:pStyle w:val="BodyText"/>
        <w:spacing w:line="249" w:lineRule="auto" w:before="187"/>
        <w:ind w:left="199" w:right="771"/>
      </w:pPr>
      <w:r>
        <w:rPr>
          <w:b/>
          <w:color w:val="0B0B0B"/>
        </w:rPr>
        <w:t>Fahie, Vanessa</w:t>
      </w:r>
      <w:r>
        <w:rPr>
          <w:color w:val="0B0B0B"/>
        </w:rPr>
        <w:t>, (A), Assistant Professor, Organizational Systems and Adult Health, School of Nursing. PhD, University of Maryland, 1994; MS, University of Maryland, 1983; BSN, University of Maryland, 1976.</w:t>
      </w:r>
    </w:p>
    <w:p>
      <w:pPr>
        <w:pStyle w:val="BodyText"/>
        <w:spacing w:line="249" w:lineRule="auto" w:before="186"/>
        <w:ind w:left="199" w:right="665"/>
      </w:pPr>
      <w:r>
        <w:rPr>
          <w:b/>
          <w:color w:val="0B0B0B"/>
        </w:rPr>
        <w:t>Fang, Shengyun</w:t>
      </w:r>
      <w:r>
        <w:rPr>
          <w:color w:val="0B0B0B"/>
        </w:rPr>
        <w:t>, (A), Assistant Professor, Molecular and Cell Biology, Graduate School. PhD, Anhui Medical University (China), 1998; MSc, Anhui Medical University (China), 1992; MD, Anhui Medical University (China), 1985.</w:t>
      </w:r>
    </w:p>
    <w:p>
      <w:pPr>
        <w:pStyle w:val="BodyText"/>
        <w:spacing w:line="249" w:lineRule="auto" w:before="181"/>
        <w:ind w:left="199" w:right="615"/>
      </w:pPr>
      <w:r>
        <w:rPr>
          <w:b/>
          <w:color w:val="0B0B0B"/>
        </w:rPr>
        <w:t>Farrell, Jill</w:t>
      </w:r>
      <w:r>
        <w:rPr>
          <w:color w:val="0B0B0B"/>
        </w:rPr>
        <w:t>, (A), Assistant Professor, School of Social Work. PhD, University of Maryland, 2009; MS, University of Maryland, 2002; BA, Boston College, 1999.</w:t>
      </w:r>
    </w:p>
    <w:p>
      <w:pPr>
        <w:pStyle w:val="BodyText"/>
        <w:spacing w:line="249" w:lineRule="auto"/>
        <w:ind w:left="199" w:right="604"/>
      </w:pPr>
      <w:r>
        <w:rPr>
          <w:b/>
          <w:color w:val="0B0B0B"/>
        </w:rPr>
        <w:t>Feldman, Ricardo</w:t>
      </w:r>
      <w:r>
        <w:rPr>
          <w:color w:val="0B0B0B"/>
        </w:rPr>
        <w:t>, (R), Assistant Professor, Microbiology and Immunology, School of Medicine. PhD, New York University, 1979; MS, University of Buenos Aires, 1973.</w:t>
      </w:r>
    </w:p>
    <w:p>
      <w:pPr>
        <w:pStyle w:val="BodyText"/>
        <w:spacing w:line="249" w:lineRule="auto" w:before="179"/>
        <w:ind w:left="199" w:right="683"/>
      </w:pPr>
      <w:r>
        <w:rPr>
          <w:b/>
          <w:color w:val="0B0B0B"/>
        </w:rPr>
        <w:t>Feng, Pei</w:t>
      </w:r>
      <w:r>
        <w:rPr>
          <w:color w:val="0B0B0B"/>
        </w:rPr>
        <w:t>, (R), Associate Professor, Oral and Craniofacial Biological Sciences, School of Dentistry. PhD, University of Umea, 1990; MS, Beijing Medical University, 1981; MD, Beijing Medical University, 1970.</w:t>
      </w:r>
    </w:p>
    <w:p>
      <w:pPr>
        <w:pStyle w:val="BodyText"/>
        <w:spacing w:line="249" w:lineRule="auto" w:before="186"/>
        <w:ind w:left="199" w:right="1515"/>
      </w:pPr>
      <w:r>
        <w:rPr>
          <w:b/>
          <w:color w:val="0B0B0B"/>
        </w:rPr>
        <w:t>Feng, Hanping</w:t>
      </w:r>
      <w:r>
        <w:rPr>
          <w:color w:val="0B0B0B"/>
        </w:rPr>
        <w:t>, Associate Professor, Microbial Pathogenesis, School of Dentistry.</w:t>
      </w:r>
    </w:p>
    <w:p>
      <w:pPr>
        <w:pStyle w:val="BodyText"/>
        <w:spacing w:line="249" w:lineRule="auto" w:before="179"/>
        <w:ind w:left="199" w:right="599"/>
      </w:pPr>
      <w:r>
        <w:rPr>
          <w:b/>
          <w:color w:val="0B0B0B"/>
        </w:rPr>
        <w:t>Ferrucci, Luigi</w:t>
      </w:r>
      <w:r>
        <w:rPr>
          <w:color w:val="0B0B0B"/>
        </w:rPr>
        <w:t>, (S), Adjunct Professor, Epidemiology and Public Health, School of Medicine. PhD, University of Florence, 1988; MD, University of Florence, 1980.</w:t>
      </w:r>
    </w:p>
    <w:p>
      <w:pPr>
        <w:pStyle w:val="BodyText"/>
        <w:spacing w:line="249" w:lineRule="auto" w:before="184"/>
        <w:ind w:left="199" w:right="609"/>
      </w:pPr>
      <w:r>
        <w:rPr>
          <w:b/>
          <w:color w:val="0B0B0B"/>
        </w:rPr>
        <w:t>Finigan-Carr</w:t>
      </w:r>
      <w:r>
        <w:rPr>
          <w:color w:val="0B0B0B"/>
        </w:rPr>
        <w:t>, Nadine, (A), Assistant Professor, School of Social Work. PhD, Johns Hopkins University, 2011; MS, University of Baltimore, 1999; BA, Wesleyan University, 1992.</w:t>
      </w:r>
    </w:p>
    <w:p>
      <w:pPr>
        <w:pStyle w:val="BodyText"/>
        <w:spacing w:line="249" w:lineRule="auto" w:before="181"/>
        <w:ind w:left="199" w:right="965"/>
      </w:pPr>
      <w:r>
        <w:rPr>
          <w:b/>
          <w:color w:val="0B0B0B"/>
        </w:rPr>
        <w:t>Fisher, Steven</w:t>
      </w:r>
      <w:r>
        <w:rPr>
          <w:color w:val="0B0B0B"/>
        </w:rPr>
        <w:t>, (R), Professor, Medicine, School of Medicine. MD, University of Pennsylvania, 1986; BA, University of Pennsylvania, 1982.</w:t>
      </w:r>
    </w:p>
    <w:p>
      <w:pPr>
        <w:pStyle w:val="BodyText"/>
        <w:spacing w:line="249" w:lineRule="auto"/>
        <w:ind w:left="199" w:right="654"/>
      </w:pPr>
      <w:r>
        <w:rPr>
          <w:b/>
          <w:color w:val="0B0B0B"/>
        </w:rPr>
        <w:t>Fishman, Paul</w:t>
      </w:r>
      <w:r>
        <w:rPr>
          <w:color w:val="0B0B0B"/>
        </w:rPr>
        <w:t>, (R), Professor, Neurology, School of Medicine. PhD, Yale University, 1975; MD, Johns Hopkins University, 1978; BA, Johns Hopkins University, 1971.</w:t>
      </w:r>
    </w:p>
    <w:p>
      <w:pPr>
        <w:pStyle w:val="BodyText"/>
        <w:spacing w:line="249" w:lineRule="auto" w:before="180"/>
        <w:ind w:left="199" w:right="598"/>
      </w:pPr>
      <w:r>
        <w:rPr>
          <w:b/>
          <w:color w:val="0B0B0B"/>
        </w:rPr>
        <w:t>Fiskum, Gary</w:t>
      </w:r>
      <w:r>
        <w:rPr>
          <w:color w:val="0B0B0B"/>
        </w:rPr>
        <w:t>, (R), Professor, Anesthesiology, School of Medicine. PhD, St. Louis University, 1977; BA, University of California, 1973.</w:t>
      </w:r>
    </w:p>
    <w:p>
      <w:pPr>
        <w:pStyle w:val="BodyText"/>
        <w:spacing w:line="249" w:lineRule="auto"/>
        <w:ind w:left="199" w:right="959"/>
      </w:pPr>
      <w:r>
        <w:rPr>
          <w:b/>
          <w:color w:val="0B0B0B"/>
        </w:rPr>
        <w:t>Fix, Alan</w:t>
      </w:r>
      <w:r>
        <w:rPr>
          <w:color w:val="0B0B0B"/>
        </w:rPr>
        <w:t>, (A), Assistant Professor, Epidemiology and Public Health, School of Medicine. MS, University of Maryland, 1995; MD, University of Florida, 1979; BS, Duke University, 1975.</w:t>
      </w:r>
    </w:p>
    <w:p>
      <w:pPr>
        <w:spacing w:after="0" w:line="249" w:lineRule="auto"/>
        <w:sectPr>
          <w:pgSz w:w="12240" w:h="15840"/>
          <w:pgMar w:header="746" w:footer="0" w:top="1320" w:bottom="280" w:left="880" w:right="300"/>
          <w:cols w:num="2" w:equalWidth="0">
            <w:col w:w="4997" w:space="490"/>
            <w:col w:w="5573"/>
          </w:cols>
        </w:sectPr>
      </w:pPr>
    </w:p>
    <w:p>
      <w:pPr>
        <w:pStyle w:val="BodyText"/>
        <w:spacing w:line="249" w:lineRule="auto" w:before="100"/>
        <w:ind w:right="146"/>
      </w:pPr>
      <w:r>
        <w:rPr>
          <w:b/>
          <w:color w:val="0B0B0B"/>
        </w:rPr>
        <w:t>Flajnik, Martin</w:t>
      </w:r>
      <w:r>
        <w:rPr>
          <w:color w:val="0B0B0B"/>
        </w:rPr>
        <w:t>, (R), Professor, Microbiology and Immunology, School of Medicine. PhD, University of Rochester, 1983; MS, University of Rochester, 1979; BS, Pennsylvania State University, 1978.</w:t>
      </w:r>
    </w:p>
    <w:p>
      <w:pPr>
        <w:pStyle w:val="BodyText"/>
        <w:spacing w:line="249" w:lineRule="auto" w:before="180"/>
        <w:ind w:left="199" w:right="31"/>
      </w:pPr>
      <w:r>
        <w:rPr>
          <w:b/>
          <w:color w:val="0B0B0B"/>
        </w:rPr>
        <w:t>Flannery, Kelly</w:t>
      </w:r>
      <w:r>
        <w:rPr>
          <w:color w:val="0B0B0B"/>
        </w:rPr>
        <w:t>, (A), Assistant Professor, Family and Community Health, School of Nursing. PhD, University of Maryland, Baltimore, 2011; MS, University of Maryland, Baltimore, 2008; BSN, Drexel University, 2005.</w:t>
      </w:r>
    </w:p>
    <w:p>
      <w:pPr>
        <w:pStyle w:val="BodyText"/>
        <w:spacing w:line="249" w:lineRule="auto" w:before="186"/>
        <w:ind w:left="199" w:right="69"/>
      </w:pPr>
      <w:r>
        <w:rPr>
          <w:b/>
          <w:color w:val="0B0B0B"/>
        </w:rPr>
        <w:t>Fleming, Shani, </w:t>
      </w:r>
      <w:r>
        <w:rPr>
          <w:color w:val="0B0B0B"/>
        </w:rPr>
        <w:t>(A), Associate Professor, Graduate School. BA, University of Maryland Eastern Shore, 1999; MPH, George Washington University, 2002; MSHS, 2002</w:t>
      </w:r>
    </w:p>
    <w:p>
      <w:pPr>
        <w:pStyle w:val="BodyText"/>
        <w:spacing w:line="249" w:lineRule="auto" w:before="179"/>
        <w:ind w:left="199" w:right="38"/>
        <w:jc w:val="both"/>
      </w:pPr>
      <w:r>
        <w:rPr>
          <w:b/>
          <w:color w:val="0B0B0B"/>
        </w:rPr>
        <w:t>Fletcher, Steven</w:t>
      </w:r>
      <w:r>
        <w:rPr>
          <w:color w:val="0B0B0B"/>
        </w:rPr>
        <w:t>, (A), Assistant Professor, Pharmaceutical Sciences, School of Pharmacy. PhD, Imperial College UK, 2004; Msci MA, University of Cambridge UK, 2000.</w:t>
      </w:r>
    </w:p>
    <w:p>
      <w:pPr>
        <w:pStyle w:val="BodyText"/>
        <w:spacing w:line="249" w:lineRule="auto"/>
        <w:ind w:left="199" w:right="175"/>
      </w:pPr>
      <w:r>
        <w:rPr>
          <w:b/>
          <w:color w:val="0B0B0B"/>
        </w:rPr>
        <w:t>Fornili, Katherine</w:t>
      </w:r>
      <w:r>
        <w:rPr>
          <w:color w:val="0B0B0B"/>
        </w:rPr>
        <w:t>, (A), Assistant Professor, Family and Community Health, </w:t>
      </w:r>
      <w:r>
        <w:rPr>
          <w:color w:val="0B0B0B"/>
          <w:spacing w:val="-2"/>
        </w:rPr>
        <w:t>School </w:t>
      </w:r>
      <w:r>
        <w:rPr>
          <w:color w:val="0B0B0B"/>
          <w:spacing w:val="-3"/>
        </w:rPr>
        <w:t>of </w:t>
      </w:r>
      <w:r>
        <w:rPr>
          <w:color w:val="0B0B0B"/>
        </w:rPr>
        <w:t>Nursing. </w:t>
      </w:r>
      <w:r>
        <w:rPr>
          <w:color w:val="0B0B0B"/>
          <w:spacing w:val="-3"/>
        </w:rPr>
        <w:t>DNP, </w:t>
      </w:r>
      <w:r>
        <w:rPr>
          <w:color w:val="0B0B0B"/>
        </w:rPr>
        <w:t>University of Maryland </w:t>
      </w:r>
      <w:r>
        <w:rPr>
          <w:color w:val="0B0B0B"/>
          <w:spacing w:val="-2"/>
        </w:rPr>
        <w:t>School </w:t>
      </w:r>
      <w:r>
        <w:rPr>
          <w:color w:val="0B0B0B"/>
          <w:spacing w:val="-3"/>
        </w:rPr>
        <w:t>of </w:t>
      </w:r>
      <w:r>
        <w:rPr>
          <w:color w:val="0B0B0B"/>
        </w:rPr>
        <w:t>Nursing, 2016; </w:t>
      </w:r>
      <w:r>
        <w:rPr>
          <w:color w:val="0B0B0B"/>
          <w:spacing w:val="-3"/>
        </w:rPr>
        <w:t>MPH, </w:t>
      </w:r>
      <w:r>
        <w:rPr>
          <w:color w:val="0B0B0B"/>
        </w:rPr>
        <w:t>Virginia Commonwealth University, 1995; </w:t>
      </w:r>
      <w:r>
        <w:rPr>
          <w:color w:val="0B0B0B"/>
          <w:spacing w:val="-3"/>
        </w:rPr>
        <w:t>BSN,</w:t>
      </w:r>
      <w:r>
        <w:rPr>
          <w:color w:val="0B0B0B"/>
          <w:spacing w:val="12"/>
        </w:rPr>
        <w:t> </w:t>
      </w:r>
      <w:r>
        <w:rPr>
          <w:color w:val="0B0B0B"/>
        </w:rPr>
        <w:t>1982.</w:t>
      </w:r>
    </w:p>
    <w:p>
      <w:pPr>
        <w:pStyle w:val="BodyText"/>
        <w:spacing w:line="249" w:lineRule="auto" w:before="181"/>
        <w:ind w:left="199" w:right="181"/>
      </w:pPr>
      <w:r>
        <w:rPr>
          <w:b/>
          <w:color w:val="0B0B0B"/>
        </w:rPr>
        <w:t>Forrester, Larry</w:t>
      </w:r>
      <w:r>
        <w:rPr>
          <w:color w:val="0B0B0B"/>
        </w:rPr>
        <w:t>, (R), Associate Professor, </w:t>
      </w:r>
      <w:r>
        <w:rPr>
          <w:color w:val="0B0B0B"/>
          <w:spacing w:val="-3"/>
        </w:rPr>
        <w:t>Physical </w:t>
      </w:r>
      <w:r>
        <w:rPr>
          <w:color w:val="0B0B0B"/>
        </w:rPr>
        <w:t>Therapy and Rehabilitation Science, </w:t>
      </w:r>
      <w:r>
        <w:rPr>
          <w:color w:val="0B0B0B"/>
          <w:spacing w:val="-3"/>
        </w:rPr>
        <w:t>School of </w:t>
      </w:r>
      <w:r>
        <w:rPr>
          <w:color w:val="0B0B0B"/>
        </w:rPr>
        <w:t>Medicine. PhD, University of Maryland, 1997; MA, Wake Forest University, 1984; </w:t>
      </w:r>
      <w:r>
        <w:rPr>
          <w:color w:val="0B0B0B"/>
          <w:spacing w:val="-3"/>
        </w:rPr>
        <w:t>BA, </w:t>
      </w:r>
      <w:r>
        <w:rPr>
          <w:color w:val="0B0B0B"/>
        </w:rPr>
        <w:t>Duke University,</w:t>
      </w:r>
      <w:r>
        <w:rPr>
          <w:color w:val="0B0B0B"/>
          <w:spacing w:val="12"/>
        </w:rPr>
        <w:t> </w:t>
      </w:r>
      <w:r>
        <w:rPr>
          <w:color w:val="0B0B0B"/>
        </w:rPr>
        <w:t>1972.</w:t>
      </w:r>
    </w:p>
    <w:p>
      <w:pPr>
        <w:pStyle w:val="BodyText"/>
        <w:spacing w:line="249" w:lineRule="auto"/>
        <w:ind w:left="199" w:right="230"/>
      </w:pPr>
      <w:r>
        <w:rPr>
          <w:b/>
          <w:color w:val="0B0B0B"/>
        </w:rPr>
        <w:t>Fossett, Nancy</w:t>
      </w:r>
      <w:r>
        <w:rPr>
          <w:color w:val="0B0B0B"/>
        </w:rPr>
        <w:t>, (R), Assistant Professor, Pathology, School of Medicine. PhD, Lousiana State University, 1993; MS, Lousiana State University, 1990; BS, Rhodes College, 1976.</w:t>
      </w:r>
    </w:p>
    <w:p>
      <w:pPr>
        <w:pStyle w:val="BodyText"/>
        <w:spacing w:line="249" w:lineRule="auto" w:before="180"/>
        <w:ind w:left="199" w:right="209"/>
      </w:pPr>
      <w:r>
        <w:rPr>
          <w:b/>
          <w:color w:val="0B0B0B"/>
        </w:rPr>
        <w:t>Fouad, Ashraf</w:t>
      </w:r>
      <w:r>
        <w:rPr>
          <w:color w:val="0B0B0B"/>
        </w:rPr>
        <w:t>, (R), Associate Professor, Department of Endodontics, School of Dentistry. DDS, University of Iowa, 1992; MS, University of Iowa, 1990; BDS, Cairo University, 1982.</w:t>
      </w:r>
    </w:p>
    <w:p>
      <w:pPr>
        <w:pStyle w:val="BodyText"/>
        <w:spacing w:line="249" w:lineRule="auto" w:before="186"/>
        <w:ind w:left="199" w:right="25"/>
      </w:pPr>
      <w:r>
        <w:rPr>
          <w:b/>
          <w:color w:val="0B0B0B"/>
        </w:rPr>
        <w:t>Fountain, Lily</w:t>
      </w:r>
      <w:r>
        <w:rPr>
          <w:color w:val="0B0B0B"/>
        </w:rPr>
        <w:t>, (A), Assistant Professor, Family and Community Health, School of Nursing; PhD, University of Maryland, College Park, 2016; MS, Georgetown University, 2011; BSN, University of Maryland, Baltimore County, 2000.</w:t>
      </w:r>
    </w:p>
    <w:p>
      <w:pPr>
        <w:pStyle w:val="BodyText"/>
        <w:spacing w:line="249" w:lineRule="auto" w:before="181"/>
        <w:ind w:left="199" w:right="253"/>
      </w:pPr>
      <w:r>
        <w:rPr>
          <w:b/>
          <w:color w:val="0B0B0B"/>
        </w:rPr>
        <w:t>Fowler, David</w:t>
      </w:r>
      <w:r>
        <w:rPr>
          <w:color w:val="0B0B0B"/>
        </w:rPr>
        <w:t>, (S), Associate Professor, Department of Pathology, School of Medicine. M, Med, University of Maryland, 1990; MB, ChB, University of Cape Town, 1983.</w:t>
      </w:r>
    </w:p>
    <w:p>
      <w:pPr>
        <w:pStyle w:val="BodyText"/>
        <w:spacing w:line="249" w:lineRule="auto"/>
        <w:ind w:left="199" w:right="303"/>
      </w:pPr>
      <w:r>
        <w:rPr>
          <w:b/>
          <w:color w:val="0B0B0B"/>
        </w:rPr>
        <w:t>Franklin, Renty</w:t>
      </w:r>
      <w:r>
        <w:rPr>
          <w:color w:val="0B0B0B"/>
        </w:rPr>
        <w:t>, (R), Professor, Oral and Craniofacial Biological Sciences, School of Dentistry. PhD, Howard University, 1972; MS, Atlanta University, 1967; BS, Morehouse College, 1966.</w:t>
      </w:r>
    </w:p>
    <w:p>
      <w:pPr>
        <w:spacing w:before="181"/>
        <w:ind w:left="199" w:right="0" w:firstLine="0"/>
        <w:jc w:val="left"/>
        <w:rPr>
          <w:sz w:val="20"/>
        </w:rPr>
      </w:pPr>
      <w:r>
        <w:rPr>
          <w:b/>
          <w:color w:val="0B0B0B"/>
          <w:sz w:val="20"/>
        </w:rPr>
        <w:t>Fraser, Claire</w:t>
      </w:r>
      <w:r>
        <w:rPr>
          <w:color w:val="0B0B0B"/>
          <w:sz w:val="20"/>
        </w:rPr>
        <w:t>, (R), Professor, Microbiology and</w:t>
      </w:r>
    </w:p>
    <w:p>
      <w:pPr>
        <w:pStyle w:val="BodyText"/>
        <w:spacing w:line="249" w:lineRule="auto" w:before="96"/>
        <w:ind w:left="199" w:right="652"/>
      </w:pPr>
      <w:r>
        <w:rPr/>
        <w:br w:type="column"/>
      </w:r>
      <w:r>
        <w:rPr>
          <w:color w:val="0B0B0B"/>
        </w:rPr>
        <w:t>Immunology, </w:t>
      </w:r>
      <w:r>
        <w:rPr>
          <w:color w:val="0B0B0B"/>
          <w:spacing w:val="-2"/>
        </w:rPr>
        <w:t>School </w:t>
      </w:r>
      <w:r>
        <w:rPr>
          <w:color w:val="0B0B0B"/>
        </w:rPr>
        <w:t>of Medicine, PhD, State University of New York at </w:t>
      </w:r>
      <w:r>
        <w:rPr>
          <w:color w:val="0B0B0B"/>
          <w:spacing w:val="-3"/>
        </w:rPr>
        <w:t>Buffalo, </w:t>
      </w:r>
      <w:r>
        <w:rPr>
          <w:color w:val="0B0B0B"/>
        </w:rPr>
        <w:t>1981; </w:t>
      </w:r>
      <w:r>
        <w:rPr>
          <w:color w:val="0B0B0B"/>
          <w:spacing w:val="-3"/>
        </w:rPr>
        <w:t>BS, </w:t>
      </w:r>
      <w:r>
        <w:rPr>
          <w:color w:val="0B0B0B"/>
        </w:rPr>
        <w:t>Rensselaer Polytechnic Institute,</w:t>
      </w:r>
      <w:r>
        <w:rPr>
          <w:color w:val="0B0B0B"/>
          <w:spacing w:val="-1"/>
        </w:rPr>
        <w:t> </w:t>
      </w:r>
      <w:r>
        <w:rPr>
          <w:color w:val="0B0B0B"/>
        </w:rPr>
        <w:t>1977.</w:t>
      </w:r>
    </w:p>
    <w:p>
      <w:pPr>
        <w:pStyle w:val="BodyText"/>
        <w:spacing w:line="249" w:lineRule="auto" w:before="180"/>
        <w:ind w:left="199" w:right="794"/>
      </w:pPr>
      <w:r>
        <w:rPr>
          <w:b/>
          <w:color w:val="0B0B0B"/>
        </w:rPr>
        <w:t>Freeman, Pamela Clarkson</w:t>
      </w:r>
      <w:r>
        <w:rPr>
          <w:color w:val="0B0B0B"/>
        </w:rPr>
        <w:t>, (A), Assistant Professor, School of Social Work. PhD, University at Albany, State University of New York, 2007; MSW, University at Albany, State University of New York; 1999, BA, Hartwick College, 1996.</w:t>
      </w:r>
    </w:p>
    <w:p>
      <w:pPr>
        <w:pStyle w:val="BodyText"/>
        <w:spacing w:line="249" w:lineRule="auto" w:before="186"/>
        <w:ind w:left="199" w:right="816"/>
      </w:pPr>
      <w:r>
        <w:rPr>
          <w:b/>
          <w:color w:val="0B0B0B"/>
        </w:rPr>
        <w:t>Frenkel, Victor</w:t>
      </w:r>
      <w:r>
        <w:rPr>
          <w:color w:val="0B0B0B"/>
        </w:rPr>
        <w:t>, (R), Associate Professor, Diagnostic Radiology and Nuclear Medicine, School of Medicine. PhD, Israel Institute of Technology, 1999; MS, Tel Aviv University, 1995; BS, Hebrew University of Jerusalem, 1991.</w:t>
      </w:r>
    </w:p>
    <w:p>
      <w:pPr>
        <w:pStyle w:val="BodyText"/>
        <w:spacing w:line="249" w:lineRule="auto" w:before="181"/>
        <w:ind w:left="199" w:right="1000"/>
      </w:pPr>
      <w:r>
        <w:rPr>
          <w:b/>
          <w:color w:val="0B0B0B"/>
        </w:rPr>
        <w:t>Frey, Jodi</w:t>
      </w:r>
      <w:r>
        <w:rPr>
          <w:color w:val="0B0B0B"/>
        </w:rPr>
        <w:t>, (R), Associate Professor, School of Social Work. PhD, University of Maryland, Baltimore, 2004; MSW, University of Maryland, Baltimore, 1998; BS, University of Maryland, 1996.</w:t>
      </w:r>
    </w:p>
    <w:p>
      <w:pPr>
        <w:pStyle w:val="BodyText"/>
        <w:spacing w:line="249" w:lineRule="auto"/>
        <w:ind w:left="199" w:right="1227"/>
      </w:pPr>
      <w:r>
        <w:rPr>
          <w:b/>
          <w:color w:val="0B0B0B"/>
        </w:rPr>
        <w:t>Fried, Jacquelyn</w:t>
      </w:r>
      <w:r>
        <w:rPr>
          <w:color w:val="0B0B0B"/>
        </w:rPr>
        <w:t>, (A), Associate Professor, Dental Hygiene, School of Dentistry. MS, Old Dominion University, 1976; BA, Ohio State University, 1968.</w:t>
      </w:r>
    </w:p>
    <w:p>
      <w:pPr>
        <w:pStyle w:val="BodyText"/>
        <w:spacing w:line="249" w:lineRule="auto" w:before="180"/>
        <w:ind w:left="199" w:right="1133"/>
      </w:pPr>
      <w:r>
        <w:rPr>
          <w:b/>
          <w:color w:val="0B0B0B"/>
        </w:rPr>
        <w:t>Friedmann, Erika</w:t>
      </w:r>
      <w:r>
        <w:rPr>
          <w:color w:val="0B0B0B"/>
        </w:rPr>
        <w:t>, (R), Professor, Organizational Systems and Adult Health, School of Nursing. PhD, University of Pennsylvania, 1978; BA, University of Pennsylvania, 1973.</w:t>
      </w:r>
    </w:p>
    <w:p>
      <w:pPr>
        <w:pStyle w:val="BodyText"/>
        <w:spacing w:line="249" w:lineRule="auto"/>
        <w:ind w:left="199" w:right="649"/>
      </w:pPr>
      <w:r>
        <w:rPr>
          <w:b/>
          <w:color w:val="0B0B0B"/>
        </w:rPr>
        <w:t>Frieman, Matthew</w:t>
      </w:r>
      <w:r>
        <w:rPr>
          <w:color w:val="0B0B0B"/>
        </w:rPr>
        <w:t>, (A), Assistant Professor, Microbiology and Immunology, School of Medicine. PhD, Johns Hopkins University, 2004; BA, Washington University, 1998.</w:t>
      </w:r>
    </w:p>
    <w:p>
      <w:pPr>
        <w:pStyle w:val="BodyText"/>
        <w:spacing w:line="249" w:lineRule="auto" w:before="181"/>
        <w:ind w:left="199" w:right="1011"/>
      </w:pPr>
      <w:r>
        <w:rPr>
          <w:b/>
          <w:color w:val="0B0B0B"/>
        </w:rPr>
        <w:t>Frost, Douglas</w:t>
      </w:r>
      <w:r>
        <w:rPr>
          <w:color w:val="0B0B0B"/>
        </w:rPr>
        <w:t>, (R), Professor, Pharmacology and Experimental Therapeutics, School of Medicine. PhD, Massachusetts Institute of Technology, 1975; MS, Massachusetts Institute of Technology, 1971; BS, Massachusetts Institute of Technology, 1971.</w:t>
      </w:r>
    </w:p>
    <w:p>
      <w:pPr>
        <w:pStyle w:val="BodyText"/>
        <w:spacing w:line="249" w:lineRule="auto" w:before="186"/>
        <w:ind w:left="199" w:right="866"/>
      </w:pPr>
      <w:r>
        <w:rPr>
          <w:b/>
          <w:color w:val="0B0B0B"/>
        </w:rPr>
        <w:t>Fu, Mao</w:t>
      </w:r>
      <w:r>
        <w:rPr>
          <w:color w:val="0B0B0B"/>
        </w:rPr>
        <w:t>, (A), Assistant Professor, School of Medicine. PhD, West China University, 1998; MS, West China University, 1995; MBBS, West China University, 1987.</w:t>
      </w:r>
    </w:p>
    <w:p>
      <w:pPr>
        <w:pStyle w:val="BodyText"/>
        <w:spacing w:line="249" w:lineRule="auto" w:before="180"/>
        <w:ind w:left="199" w:right="677"/>
      </w:pPr>
      <w:r>
        <w:rPr>
          <w:b/>
          <w:color w:val="0B0B0B"/>
        </w:rPr>
        <w:t>Fulton, Amy</w:t>
      </w:r>
      <w:r>
        <w:rPr>
          <w:color w:val="0B0B0B"/>
        </w:rPr>
        <w:t>, (R), Professor, Pathology, School of Medicine. PhD, University of Wisconsin, 1977; MS, University of Wisconsin, 1975; BA, University of Kansas, 1972.</w:t>
      </w:r>
    </w:p>
    <w:p>
      <w:pPr>
        <w:pStyle w:val="BodyText"/>
        <w:spacing w:line="249" w:lineRule="auto"/>
        <w:ind w:left="199" w:right="610"/>
      </w:pPr>
      <w:r>
        <w:rPr>
          <w:b/>
          <w:color w:val="0B0B0B"/>
        </w:rPr>
        <w:t>Furuno, Jon Paul</w:t>
      </w:r>
      <w:r>
        <w:rPr>
          <w:color w:val="0B0B0B"/>
        </w:rPr>
        <w:t>, (A), Assistant Professor, Epidemiology and Public Health, School of Medicine. PhD, University of Maryland, Baltimore, 2004; MS, University of Maryland, Baltimore, 2001; BS, University of Rhode Island, 1996.</w:t>
      </w:r>
    </w:p>
    <w:p>
      <w:pPr>
        <w:spacing w:after="0" w:line="249" w:lineRule="auto"/>
        <w:sectPr>
          <w:pgSz w:w="12240" w:h="15840"/>
          <w:pgMar w:header="746" w:footer="0" w:top="1320" w:bottom="280" w:left="880" w:right="300"/>
          <w:cols w:num="2" w:equalWidth="0">
            <w:col w:w="4972" w:space="514"/>
            <w:col w:w="5574"/>
          </w:cols>
        </w:sectPr>
      </w:pPr>
    </w:p>
    <w:p>
      <w:pPr>
        <w:pStyle w:val="BodyText"/>
        <w:spacing w:line="249" w:lineRule="auto" w:before="100"/>
        <w:ind w:right="325"/>
      </w:pPr>
      <w:r>
        <w:rPr>
          <w:b/>
          <w:color w:val="0B0B0B"/>
        </w:rPr>
        <w:t>Galen, James E.</w:t>
      </w:r>
      <w:r>
        <w:rPr>
          <w:color w:val="0B0B0B"/>
        </w:rPr>
        <w:t>, (A), Associate Professor, Center for Vaccine Development, School of Medicine. PhD, University of Maryland School of Medicine, 1991; BA, University of Virginia, 1979.</w:t>
      </w:r>
    </w:p>
    <w:p>
      <w:pPr>
        <w:pStyle w:val="BodyText"/>
        <w:spacing w:line="249" w:lineRule="auto" w:before="180"/>
        <w:ind w:hanging="1"/>
      </w:pPr>
      <w:r>
        <w:rPr>
          <w:b/>
          <w:color w:val="0B0B0B"/>
        </w:rPr>
        <w:t>Galik, Elizabeth, </w:t>
      </w:r>
      <w:r>
        <w:rPr>
          <w:color w:val="0B0B0B"/>
        </w:rPr>
        <w:t>(R), Associate Professor, Organizational Systems and Adult Health, </w:t>
      </w:r>
      <w:r>
        <w:rPr>
          <w:color w:val="0B0B0B"/>
          <w:spacing w:val="-2"/>
        </w:rPr>
        <w:t>School </w:t>
      </w:r>
      <w:r>
        <w:rPr>
          <w:color w:val="0B0B0B"/>
          <w:spacing w:val="-3"/>
        </w:rPr>
        <w:t>of </w:t>
      </w:r>
      <w:r>
        <w:rPr>
          <w:color w:val="0B0B0B"/>
        </w:rPr>
        <w:t>Nursing. PhD, University of Maryland, 2007; </w:t>
      </w:r>
      <w:r>
        <w:rPr>
          <w:color w:val="0B0B0B"/>
          <w:spacing w:val="-3"/>
        </w:rPr>
        <w:t>MSN, Villanova </w:t>
      </w:r>
      <w:r>
        <w:rPr>
          <w:color w:val="0B0B0B"/>
        </w:rPr>
        <w:t>University, 1994; </w:t>
      </w:r>
      <w:r>
        <w:rPr>
          <w:color w:val="0B0B0B"/>
          <w:spacing w:val="-3"/>
        </w:rPr>
        <w:t>BSN, </w:t>
      </w:r>
      <w:r>
        <w:rPr>
          <w:color w:val="0B0B0B"/>
        </w:rPr>
        <w:t>University of Pennsylvania,</w:t>
      </w:r>
      <w:r>
        <w:rPr>
          <w:color w:val="0B0B0B"/>
          <w:spacing w:val="-2"/>
        </w:rPr>
        <w:t> </w:t>
      </w:r>
      <w:r>
        <w:rPr>
          <w:color w:val="0B0B0B"/>
        </w:rPr>
        <w:t>1988.</w:t>
      </w:r>
    </w:p>
    <w:p>
      <w:pPr>
        <w:pStyle w:val="BodyText"/>
        <w:spacing w:line="249" w:lineRule="auto" w:before="186"/>
        <w:ind w:right="117"/>
      </w:pPr>
      <w:r>
        <w:rPr>
          <w:b/>
          <w:color w:val="0B0B0B"/>
        </w:rPr>
        <w:t>Gallo, Robert, </w:t>
      </w:r>
      <w:r>
        <w:rPr>
          <w:color w:val="0B0B0B"/>
        </w:rPr>
        <w:t>(R), Professor, Microbiology and Immunology, </w:t>
      </w:r>
      <w:r>
        <w:rPr>
          <w:color w:val="0B0B0B"/>
          <w:spacing w:val="-2"/>
        </w:rPr>
        <w:t>School </w:t>
      </w:r>
      <w:r>
        <w:rPr>
          <w:color w:val="0B0B0B"/>
        </w:rPr>
        <w:t>of Medicine. MD, Jefferson Medical College, 1963; </w:t>
      </w:r>
      <w:r>
        <w:rPr>
          <w:color w:val="0B0B0B"/>
          <w:spacing w:val="-3"/>
        </w:rPr>
        <w:t>BA, </w:t>
      </w:r>
      <w:r>
        <w:rPr>
          <w:color w:val="0B0B0B"/>
        </w:rPr>
        <w:t>Providence College,</w:t>
      </w:r>
      <w:r>
        <w:rPr>
          <w:color w:val="0B0B0B"/>
          <w:spacing w:val="12"/>
        </w:rPr>
        <w:t> </w:t>
      </w:r>
      <w:r>
        <w:rPr>
          <w:color w:val="0B0B0B"/>
        </w:rPr>
        <w:t>1959.</w:t>
      </w:r>
    </w:p>
    <w:p>
      <w:pPr>
        <w:pStyle w:val="BodyText"/>
        <w:spacing w:line="249" w:lineRule="auto" w:before="179"/>
        <w:ind w:right="486"/>
      </w:pPr>
      <w:r>
        <w:rPr>
          <w:b/>
          <w:color w:val="0B0B0B"/>
        </w:rPr>
        <w:t>Gann, Donald, </w:t>
      </w:r>
      <w:r>
        <w:rPr>
          <w:color w:val="0B0B0B"/>
        </w:rPr>
        <w:t>(R), Professor, Surgery, School of Medicine. MD, Johns Hopkins University, 1956; AB, Dartmouth College, 1952.</w:t>
      </w:r>
    </w:p>
    <w:p>
      <w:pPr>
        <w:pStyle w:val="BodyText"/>
        <w:spacing w:line="249" w:lineRule="auto"/>
        <w:ind w:right="753"/>
      </w:pPr>
      <w:r>
        <w:rPr>
          <w:b/>
          <w:color w:val="0B0B0B"/>
        </w:rPr>
        <w:t>Garcin, Elsa, </w:t>
      </w:r>
      <w:r>
        <w:rPr>
          <w:color w:val="0B0B0B"/>
        </w:rPr>
        <w:t>Associate Professor, Chemistry and Biochemistry, School of Medicine.</w:t>
      </w:r>
    </w:p>
    <w:p>
      <w:pPr>
        <w:pStyle w:val="BodyText"/>
        <w:spacing w:line="249" w:lineRule="auto" w:before="179"/>
        <w:ind w:right="45"/>
      </w:pPr>
      <w:r>
        <w:rPr>
          <w:b/>
          <w:color w:val="0B0B0B"/>
        </w:rPr>
        <w:t>Gartenhaus, Ronald B.</w:t>
      </w:r>
      <w:r>
        <w:rPr>
          <w:color w:val="0B0B0B"/>
        </w:rPr>
        <w:t>, (R), Professor, Medicine, School of Medicine. MD, Universidad del Noreste, 1981; BA, State University of New York at Albany, 1977.</w:t>
      </w:r>
    </w:p>
    <w:p>
      <w:pPr>
        <w:pStyle w:val="BodyText"/>
        <w:spacing w:line="249" w:lineRule="auto"/>
      </w:pPr>
      <w:r>
        <w:rPr>
          <w:b/>
          <w:color w:val="0B0B0B"/>
        </w:rPr>
        <w:t>Garzino-Demo, Alfredo</w:t>
      </w:r>
      <w:r>
        <w:rPr>
          <w:color w:val="0B0B0B"/>
        </w:rPr>
        <w:t>, (A), Assistant Professor, Microbiology and </w:t>
      </w:r>
      <w:r>
        <w:rPr>
          <w:color w:val="0B0B0B"/>
          <w:spacing w:val="-3"/>
        </w:rPr>
        <w:t>Immunology, </w:t>
      </w:r>
      <w:r>
        <w:rPr>
          <w:color w:val="0B0B0B"/>
        </w:rPr>
        <w:t>School of Medicine. </w:t>
      </w:r>
      <w:r>
        <w:rPr>
          <w:color w:val="0B0B0B"/>
          <w:spacing w:val="-3"/>
        </w:rPr>
        <w:t>PhD, </w:t>
      </w:r>
      <w:r>
        <w:rPr>
          <w:color w:val="0B0B0B"/>
        </w:rPr>
        <w:t>University degli Studi di Torino,</w:t>
      </w:r>
      <w:r>
        <w:rPr>
          <w:color w:val="0B0B0B"/>
          <w:spacing w:val="-7"/>
        </w:rPr>
        <w:t> </w:t>
      </w:r>
      <w:r>
        <w:rPr>
          <w:color w:val="0B0B0B"/>
        </w:rPr>
        <w:t>1988.</w:t>
      </w:r>
    </w:p>
    <w:p>
      <w:pPr>
        <w:pStyle w:val="BodyText"/>
        <w:spacing w:line="249" w:lineRule="auto" w:before="179"/>
        <w:ind w:right="70"/>
      </w:pPr>
      <w:r>
        <w:rPr>
          <w:b/>
          <w:color w:val="0B0B0B"/>
        </w:rPr>
        <w:t>Gearhart, Patricia J.</w:t>
      </w:r>
      <w:r>
        <w:rPr>
          <w:color w:val="0B0B0B"/>
        </w:rPr>
        <w:t>, (A), </w:t>
      </w:r>
      <w:r>
        <w:rPr>
          <w:color w:val="0B0B0B"/>
          <w:spacing w:val="-3"/>
        </w:rPr>
        <w:t>Senior </w:t>
      </w:r>
      <w:r>
        <w:rPr>
          <w:color w:val="0B0B0B"/>
        </w:rPr>
        <w:t>Investigator, Microbiology and </w:t>
      </w:r>
      <w:r>
        <w:rPr>
          <w:color w:val="0B0B0B"/>
          <w:spacing w:val="-3"/>
        </w:rPr>
        <w:t>Immunology, </w:t>
      </w:r>
      <w:r>
        <w:rPr>
          <w:color w:val="0B0B0B"/>
          <w:spacing w:val="-2"/>
        </w:rPr>
        <w:t>School </w:t>
      </w:r>
      <w:r>
        <w:rPr>
          <w:color w:val="0B0B0B"/>
        </w:rPr>
        <w:t>of Medicine. </w:t>
      </w:r>
      <w:r>
        <w:rPr>
          <w:color w:val="0B0B0B"/>
          <w:spacing w:val="-3"/>
        </w:rPr>
        <w:t>PhD, </w:t>
      </w:r>
      <w:r>
        <w:rPr>
          <w:color w:val="0B0B0B"/>
        </w:rPr>
        <w:t>University of Pennsylvania, 1974; </w:t>
      </w:r>
      <w:r>
        <w:rPr>
          <w:color w:val="0B0B0B"/>
          <w:spacing w:val="-3"/>
        </w:rPr>
        <w:t>MS, </w:t>
      </w:r>
      <w:r>
        <w:rPr>
          <w:color w:val="0B0B0B"/>
        </w:rPr>
        <w:t>Cornell University, 1969; </w:t>
      </w:r>
      <w:r>
        <w:rPr>
          <w:color w:val="0B0B0B"/>
          <w:spacing w:val="-3"/>
        </w:rPr>
        <w:t>BS, </w:t>
      </w:r>
      <w:r>
        <w:rPr>
          <w:color w:val="0B0B0B"/>
        </w:rPr>
        <w:t>University of Illinois,</w:t>
      </w:r>
      <w:r>
        <w:rPr>
          <w:color w:val="0B0B0B"/>
          <w:spacing w:val="-2"/>
        </w:rPr>
        <w:t> </w:t>
      </w:r>
      <w:r>
        <w:rPr>
          <w:color w:val="0B0B0B"/>
        </w:rPr>
        <w:t>1967.</w:t>
      </w:r>
    </w:p>
    <w:p>
      <w:pPr>
        <w:pStyle w:val="BodyText"/>
        <w:spacing w:line="249" w:lineRule="auto" w:before="186"/>
        <w:ind w:right="97"/>
      </w:pPr>
      <w:r>
        <w:rPr>
          <w:b/>
          <w:color w:val="0B0B0B"/>
        </w:rPr>
        <w:t>Geigle, Paula R.</w:t>
      </w:r>
      <w:r>
        <w:rPr>
          <w:color w:val="0B0B0B"/>
        </w:rPr>
        <w:t>, (A), Assistant Professor, Physical Therapy and Rehabilitation Science, School of Medicine. PhD, University of Delaware, 2001; MS, University of Delaware, 1992; BS, Pennsylvania State University, 1980.</w:t>
      </w:r>
    </w:p>
    <w:p>
      <w:pPr>
        <w:pStyle w:val="BodyText"/>
        <w:spacing w:line="249" w:lineRule="auto" w:before="180"/>
        <w:ind w:right="187"/>
      </w:pPr>
      <w:r>
        <w:rPr>
          <w:b/>
          <w:color w:val="0B0B0B"/>
        </w:rPr>
        <w:t>Giglio, Michelle G.</w:t>
      </w:r>
      <w:r>
        <w:rPr>
          <w:color w:val="0B0B0B"/>
        </w:rPr>
        <w:t>, (A), Assistant Professor, Epidemiology and Human Genetics, School of Medicine. PhD, Johns Hopkins University, 1997; BS, University of Maryland, 1990.</w:t>
      </w:r>
    </w:p>
    <w:p>
      <w:pPr>
        <w:pStyle w:val="BodyText"/>
        <w:spacing w:line="249" w:lineRule="auto" w:before="186"/>
        <w:ind w:right="53"/>
      </w:pPr>
      <w:r>
        <w:rPr>
          <w:b/>
          <w:color w:val="0B0B0B"/>
        </w:rPr>
        <w:t>Gilden, Robyn</w:t>
      </w:r>
      <w:r>
        <w:rPr>
          <w:color w:val="0B0B0B"/>
        </w:rPr>
        <w:t>, (A), Assistant Professor, Family and Community Health, School of Nursing. PhD, University of Maryland, 2010; MS, University of Maryland, 2003; BSN, Salisbury State University, 1997.</w:t>
      </w:r>
    </w:p>
    <w:p>
      <w:pPr>
        <w:pStyle w:val="BodyText"/>
        <w:spacing w:line="249" w:lineRule="auto" w:before="180"/>
        <w:ind w:right="36"/>
      </w:pPr>
      <w:r>
        <w:rPr>
          <w:b/>
          <w:color w:val="0B0B0B"/>
        </w:rPr>
        <w:t>Gioia, Deborah</w:t>
      </w:r>
      <w:r>
        <w:rPr>
          <w:color w:val="0B0B0B"/>
        </w:rPr>
        <w:t>, (R), Assistant Professor, School of Social Work. PhD, University of Southern California, 2000; MSSW, Columbia University, 1981; BA, Northeastern University, 1977.</w:t>
      </w:r>
    </w:p>
    <w:p>
      <w:pPr>
        <w:pStyle w:val="BodyText"/>
        <w:spacing w:line="249" w:lineRule="auto" w:before="186"/>
        <w:ind w:right="208"/>
      </w:pPr>
      <w:r>
        <w:rPr>
          <w:b/>
          <w:color w:val="0B0B0B"/>
        </w:rPr>
        <w:t>Glaser, Edmund</w:t>
      </w:r>
      <w:r>
        <w:rPr>
          <w:color w:val="0B0B0B"/>
        </w:rPr>
        <w:t>, (R), Professor, Physiology, School of Medicine. DEng, Johns Hopkins University, 1960; MSE,</w:t>
      </w:r>
    </w:p>
    <w:p>
      <w:pPr>
        <w:pStyle w:val="BodyText"/>
        <w:spacing w:line="249" w:lineRule="auto" w:before="96"/>
        <w:ind w:right="643"/>
      </w:pPr>
      <w:r>
        <w:rPr/>
        <w:br w:type="column"/>
      </w:r>
      <w:r>
        <w:rPr>
          <w:color w:val="0B0B0B"/>
        </w:rPr>
        <w:t>Johns Hopkins University, 1954; BEE, The Cooper Union, 1949.</w:t>
      </w:r>
    </w:p>
    <w:p>
      <w:pPr>
        <w:pStyle w:val="BodyText"/>
        <w:spacing w:line="249" w:lineRule="auto" w:before="179"/>
        <w:ind w:right="671"/>
      </w:pPr>
      <w:r>
        <w:rPr>
          <w:b/>
          <w:color w:val="0B0B0B"/>
        </w:rPr>
        <w:t>Gnatt , Averell</w:t>
      </w:r>
      <w:r>
        <w:rPr>
          <w:color w:val="0B0B0B"/>
        </w:rPr>
        <w:t>, (R), Assistant Professor, Pharmacology and Experimental Therapeutics, School of Medicine. PhD, Hebrew University of Jerusalem, 1991; MS, Weizmann Institute of Science, 1986; BS, Bar-Ilan University, 1984.</w:t>
      </w:r>
    </w:p>
    <w:p>
      <w:pPr>
        <w:pStyle w:val="BodyText"/>
        <w:spacing w:line="249" w:lineRule="auto"/>
        <w:ind w:right="910"/>
      </w:pPr>
      <w:r>
        <w:rPr>
          <w:b/>
          <w:color w:val="0B0B0B"/>
        </w:rPr>
        <w:t>Gobburu, Joga</w:t>
      </w:r>
      <w:r>
        <w:rPr>
          <w:color w:val="0B0B0B"/>
        </w:rPr>
        <w:t>, (R), Professor, Pharmacy Practice and Science, School of Pharmacy. MBA, Johns Hopkins University, 2011; PhD, North Dakota State University, 1996; MS, Birla Institute of Technology and Sciences, 1992.</w:t>
      </w:r>
    </w:p>
    <w:p>
      <w:pPr>
        <w:pStyle w:val="BodyText"/>
        <w:spacing w:line="249" w:lineRule="auto" w:before="182"/>
        <w:ind w:right="804"/>
      </w:pPr>
      <w:r>
        <w:rPr>
          <w:b/>
          <w:color w:val="0B0B0B"/>
        </w:rPr>
        <w:t>Goldblum, Simeon</w:t>
      </w:r>
      <w:r>
        <w:rPr>
          <w:color w:val="0B0B0B"/>
        </w:rPr>
        <w:t>, (R), Professor, Medicine, School of Medicine. MD, University of Pittsburgh, 1973; BA, University of Michigan, 1969.</w:t>
      </w:r>
    </w:p>
    <w:p>
      <w:pPr>
        <w:pStyle w:val="BodyText"/>
        <w:spacing w:line="249" w:lineRule="auto" w:before="184"/>
        <w:ind w:right="609"/>
      </w:pPr>
      <w:r>
        <w:rPr>
          <w:b/>
          <w:color w:val="0B0B0B"/>
        </w:rPr>
        <w:t>Golding, Amit</w:t>
      </w:r>
      <w:r>
        <w:rPr>
          <w:color w:val="0B0B0B"/>
        </w:rPr>
        <w:t>, (A), Assistant Professor, Rheumatology and Clinical Immunology, School of Medicine. PhD, Johns Hopkins University, 2002; MD, Johns Hopkins University, 2002; BS, Cornell University, 1994.</w:t>
      </w:r>
    </w:p>
    <w:p>
      <w:pPr>
        <w:pStyle w:val="BodyText"/>
        <w:spacing w:line="249" w:lineRule="auto" w:before="181"/>
        <w:ind w:right="712"/>
      </w:pPr>
      <w:r>
        <w:rPr>
          <w:b/>
          <w:color w:val="0B0B0B"/>
        </w:rPr>
        <w:t>Goldman, Lawrence</w:t>
      </w:r>
      <w:r>
        <w:rPr>
          <w:color w:val="0B0B0B"/>
        </w:rPr>
        <w:t>, (R), Professor, Physiology, School of Medicine. PhD, University of California, 1964; BS, Tufts University, 1958.</w:t>
      </w:r>
    </w:p>
    <w:p>
      <w:pPr>
        <w:pStyle w:val="BodyText"/>
        <w:spacing w:line="249" w:lineRule="auto" w:before="184"/>
        <w:ind w:right="727"/>
      </w:pPr>
      <w:r>
        <w:rPr>
          <w:b/>
          <w:color w:val="0B0B0B"/>
        </w:rPr>
        <w:t>Goloubeva, Olga</w:t>
      </w:r>
      <w:r>
        <w:rPr>
          <w:color w:val="0B0B0B"/>
        </w:rPr>
        <w:t>, (R), Professor, Epidemiology and Public Health, School of Medicine. PhD, State Technical University (Russia), 1983; MSc, Dalhousie University (Canada), 1999; MSc, National University of Science and Technology (Russia), 1979.</w:t>
      </w:r>
    </w:p>
    <w:p>
      <w:pPr>
        <w:pStyle w:val="BodyText"/>
        <w:spacing w:line="249" w:lineRule="auto" w:before="182"/>
        <w:ind w:right="904" w:hanging="1"/>
      </w:pPr>
      <w:r>
        <w:rPr>
          <w:b/>
          <w:color w:val="0B0B0B"/>
        </w:rPr>
        <w:t>Gong, Da-Wei</w:t>
      </w:r>
      <w:r>
        <w:rPr>
          <w:color w:val="0B0B0B"/>
        </w:rPr>
        <w:t>, (R), Associate Professor, Molecular Medicine, School of Medicine. MD, Suzhou University School of Medicine, 1982; MMS, Zhejiang Medical University, 1986; DMS, Shanghai Medical University, 1990.</w:t>
      </w:r>
    </w:p>
    <w:p>
      <w:pPr>
        <w:pStyle w:val="BodyText"/>
        <w:spacing w:line="249" w:lineRule="auto" w:before="186"/>
        <w:ind w:right="712" w:hanging="1"/>
      </w:pPr>
      <w:r>
        <w:rPr>
          <w:b/>
          <w:color w:val="0B0B0B"/>
        </w:rPr>
        <w:t>Gonzalez, Frank</w:t>
      </w:r>
      <w:r>
        <w:rPr>
          <w:color w:val="0B0B0B"/>
        </w:rPr>
        <w:t>, (S), </w:t>
      </w:r>
      <w:r>
        <w:rPr>
          <w:color w:val="0B0B0B"/>
          <w:spacing w:val="-3"/>
        </w:rPr>
        <w:t>Chief, </w:t>
      </w:r>
      <w:r>
        <w:rPr>
          <w:color w:val="0B0B0B"/>
        </w:rPr>
        <w:t>Nucleic Acids Section, Laboratory of Molecular Carcinogenesis, </w:t>
      </w:r>
      <w:r>
        <w:rPr>
          <w:color w:val="0B0B0B"/>
          <w:spacing w:val="-3"/>
        </w:rPr>
        <w:t>PhD, </w:t>
      </w:r>
      <w:r>
        <w:rPr>
          <w:color w:val="0B0B0B"/>
        </w:rPr>
        <w:t>University of Wisconsin, 1981; MA, University of South Florida, 1977; </w:t>
      </w:r>
      <w:r>
        <w:rPr>
          <w:color w:val="0B0B0B"/>
          <w:spacing w:val="-3"/>
        </w:rPr>
        <w:t>BA, </w:t>
      </w:r>
      <w:r>
        <w:rPr>
          <w:color w:val="0B0B0B"/>
        </w:rPr>
        <w:t>University of South Florida,</w:t>
      </w:r>
      <w:r>
        <w:rPr>
          <w:color w:val="0B0B0B"/>
          <w:spacing w:val="4"/>
        </w:rPr>
        <w:t> </w:t>
      </w:r>
      <w:r>
        <w:rPr>
          <w:color w:val="0B0B0B"/>
        </w:rPr>
        <w:t>1975.</w:t>
      </w:r>
    </w:p>
    <w:p>
      <w:pPr>
        <w:pStyle w:val="BodyText"/>
        <w:spacing w:line="249" w:lineRule="auto" w:before="180"/>
        <w:ind w:right="651"/>
      </w:pPr>
      <w:r>
        <w:rPr>
          <w:b/>
          <w:color w:val="0B0B0B"/>
        </w:rPr>
        <w:t>Gonzalez-Serratos</w:t>
      </w:r>
      <w:r>
        <w:rPr>
          <w:color w:val="0B0B0B"/>
        </w:rPr>
        <w:t>, </w:t>
      </w:r>
      <w:r>
        <w:rPr>
          <w:color w:val="0B0B0B"/>
          <w:spacing w:val="-3"/>
        </w:rPr>
        <w:t>Hugo, </w:t>
      </w:r>
      <w:r>
        <w:rPr>
          <w:color w:val="0B0B0B"/>
        </w:rPr>
        <w:t>(R), Professor, </w:t>
      </w:r>
      <w:r>
        <w:rPr>
          <w:color w:val="0B0B0B"/>
          <w:spacing w:val="-3"/>
        </w:rPr>
        <w:t>Physiology, </w:t>
      </w:r>
      <w:r>
        <w:rPr>
          <w:color w:val="0B0B0B"/>
          <w:spacing w:val="-2"/>
        </w:rPr>
        <w:t>School </w:t>
      </w:r>
      <w:r>
        <w:rPr>
          <w:color w:val="0B0B0B"/>
        </w:rPr>
        <w:t>of Medicine. PhD, University of London, 1967; MS, Centro de Investigación y de Estudios Avanzados</w:t>
      </w:r>
      <w:r>
        <w:rPr>
          <w:color w:val="0B0B0B"/>
          <w:spacing w:val="-20"/>
        </w:rPr>
        <w:t> </w:t>
      </w:r>
      <w:r>
        <w:rPr>
          <w:color w:val="0B0B0B"/>
        </w:rPr>
        <w:t>del IPN, 1963; MD, University of Mexico,</w:t>
      </w:r>
      <w:r>
        <w:rPr>
          <w:color w:val="0B0B0B"/>
          <w:spacing w:val="-3"/>
        </w:rPr>
        <w:t> </w:t>
      </w:r>
      <w:r>
        <w:rPr>
          <w:color w:val="0B0B0B"/>
        </w:rPr>
        <w:t>1957.</w:t>
      </w:r>
    </w:p>
    <w:p>
      <w:pPr>
        <w:pStyle w:val="BodyText"/>
        <w:spacing w:line="249" w:lineRule="auto"/>
        <w:ind w:right="807"/>
      </w:pPr>
      <w:r>
        <w:rPr>
          <w:b/>
          <w:color w:val="0B0B0B"/>
        </w:rPr>
        <w:t>Goo, Young Ah</w:t>
      </w:r>
      <w:r>
        <w:rPr>
          <w:color w:val="0B0B0B"/>
        </w:rPr>
        <w:t>, (A), Research Assistant Professor, Pharmaceutical Sciences, School of Pharmacy. PhD, University of Washington, 2002; MSc, University of Washington, 1994; BSc, Chonnam National University, 1990.</w:t>
      </w:r>
    </w:p>
    <w:p>
      <w:pPr>
        <w:spacing w:after="0" w:line="249" w:lineRule="auto"/>
        <w:sectPr>
          <w:headerReference w:type="default" r:id="rId128"/>
          <w:headerReference w:type="even" r:id="rId129"/>
          <w:pgSz w:w="12240" w:h="15840"/>
          <w:pgMar w:header="746" w:footer="0" w:top="1320" w:bottom="280" w:left="880" w:right="300"/>
          <w:cols w:num="2" w:equalWidth="0">
            <w:col w:w="4995" w:space="491"/>
            <w:col w:w="5574"/>
          </w:cols>
        </w:sectPr>
      </w:pPr>
    </w:p>
    <w:p>
      <w:pPr>
        <w:pStyle w:val="BodyText"/>
        <w:spacing w:line="249" w:lineRule="auto" w:before="100"/>
        <w:ind w:right="95"/>
      </w:pPr>
      <w:r>
        <w:rPr>
          <w:b/>
          <w:color w:val="0B0B0B"/>
        </w:rPr>
        <w:t>Goodlett, David</w:t>
      </w:r>
      <w:r>
        <w:rPr>
          <w:color w:val="0B0B0B"/>
        </w:rPr>
        <w:t>, (R), Professor, Pharmaceutical</w:t>
      </w:r>
      <w:r>
        <w:rPr>
          <w:color w:val="0B0B0B"/>
          <w:spacing w:val="-19"/>
        </w:rPr>
        <w:t> </w:t>
      </w:r>
      <w:r>
        <w:rPr>
          <w:color w:val="0B0B0B"/>
        </w:rPr>
        <w:t>Sciences, School of Pharmacy. PhD, </w:t>
      </w:r>
      <w:r>
        <w:rPr>
          <w:color w:val="0B0B0B"/>
          <w:spacing w:val="-3"/>
        </w:rPr>
        <w:t>North </w:t>
      </w:r>
      <w:r>
        <w:rPr>
          <w:color w:val="0B0B0B"/>
        </w:rPr>
        <w:t>Carolina State University, 1991; MS, Auburn University, 1986; </w:t>
      </w:r>
      <w:r>
        <w:rPr>
          <w:color w:val="0B0B0B"/>
          <w:spacing w:val="-3"/>
        </w:rPr>
        <w:t>BS, </w:t>
      </w:r>
      <w:r>
        <w:rPr>
          <w:color w:val="0B0B0B"/>
        </w:rPr>
        <w:t>Auburn University,</w:t>
      </w:r>
      <w:r>
        <w:rPr>
          <w:color w:val="0B0B0B"/>
          <w:spacing w:val="11"/>
        </w:rPr>
        <w:t> </w:t>
      </w:r>
      <w:r>
        <w:rPr>
          <w:color w:val="0B0B0B"/>
        </w:rPr>
        <w:t>1982.</w:t>
      </w:r>
    </w:p>
    <w:p>
      <w:pPr>
        <w:pStyle w:val="BodyText"/>
        <w:spacing w:line="249" w:lineRule="auto" w:before="180"/>
        <w:ind w:left="199" w:right="58"/>
      </w:pPr>
      <w:r>
        <w:rPr>
          <w:b/>
          <w:color w:val="0B0B0B"/>
        </w:rPr>
        <w:t>Goodman, Harold</w:t>
      </w:r>
      <w:r>
        <w:rPr>
          <w:color w:val="0B0B0B"/>
        </w:rPr>
        <w:t>, (A), Associate Professor, Pediatric Dentistry, School of Dentistry. MPH, Johns Hopkins University, 1986; DDS, College of Medicine and Dentistry of New Jersey, 1975; BA, Rutgers University, 1972.</w:t>
      </w:r>
    </w:p>
    <w:p>
      <w:pPr>
        <w:pStyle w:val="BodyText"/>
        <w:spacing w:line="249" w:lineRule="auto" w:before="186"/>
        <w:ind w:right="124"/>
      </w:pPr>
      <w:r>
        <w:rPr>
          <w:b/>
          <w:color w:val="0B0B0B"/>
        </w:rPr>
        <w:t>Gopalakrishnan, Mathangi</w:t>
      </w:r>
      <w:r>
        <w:rPr>
          <w:color w:val="0B0B0B"/>
        </w:rPr>
        <w:t>, (A), Research Assistant Professor, Pharmacy Practice and Services, School of Pharmacy. PhD, University of Maryland, Baltimore County, 2013; MS, University of Maryland, Baltimore County, 2007; MPharm, Birla Institute of Technology and Science, 1998.</w:t>
      </w:r>
    </w:p>
    <w:p>
      <w:pPr>
        <w:pStyle w:val="BodyText"/>
        <w:spacing w:line="249" w:lineRule="auto" w:before="182"/>
        <w:ind w:left="199" w:right="297"/>
      </w:pPr>
      <w:r>
        <w:rPr>
          <w:b/>
          <w:color w:val="0B0B0B"/>
        </w:rPr>
        <w:t>Gopalan, Geetha</w:t>
      </w:r>
      <w:r>
        <w:rPr>
          <w:color w:val="0B0B0B"/>
        </w:rPr>
        <w:t>, (R ), Assistant Professor, School of Social Work. PhD, Columbia University, 2009; MSSW, Columbia University, 1999; BS, University of North Carolina, 1996.</w:t>
      </w:r>
    </w:p>
    <w:p>
      <w:pPr>
        <w:pStyle w:val="BodyText"/>
        <w:spacing w:line="249" w:lineRule="auto"/>
        <w:ind w:left="199" w:right="119"/>
      </w:pPr>
      <w:r>
        <w:rPr>
          <w:b/>
          <w:color w:val="0B0B0B"/>
        </w:rPr>
        <w:t>Gordes, Karen, </w:t>
      </w:r>
      <w:r>
        <w:rPr>
          <w:color w:val="0B0B0B"/>
        </w:rPr>
        <w:t>(A), Associate Professor, Graduate School. BS, University of Maryland College Park, 1996; MS, University of Maryland Baltimore, 1998; DPT, 2003; PhD, UMBC, 2014.</w:t>
      </w:r>
    </w:p>
    <w:p>
      <w:pPr>
        <w:pStyle w:val="BodyText"/>
        <w:spacing w:line="249" w:lineRule="auto" w:before="180"/>
        <w:ind w:left="199" w:right="25"/>
      </w:pPr>
      <w:r>
        <w:rPr>
          <w:b/>
          <w:color w:val="0B0B0B"/>
        </w:rPr>
        <w:t>Gordon, Sharon M.</w:t>
      </w:r>
      <w:r>
        <w:rPr>
          <w:color w:val="0B0B0B"/>
        </w:rPr>
        <w:t>, (A), Associate Professor, Biomedical Sciences, School of Dentistry. PhD, Johns Hopkins University, 2003; MPA, Johns Hopkins University, 1996; DDS, University of Texas Health Science Center, 1991.</w:t>
      </w:r>
    </w:p>
    <w:p>
      <w:pPr>
        <w:pStyle w:val="BodyText"/>
        <w:spacing w:line="249" w:lineRule="auto" w:before="186"/>
        <w:ind w:left="199" w:right="452"/>
      </w:pPr>
      <w:r>
        <w:rPr>
          <w:b/>
          <w:color w:val="0B0B0B"/>
        </w:rPr>
        <w:t>Gorman, Emily, </w:t>
      </w:r>
      <w:r>
        <w:rPr>
          <w:color w:val="0B0B0B"/>
        </w:rPr>
        <w:t>(A), Librarian. BA, University of Virginia, 2013; MLIS, University of Pittsburgh, 2014.</w:t>
      </w:r>
    </w:p>
    <w:p>
      <w:pPr>
        <w:pStyle w:val="BodyText"/>
        <w:spacing w:line="249" w:lineRule="auto" w:before="179"/>
        <w:ind w:left="199" w:right="331"/>
        <w:jc w:val="both"/>
      </w:pPr>
      <w:r>
        <w:rPr>
          <w:b/>
          <w:color w:val="0B0B0B"/>
        </w:rPr>
        <w:t>Gottlieb, Stephen</w:t>
      </w:r>
      <w:r>
        <w:rPr>
          <w:color w:val="0B0B0B"/>
        </w:rPr>
        <w:t>, (A), Associate Professor, Medicine, School of Medicine. MD, Brown University, 1981; AB, Brown University, 1977.</w:t>
      </w:r>
    </w:p>
    <w:p>
      <w:pPr>
        <w:pStyle w:val="BodyText"/>
        <w:spacing w:line="249" w:lineRule="auto" w:before="184"/>
        <w:ind w:left="199" w:right="758"/>
        <w:jc w:val="both"/>
      </w:pPr>
      <w:r>
        <w:rPr>
          <w:b/>
          <w:color w:val="0B0B0B"/>
        </w:rPr>
        <w:t>Gould, Todd</w:t>
      </w:r>
      <w:r>
        <w:rPr>
          <w:color w:val="0B0B0B"/>
        </w:rPr>
        <w:t>, (R), Assistant Professor, Molecular Medicine, School of Medicine. MD, University of Virginia, 2001; BS, Loch Haven University, 1996.</w:t>
      </w:r>
    </w:p>
    <w:p>
      <w:pPr>
        <w:pStyle w:val="BodyText"/>
        <w:spacing w:line="249" w:lineRule="auto" w:before="180"/>
        <w:ind w:left="199" w:right="197"/>
      </w:pPr>
      <w:r>
        <w:rPr>
          <w:b/>
          <w:color w:val="0B0B0B"/>
        </w:rPr>
        <w:t>Gourley, Bridgitte</w:t>
      </w:r>
      <w:r>
        <w:rPr>
          <w:color w:val="0B0B0B"/>
        </w:rPr>
        <w:t>, (A), Assistant Professor, Family and Community Health, School of Nursing. DNP, University of Maryland, 2008; MSN, Johns Hopkins University, 2000; BSN, Johns Hopkins University, 1998.</w:t>
      </w:r>
    </w:p>
    <w:p>
      <w:pPr>
        <w:pStyle w:val="BodyText"/>
        <w:spacing w:line="249" w:lineRule="auto" w:before="186"/>
        <w:ind w:left="199" w:right="147"/>
      </w:pPr>
      <w:r>
        <w:rPr>
          <w:b/>
          <w:color w:val="0B0B0B"/>
        </w:rPr>
        <w:t>Grace, Edward</w:t>
      </w:r>
      <w:r>
        <w:rPr>
          <w:color w:val="0B0B0B"/>
        </w:rPr>
        <w:t>, (A), Associate Professor, Oral Health Care Delivery, School of Dentistry. MA, Loyola College, 1981; DDS, University of Maryland, 1964, BS, Mount St. Mary’s College, 1960.</w:t>
      </w:r>
    </w:p>
    <w:p>
      <w:pPr>
        <w:pStyle w:val="BodyText"/>
        <w:spacing w:line="249" w:lineRule="auto" w:before="180"/>
        <w:ind w:left="199" w:right="170"/>
      </w:pPr>
      <w:r>
        <w:rPr>
          <w:b/>
          <w:color w:val="0B0B0B"/>
        </w:rPr>
        <w:t>Grant, Marian</w:t>
      </w:r>
      <w:r>
        <w:rPr>
          <w:color w:val="0B0B0B"/>
        </w:rPr>
        <w:t>, (A), Associate Professor, Organizational Systems and Adult Health, School of Nursing. DNP,</w:t>
      </w:r>
    </w:p>
    <w:p>
      <w:pPr>
        <w:pStyle w:val="BodyText"/>
        <w:spacing w:line="249" w:lineRule="auto" w:before="96"/>
        <w:ind w:left="199" w:right="628"/>
      </w:pPr>
      <w:r>
        <w:rPr/>
        <w:br w:type="column"/>
      </w:r>
      <w:r>
        <w:rPr>
          <w:color w:val="0B0B0B"/>
        </w:rPr>
        <w:t>University of Maryland, Baltimore, 2010; MS, Johns Hopkins University, 2005; BS, Johns Hopkins University, 2000.</w:t>
      </w:r>
    </w:p>
    <w:p>
      <w:pPr>
        <w:pStyle w:val="BodyText"/>
        <w:spacing w:line="249" w:lineRule="auto" w:before="180"/>
        <w:ind w:left="199" w:right="993"/>
      </w:pPr>
      <w:r>
        <w:rPr>
          <w:b/>
          <w:color w:val="0B0B0B"/>
        </w:rPr>
        <w:t>Grattan, Lynn</w:t>
      </w:r>
      <w:r>
        <w:rPr>
          <w:color w:val="0B0B0B"/>
        </w:rPr>
        <w:t>, (A), Associate Professor, Neurology, School of Medicine. PhD, University of Connecticut, 1989; MS, American International College, 1977; BA, Seton Hill College, 1975.</w:t>
      </w:r>
    </w:p>
    <w:p>
      <w:pPr>
        <w:pStyle w:val="BodyText"/>
        <w:spacing w:line="249" w:lineRule="auto"/>
        <w:ind w:left="199" w:right="626"/>
        <w:jc w:val="both"/>
      </w:pPr>
      <w:r>
        <w:rPr>
          <w:b/>
          <w:color w:val="0B0B0B"/>
        </w:rPr>
        <w:t>Greene, Carol Lynn</w:t>
      </w:r>
      <w:r>
        <w:rPr>
          <w:color w:val="0B0B0B"/>
        </w:rPr>
        <w:t>, (A), Professor, Pediatrics, School of Medicine. MD, Albert Einstein College of Medicine, 1977; BS, Stanford University, 1974.</w:t>
      </w:r>
    </w:p>
    <w:p>
      <w:pPr>
        <w:pStyle w:val="BodyText"/>
        <w:spacing w:line="249" w:lineRule="auto" w:before="180"/>
        <w:ind w:left="199" w:right="960"/>
      </w:pPr>
      <w:r>
        <w:rPr>
          <w:b/>
          <w:color w:val="0B0B0B"/>
        </w:rPr>
        <w:t>Greeno, Elizabeth</w:t>
      </w:r>
      <w:r>
        <w:rPr>
          <w:color w:val="0B0B0B"/>
        </w:rPr>
        <w:t>, (A), Research Assistant Professor, School of Social Work. PhD, University of Maryland, 2008; MSW, University of Maryland, 1998; BSW, Salisbury State University, 1997.</w:t>
      </w:r>
    </w:p>
    <w:p>
      <w:pPr>
        <w:pStyle w:val="BodyText"/>
        <w:spacing w:line="249" w:lineRule="auto"/>
        <w:ind w:left="199" w:right="954"/>
      </w:pPr>
      <w:r>
        <w:rPr>
          <w:b/>
          <w:color w:val="0B0B0B"/>
        </w:rPr>
        <w:t>Greenspan, Joel</w:t>
      </w:r>
      <w:r>
        <w:rPr>
          <w:color w:val="0B0B0B"/>
        </w:rPr>
        <w:t>, (R), Assistant Professor, Oral and Craniofacial Biological Sciences, School of Dentistry. PhD, Florida State University, 1980; MS, Florida State University, 1976; BS, Rollins College, 1974.</w:t>
      </w:r>
    </w:p>
    <w:p>
      <w:pPr>
        <w:pStyle w:val="BodyText"/>
        <w:spacing w:line="249" w:lineRule="auto" w:before="181"/>
        <w:ind w:left="199" w:right="682"/>
      </w:pPr>
      <w:r>
        <w:rPr>
          <w:b/>
          <w:color w:val="0B0B0B"/>
        </w:rPr>
        <w:t>Gregory, Henry</w:t>
      </w:r>
      <w:r>
        <w:rPr>
          <w:color w:val="0B0B0B"/>
        </w:rPr>
        <w:t>, (A), Assistant Professor, Family and Community Health, School of Nursing. PhD, Fielding Graduate Institute, 2001; MA, Fielding Graduate Institute, 1995; MA, Antioch College, 1977.</w:t>
      </w:r>
    </w:p>
    <w:p>
      <w:pPr>
        <w:pStyle w:val="BodyText"/>
        <w:spacing w:line="249" w:lineRule="auto"/>
        <w:ind w:left="199" w:right="621"/>
      </w:pPr>
      <w:r>
        <w:rPr>
          <w:b/>
          <w:color w:val="0B0B0B"/>
        </w:rPr>
        <w:t>Greif, Geoffrey</w:t>
      </w:r>
      <w:r>
        <w:rPr>
          <w:color w:val="0B0B0B"/>
        </w:rPr>
        <w:t>, (R), Professor, School of Social Work. DSW, Columbia University, 1983; MSW, University of Pennsylvania, 1974; BA, Ohio Wesleyan University, 1971.</w:t>
      </w:r>
    </w:p>
    <w:p>
      <w:pPr>
        <w:pStyle w:val="BodyText"/>
        <w:spacing w:line="249" w:lineRule="auto" w:before="180"/>
        <w:ind w:left="199" w:right="626"/>
      </w:pPr>
      <w:r>
        <w:rPr>
          <w:b/>
          <w:color w:val="0B0B0B"/>
        </w:rPr>
        <w:t>Grier McGinnis, Gia, </w:t>
      </w:r>
      <w:r>
        <w:rPr>
          <w:color w:val="0B0B0B"/>
        </w:rPr>
        <w:t>(A), Senior Lecturer, Graduate School. BA, Washington College, 2002; MS, University of Michigan, 2005; DrPH, Morgan State, 2019.</w:t>
      </w:r>
    </w:p>
    <w:p>
      <w:pPr>
        <w:pStyle w:val="BodyText"/>
        <w:spacing w:line="249" w:lineRule="auto" w:before="184"/>
        <w:ind w:left="199" w:right="566"/>
      </w:pPr>
      <w:r>
        <w:rPr>
          <w:b/>
          <w:color w:val="0B0B0B"/>
        </w:rPr>
        <w:t>Gruber- Baldini, Ann L.</w:t>
      </w:r>
      <w:r>
        <w:rPr>
          <w:color w:val="0B0B0B"/>
        </w:rPr>
        <w:t>, (R), Professor, Epidemiology and Public Health, School of Medicine. PhD, Pennsylvania State University, 1991; MS, Pennsylvania State University, 1989; BA, Bucknell University, 1985.</w:t>
      </w:r>
    </w:p>
    <w:p>
      <w:pPr>
        <w:pStyle w:val="BodyText"/>
        <w:spacing w:line="249" w:lineRule="auto" w:before="181"/>
        <w:ind w:left="199" w:right="859"/>
      </w:pPr>
      <w:r>
        <w:rPr>
          <w:b/>
          <w:color w:val="0B0B0B"/>
        </w:rPr>
        <w:t>Gullapalli, Rao</w:t>
      </w:r>
      <w:r>
        <w:rPr>
          <w:color w:val="0B0B0B"/>
        </w:rPr>
        <w:t>, (A), Assistant Professor, Diagnostic Radiology, School of Medicine. PhD, University of Arkansas, 1991; MS, University of Arkansas, 1986; BS, Osmania University, 1981.</w:t>
      </w:r>
    </w:p>
    <w:p>
      <w:pPr>
        <w:pStyle w:val="BodyText"/>
        <w:spacing w:line="249" w:lineRule="auto"/>
        <w:ind w:left="199" w:right="692"/>
      </w:pPr>
      <w:r>
        <w:rPr>
          <w:b/>
          <w:color w:val="0B0B0B"/>
        </w:rPr>
        <w:t>Gupta, Anandarup</w:t>
      </w:r>
      <w:r>
        <w:rPr>
          <w:color w:val="0B0B0B"/>
        </w:rPr>
        <w:t>, (R), Assistant Professor, Biomedical Sciences, School of Dentistry. PhD, University of Connecticut, 1990; MS, University of Connecticut, 1986; BS, University of Calcutta, 1983.</w:t>
      </w:r>
    </w:p>
    <w:p>
      <w:pPr>
        <w:pStyle w:val="BodyText"/>
        <w:spacing w:line="249" w:lineRule="auto" w:before="181"/>
        <w:ind w:left="199" w:right="610"/>
      </w:pPr>
      <w:r>
        <w:rPr>
          <w:b/>
          <w:color w:val="0B0B0B"/>
        </w:rPr>
        <w:t>Guralnik, Jack M.</w:t>
      </w:r>
      <w:r>
        <w:rPr>
          <w:color w:val="0B0B0B"/>
        </w:rPr>
        <w:t>, (A), Professor, Epidemiology and Public Health, School of Medicine. PhD, University of California, Berkeley, 1985; MPH, University of California, Berkeley, 1982; MD, Jefferson Medical College, 1971.</w:t>
      </w:r>
    </w:p>
    <w:p>
      <w:pPr>
        <w:spacing w:after="0" w:line="249" w:lineRule="auto"/>
        <w:sectPr>
          <w:pgSz w:w="12240" w:h="15840"/>
          <w:pgMar w:header="746" w:footer="0" w:top="1320" w:bottom="280" w:left="880" w:right="300"/>
          <w:cols w:num="2" w:equalWidth="0">
            <w:col w:w="5005" w:space="482"/>
            <w:col w:w="5573"/>
          </w:cols>
        </w:sectPr>
      </w:pPr>
    </w:p>
    <w:p>
      <w:pPr>
        <w:pStyle w:val="BodyText"/>
        <w:spacing w:line="249" w:lineRule="auto" w:before="100"/>
        <w:ind w:left="199" w:right="187"/>
      </w:pPr>
      <w:r>
        <w:rPr>
          <w:b/>
          <w:color w:val="0B0B0B"/>
        </w:rPr>
        <w:t>Gutchell, Veronica</w:t>
      </w:r>
      <w:r>
        <w:rPr>
          <w:color w:val="0B0B0B"/>
        </w:rPr>
        <w:t>, (A), Assistant Professor, Organizational Systems and Adult Health, School of Nursing. DNP, University of Maryland, Baltimore, 2013; MS, Russell Sage College, 1995; BS, Binghamton University, 1987.</w:t>
      </w:r>
    </w:p>
    <w:p>
      <w:pPr>
        <w:pStyle w:val="BodyText"/>
        <w:spacing w:line="249" w:lineRule="auto" w:before="181"/>
        <w:ind w:left="199" w:right="121"/>
      </w:pPr>
      <w:r>
        <w:rPr>
          <w:b/>
          <w:color w:val="0B0B0B"/>
        </w:rPr>
        <w:t>Hack, Gary</w:t>
      </w:r>
      <w:r>
        <w:rPr>
          <w:color w:val="0B0B0B"/>
        </w:rPr>
        <w:t>, (A), Associate Professor, Biomedical Sciences, School of Dentistry. DDS, Baltimore College of Dental Surgery Dental School, 1979; BA, University of Maryland, Baltimore County, 1975.</w:t>
      </w:r>
    </w:p>
    <w:p>
      <w:pPr>
        <w:pStyle w:val="BodyText"/>
        <w:spacing w:line="249" w:lineRule="auto"/>
        <w:ind w:left="199" w:right="32"/>
      </w:pPr>
      <w:r>
        <w:rPr>
          <w:b/>
          <w:color w:val="0B0B0B"/>
        </w:rPr>
        <w:t>Hafer-Macko, Charlene</w:t>
      </w:r>
      <w:r>
        <w:rPr>
          <w:color w:val="0B0B0B"/>
        </w:rPr>
        <w:t>, (A), Associate Professor, Neuroscience and Cognitive Sciences, School of Medicine. MD, Ohio State University, 1988; MS, Case Western Reserve University, 1984; BS, Pennsylvania State University, 1982.</w:t>
      </w:r>
    </w:p>
    <w:p>
      <w:pPr>
        <w:pStyle w:val="BodyText"/>
        <w:spacing w:line="249" w:lineRule="auto" w:before="182"/>
        <w:ind w:left="199" w:right="115"/>
      </w:pPr>
      <w:r>
        <w:rPr>
          <w:b/>
          <w:color w:val="0B0B0B"/>
        </w:rPr>
        <w:t>Hager, Erin</w:t>
      </w:r>
      <w:r>
        <w:rPr>
          <w:color w:val="0B0B0B"/>
        </w:rPr>
        <w:t>, (A), Assistant Professor, Pediatrics, School of Medicine. PhD, Johns Hopkins, 2008; BS, Loyola College of Maryland, 2000.</w:t>
      </w:r>
    </w:p>
    <w:p>
      <w:pPr>
        <w:pStyle w:val="BodyText"/>
        <w:spacing w:line="249" w:lineRule="auto" w:before="184"/>
        <w:ind w:left="199" w:right="70"/>
      </w:pPr>
      <w:r>
        <w:rPr>
          <w:b/>
          <w:color w:val="0B0B0B"/>
        </w:rPr>
        <w:t>Hahn, Britta</w:t>
      </w:r>
      <w:r>
        <w:rPr>
          <w:color w:val="0B0B0B"/>
        </w:rPr>
        <w:t>, (A), Assistant Professor, Psychiatry, School of Medicine. PhD, King’s College, 2002; MSc, King’s College, 1998.</w:t>
      </w:r>
    </w:p>
    <w:p>
      <w:pPr>
        <w:pStyle w:val="BodyText"/>
        <w:spacing w:line="249" w:lineRule="auto" w:before="180"/>
        <w:ind w:left="199" w:right="160"/>
      </w:pPr>
      <w:r>
        <w:rPr>
          <w:b/>
          <w:color w:val="0B0B0B"/>
        </w:rPr>
        <w:t>Haines, Stuart T.</w:t>
      </w:r>
      <w:r>
        <w:rPr>
          <w:color w:val="0B0B0B"/>
        </w:rPr>
        <w:t>, (A), Professor, Pharmaceutical Health Services Research, School of Pharmacy. PharmD, University of Texas Health Science Center; 1994, BA, Massachusetts College of Pharmacy and Allied Health Sciences, 1985.</w:t>
      </w:r>
    </w:p>
    <w:p>
      <w:pPr>
        <w:pStyle w:val="BodyText"/>
        <w:spacing w:line="249" w:lineRule="auto" w:before="186"/>
        <w:ind w:left="199"/>
      </w:pPr>
      <w:r>
        <w:rPr>
          <w:b/>
          <w:color w:val="0B0B0B"/>
        </w:rPr>
        <w:t>Hamburger, Anne</w:t>
      </w:r>
      <w:r>
        <w:rPr>
          <w:color w:val="0B0B0B"/>
        </w:rPr>
        <w:t>, (R), Professor, Pathology, School of Medicine. PhD, New York University, 1975; MA, New York University, 1971; AB, Brandeis University, 1968.</w:t>
      </w:r>
    </w:p>
    <w:p>
      <w:pPr>
        <w:pStyle w:val="BodyText"/>
        <w:spacing w:line="249" w:lineRule="auto" w:before="180"/>
        <w:ind w:right="147"/>
      </w:pPr>
      <w:r>
        <w:rPr>
          <w:b/>
          <w:color w:val="0B0B0B"/>
        </w:rPr>
        <w:t>Hamlyn, John</w:t>
      </w:r>
      <w:r>
        <w:rPr>
          <w:color w:val="0B0B0B"/>
        </w:rPr>
        <w:t>, (R), Professor, Physiology, School of Medicine. PhD, Glasgow Caledonia University, Scotland, 1979; BSc, University of the Southwest Plymouth, England, 1975.</w:t>
      </w:r>
    </w:p>
    <w:p>
      <w:pPr>
        <w:pStyle w:val="BodyText"/>
        <w:spacing w:line="249" w:lineRule="auto"/>
        <w:ind w:left="199" w:right="48"/>
      </w:pPr>
      <w:r>
        <w:rPr>
          <w:b/>
          <w:color w:val="0B0B0B"/>
        </w:rPr>
        <w:t>Harrington, Donna</w:t>
      </w:r>
      <w:r>
        <w:rPr>
          <w:color w:val="0B0B0B"/>
        </w:rPr>
        <w:t>, (R), Professor, School of Social Work. PhD, University of Maryland, 1990; BA, University of Maine, 1985.</w:t>
      </w:r>
    </w:p>
    <w:p>
      <w:pPr>
        <w:pStyle w:val="BodyText"/>
        <w:spacing w:line="249" w:lineRule="auto" w:before="180"/>
        <w:ind w:left="199" w:right="531"/>
      </w:pPr>
      <w:r>
        <w:rPr>
          <w:b/>
          <w:color w:val="0B0B0B"/>
        </w:rPr>
        <w:t>Harris, Anthony</w:t>
      </w:r>
      <w:r>
        <w:rPr>
          <w:color w:val="0B0B0B"/>
        </w:rPr>
        <w:t>, (R), Professor, Epidemiology and Public Health, School of Medicine. MPH, Harvard University, 1999; MD, McGill University, 1993; BS, McGill University, 1989.</w:t>
      </w:r>
    </w:p>
    <w:p>
      <w:pPr>
        <w:pStyle w:val="BodyText"/>
        <w:spacing w:line="249" w:lineRule="auto"/>
        <w:ind w:right="20"/>
      </w:pPr>
      <w:r>
        <w:rPr>
          <w:b/>
          <w:color w:val="0B0B0B"/>
        </w:rPr>
        <w:t>Harris, Jesse</w:t>
      </w:r>
      <w:r>
        <w:rPr>
          <w:color w:val="0B0B0B"/>
        </w:rPr>
        <w:t>, (R), Professor, School of Social Work. PhD, University of Maryland, 1976; MSW, University of Maryland, 1971; MS, Howard University, 1960.</w:t>
      </w:r>
    </w:p>
    <w:p>
      <w:pPr>
        <w:pStyle w:val="BodyText"/>
        <w:spacing w:line="249" w:lineRule="auto" w:before="180"/>
        <w:ind w:right="248"/>
      </w:pPr>
      <w:r>
        <w:rPr>
          <w:b/>
          <w:color w:val="0B0B0B"/>
        </w:rPr>
        <w:t>Harris, Sharea, </w:t>
      </w:r>
      <w:r>
        <w:rPr>
          <w:color w:val="0B0B0B"/>
        </w:rPr>
        <w:t>(A), Adjunct Faculty, Graduate School. BA, Oakwood University, 2011; MFA, University of</w:t>
      </w:r>
    </w:p>
    <w:p>
      <w:pPr>
        <w:pStyle w:val="BodyText"/>
        <w:spacing w:before="96"/>
      </w:pPr>
      <w:r>
        <w:rPr/>
        <w:br w:type="column"/>
      </w:r>
      <w:r>
        <w:rPr>
          <w:color w:val="0B0B0B"/>
        </w:rPr>
        <w:t>Baltimore, 2016.</w:t>
      </w:r>
    </w:p>
    <w:p>
      <w:pPr>
        <w:pStyle w:val="BodyText"/>
        <w:spacing w:line="249" w:lineRule="auto" w:before="187"/>
        <w:ind w:right="759"/>
      </w:pPr>
      <w:r>
        <w:rPr>
          <w:b/>
          <w:color w:val="0B0B0B"/>
        </w:rPr>
        <w:t>Harrison, George</w:t>
      </w:r>
      <w:r>
        <w:rPr>
          <w:color w:val="0B0B0B"/>
        </w:rPr>
        <w:t>, (R), Associate Professor, Radiation Oncology, School of Medicine. PhD, University of Maryland, 1972; MS, University of Maryland, 1969; BA, Tufts University, 1965.</w:t>
      </w:r>
    </w:p>
    <w:p>
      <w:pPr>
        <w:pStyle w:val="BodyText"/>
        <w:spacing w:line="249" w:lineRule="auto" w:before="186"/>
        <w:ind w:right="765"/>
      </w:pPr>
      <w:r>
        <w:rPr>
          <w:b/>
          <w:color w:val="0B0B0B"/>
        </w:rPr>
        <w:t>Harrison, Shannon Takala</w:t>
      </w:r>
      <w:r>
        <w:rPr>
          <w:color w:val="0B0B0B"/>
        </w:rPr>
        <w:t>, (R), Associate Professor, Epidemiology and Public Health, School of Medicine. PhD, University of Maryland, 2006; BS, Brigham Young University, 1999.</w:t>
      </w:r>
    </w:p>
    <w:p>
      <w:pPr>
        <w:pStyle w:val="BodyText"/>
        <w:spacing w:line="249" w:lineRule="auto" w:before="180"/>
        <w:ind w:right="788"/>
      </w:pPr>
      <w:r>
        <w:rPr>
          <w:b/>
          <w:color w:val="0B0B0B"/>
        </w:rPr>
        <w:t>Hasday, Jeffrey</w:t>
      </w:r>
      <w:r>
        <w:rPr>
          <w:color w:val="0B0B0B"/>
        </w:rPr>
        <w:t>, (R), Associate Professor, Medicine, School of Medicine. MD, University of Rochester, 1979; BA, University of Rochester, 1975.</w:t>
      </w:r>
    </w:p>
    <w:p>
      <w:pPr>
        <w:pStyle w:val="BodyText"/>
        <w:spacing w:line="249" w:lineRule="auto"/>
        <w:ind w:right="1144"/>
      </w:pPr>
      <w:r>
        <w:rPr>
          <w:b/>
          <w:color w:val="0B0B0B"/>
        </w:rPr>
        <w:t>Hassan, Hazem</w:t>
      </w:r>
      <w:r>
        <w:rPr>
          <w:color w:val="0B0B0B"/>
        </w:rPr>
        <w:t>, (A), Research Assistant Professor, Pharmaceutical Sciences, School of Pharmacy. PhD, University of Maryland, 2007; BPharm, Helwan University, 1999.</w:t>
      </w:r>
    </w:p>
    <w:p>
      <w:pPr>
        <w:pStyle w:val="BodyText"/>
        <w:spacing w:line="249" w:lineRule="auto" w:before="180"/>
        <w:ind w:right="776"/>
      </w:pPr>
      <w:r>
        <w:rPr>
          <w:b/>
          <w:color w:val="0B0B0B"/>
        </w:rPr>
        <w:t>Hassel, Bret</w:t>
      </w:r>
      <w:r>
        <w:rPr>
          <w:color w:val="0B0B0B"/>
        </w:rPr>
        <w:t>, (R), Assistant Professor, Microbiology and Immunology, School of Medicine. PhD, Johns Hopkins University, 1989; BS, University of Miami, 1981.</w:t>
      </w:r>
    </w:p>
    <w:p>
      <w:pPr>
        <w:pStyle w:val="BodyText"/>
        <w:spacing w:line="249" w:lineRule="auto"/>
        <w:ind w:right="804"/>
      </w:pPr>
      <w:r>
        <w:rPr>
          <w:b/>
          <w:color w:val="0B0B0B"/>
        </w:rPr>
        <w:t>Haut, Catherine</w:t>
      </w:r>
      <w:r>
        <w:rPr>
          <w:color w:val="0B0B0B"/>
        </w:rPr>
        <w:t>, (A), Assistant Professor, Family and Community Health, School of Nursing. DNP, University of Maryland, 2010; MS, University of Maryland, 1993; BS, College of Notre Dame, 1982.</w:t>
      </w:r>
    </w:p>
    <w:p>
      <w:pPr>
        <w:pStyle w:val="BodyText"/>
        <w:spacing w:line="249" w:lineRule="auto" w:before="181"/>
        <w:ind w:left="199" w:right="712"/>
      </w:pPr>
      <w:r>
        <w:rPr>
          <w:b/>
          <w:color w:val="0B0B0B"/>
        </w:rPr>
        <w:t>Hawley, Charles</w:t>
      </w:r>
      <w:r>
        <w:rPr>
          <w:color w:val="0B0B0B"/>
        </w:rPr>
        <w:t>, (R), Professor, Periodontics, School of Dentistry. PhD, University of Maryland, 1976; MS, University of Illinois, 1970; DDS, University of Pennsylvania, 1962.</w:t>
      </w:r>
    </w:p>
    <w:p>
      <w:pPr>
        <w:pStyle w:val="BodyText"/>
        <w:spacing w:line="249" w:lineRule="auto"/>
        <w:ind w:left="199" w:right="888"/>
      </w:pPr>
      <w:r>
        <w:rPr>
          <w:b/>
          <w:color w:val="0B0B0B"/>
        </w:rPr>
        <w:t>Hendrix, Cherilyn, </w:t>
      </w:r>
      <w:r>
        <w:rPr>
          <w:color w:val="0B0B0B"/>
        </w:rPr>
        <w:t>(A), Associate Professor, Graduate School. BS, University of the State of New York, 1986; MS, Johns Hopkins University, 1998; DHEd, AT Still University, 2011.</w:t>
      </w:r>
    </w:p>
    <w:p>
      <w:pPr>
        <w:pStyle w:val="BodyText"/>
        <w:spacing w:line="249" w:lineRule="auto" w:before="180"/>
        <w:ind w:left="199" w:right="644"/>
      </w:pPr>
      <w:r>
        <w:rPr>
          <w:b/>
          <w:color w:val="0B0B0B"/>
        </w:rPr>
        <w:t>Henneberger, Angela</w:t>
      </w:r>
      <w:r>
        <w:rPr>
          <w:color w:val="0B0B0B"/>
        </w:rPr>
        <w:t>, (A), Assistant Professor, School of Social Work. PhD, University of Virginia, 2012; BS, University of Maryland, 2006.</w:t>
      </w:r>
    </w:p>
    <w:p>
      <w:pPr>
        <w:pStyle w:val="BodyText"/>
        <w:spacing w:line="249" w:lineRule="auto"/>
        <w:ind w:left="199" w:right="694"/>
      </w:pPr>
      <w:r>
        <w:rPr>
          <w:b/>
          <w:color w:val="0B0B0B"/>
        </w:rPr>
        <w:t>Henriksen, Joan, </w:t>
      </w:r>
      <w:r>
        <w:rPr>
          <w:color w:val="0B0B0B"/>
        </w:rPr>
        <w:t>(A), Adjunct Faculty, Graduate School. BA, Luther College, 1994; PhD, University of Iowa,</w:t>
      </w:r>
    </w:p>
    <w:p>
      <w:pPr>
        <w:pStyle w:val="BodyText"/>
        <w:spacing w:line="249" w:lineRule="auto" w:before="179"/>
        <w:ind w:left="199" w:right="1088"/>
        <w:jc w:val="both"/>
      </w:pPr>
      <w:r>
        <w:rPr>
          <w:b/>
          <w:color w:val="0B0B0B"/>
        </w:rPr>
        <w:t>Hernandez-Ochoa, Erick</w:t>
      </w:r>
      <w:r>
        <w:rPr>
          <w:color w:val="0B0B0B"/>
        </w:rPr>
        <w:t>, (A), Assistant Professor, Biochemistry and Molecular Biology. PhD, National Autonomous University of Mexico, 2007; MD, 2000.</w:t>
      </w:r>
    </w:p>
    <w:p>
      <w:pPr>
        <w:pStyle w:val="BodyText"/>
        <w:spacing w:line="249" w:lineRule="auto"/>
        <w:ind w:left="199" w:right="699"/>
      </w:pPr>
      <w:r>
        <w:rPr>
          <w:b/>
          <w:color w:val="0B0B0B"/>
        </w:rPr>
        <w:t>Hertzano, Ronna</w:t>
      </w:r>
      <w:r>
        <w:rPr>
          <w:color w:val="0B0B0B"/>
        </w:rPr>
        <w:t>, (R), Associate Professor, Otolaryngology- Head and Neck Surgery, School of Medicine. PhD, Tel Aviv University, 2005; MD, Tel Aviv University, 2006; BSc, Tel Aviv University, 1998.</w:t>
      </w:r>
    </w:p>
    <w:p>
      <w:pPr>
        <w:spacing w:after="0" w:line="249" w:lineRule="auto"/>
        <w:sectPr>
          <w:headerReference w:type="even" r:id="rId130"/>
          <w:headerReference w:type="default" r:id="rId131"/>
          <w:pgSz w:w="12240" w:h="15840"/>
          <w:pgMar w:header="746" w:footer="0" w:top="1320" w:bottom="280" w:left="880" w:right="300"/>
          <w:pgNumType w:start="222"/>
          <w:cols w:num="2" w:equalWidth="0">
            <w:col w:w="4995" w:space="491"/>
            <w:col w:w="5574"/>
          </w:cols>
        </w:sectPr>
      </w:pPr>
    </w:p>
    <w:p>
      <w:pPr>
        <w:pStyle w:val="BodyText"/>
        <w:spacing w:line="249" w:lineRule="auto" w:before="100"/>
        <w:ind w:right="115"/>
      </w:pPr>
      <w:r>
        <w:rPr>
          <w:b/>
          <w:color w:val="0B0B0B"/>
        </w:rPr>
        <w:t>Hess, John</w:t>
      </w:r>
      <w:r>
        <w:rPr>
          <w:color w:val="0B0B0B"/>
        </w:rPr>
        <w:t>, (A), Associate Professor, Pathology, School of Medicine. MPH, University of Hawaii, 1979; MD, University of Washington, 1972; BA, Washington State University, 1967.</w:t>
      </w:r>
    </w:p>
    <w:p>
      <w:pPr>
        <w:pStyle w:val="BodyText"/>
        <w:spacing w:line="249" w:lineRule="auto" w:before="180"/>
      </w:pPr>
      <w:r>
        <w:rPr>
          <w:b/>
          <w:color w:val="0B0B0B"/>
        </w:rPr>
        <w:t>Hickman, Linda Jackson</w:t>
      </w:r>
      <w:r>
        <w:rPr>
          <w:color w:val="0B0B0B"/>
        </w:rPr>
        <w:t>, (A), Assistant Professor, Organizational Systems and Adult Health, School of Nursing. PhD, University of Maryland, Baltimore, 1997; MBA, Marymount University, 1988; BS, Wesley College, 1987.</w:t>
      </w:r>
    </w:p>
    <w:p>
      <w:pPr>
        <w:pStyle w:val="BodyText"/>
        <w:spacing w:line="249" w:lineRule="auto" w:before="186"/>
        <w:ind w:right="56"/>
      </w:pPr>
      <w:r>
        <w:rPr>
          <w:b/>
          <w:color w:val="0B0B0B"/>
        </w:rPr>
        <w:t>Higgs, Amanda</w:t>
      </w:r>
      <w:r>
        <w:rPr>
          <w:color w:val="0B0B0B"/>
        </w:rPr>
        <w:t>, (A), Instructor, Epidemiology and Human Genetics, School of Medicine. MGC, University of Maryland, 2000; BS, University of Richmond, 1996.</w:t>
      </w:r>
    </w:p>
    <w:p>
      <w:pPr>
        <w:pStyle w:val="BodyText"/>
        <w:spacing w:line="249" w:lineRule="auto" w:before="180"/>
        <w:ind w:right="98"/>
      </w:pPr>
      <w:r>
        <w:rPr>
          <w:b/>
          <w:color w:val="0B0B0B"/>
        </w:rPr>
        <w:t>Hill, Russell, </w:t>
      </w:r>
      <w:r>
        <w:rPr>
          <w:color w:val="0B0B0B"/>
        </w:rPr>
        <w:t>(R), Associate Professor, Marine Estuarine Environmental Science Program. PhD, University of Cape Town, 1988; BSc, University of Natal, 1979; BSc, University of Natal, 1978.</w:t>
      </w:r>
    </w:p>
    <w:p>
      <w:pPr>
        <w:pStyle w:val="BodyText"/>
        <w:spacing w:line="249" w:lineRule="auto"/>
        <w:ind w:right="153"/>
      </w:pPr>
      <w:r>
        <w:rPr>
          <w:b/>
          <w:color w:val="0B0B0B"/>
        </w:rPr>
        <w:t>Himmelwright-Lamm, Naomi</w:t>
      </w:r>
      <w:r>
        <w:rPr>
          <w:color w:val="0B0B0B"/>
        </w:rPr>
        <w:t>, (A), Assistant Professor, Universities at Shady Grove, School of Nursing. EdD, West Virginia University, 2011; MS, University of Maryland, 1981; BSN, University of Maryland, 1976.</w:t>
      </w:r>
    </w:p>
    <w:p>
      <w:pPr>
        <w:pStyle w:val="BodyText"/>
        <w:spacing w:line="249" w:lineRule="auto" w:before="181"/>
        <w:ind w:right="20"/>
      </w:pPr>
      <w:r>
        <w:rPr>
          <w:b/>
          <w:color w:val="0B0B0B"/>
        </w:rPr>
        <w:t>Hirshon, Jon Mark</w:t>
      </w:r>
      <w:r>
        <w:rPr>
          <w:color w:val="0B0B0B"/>
        </w:rPr>
        <w:t>, ( R), Professor, Epidemiology and Public Health, School of Medicine. MPH, Johns Hopkins Bloomberg School of Public Health, 1994; MD, University of Southern California, 1990; BA, University of California, 1984.</w:t>
      </w:r>
    </w:p>
    <w:p>
      <w:pPr>
        <w:pStyle w:val="BodyText"/>
        <w:spacing w:line="249" w:lineRule="auto" w:before="186"/>
        <w:ind w:right="86"/>
      </w:pPr>
      <w:r>
        <w:rPr>
          <w:b/>
          <w:color w:val="0B0B0B"/>
        </w:rPr>
        <w:t>Hoag, Stephen</w:t>
      </w:r>
      <w:r>
        <w:rPr>
          <w:color w:val="0B0B0B"/>
        </w:rPr>
        <w:t>, (R), Professor, Pharmaceutical Sciences, School of Pharmacy. PhD, University of Minnesota, 1990; BS, University of Wisconsin, 1982.</w:t>
      </w:r>
    </w:p>
    <w:p>
      <w:pPr>
        <w:pStyle w:val="BodyText"/>
        <w:spacing w:line="249" w:lineRule="auto" w:before="180"/>
      </w:pPr>
      <w:r>
        <w:rPr>
          <w:b/>
          <w:color w:val="0B0B0B"/>
        </w:rPr>
        <w:t>Hochberg, Marc C.</w:t>
      </w:r>
      <w:r>
        <w:rPr>
          <w:color w:val="0B0B0B"/>
        </w:rPr>
        <w:t>, (R), Professor, Medicine, School of Medicine. MPH, Johns Hopkins University, 1979; MD, Johns Hopkins University, 1973; AB, Franklin and Marshall, 1969.</w:t>
      </w:r>
    </w:p>
    <w:p>
      <w:pPr>
        <w:pStyle w:val="BodyText"/>
        <w:spacing w:line="249" w:lineRule="auto"/>
      </w:pPr>
      <w:r>
        <w:rPr>
          <w:b/>
          <w:color w:val="0B0B0B"/>
        </w:rPr>
        <w:t>Holcomb, Henry</w:t>
      </w:r>
      <w:r>
        <w:rPr>
          <w:color w:val="0B0B0B"/>
        </w:rPr>
        <w:t>, (A), Assistant Professor, Psychiatry, School of Medicine. MD, University of Texas, 1977; BA, Rice University, 1972.</w:t>
      </w:r>
    </w:p>
    <w:p>
      <w:pPr>
        <w:pStyle w:val="BodyText"/>
        <w:spacing w:line="249" w:lineRule="auto" w:before="180"/>
        <w:ind w:right="527" w:hanging="1"/>
        <w:jc w:val="both"/>
      </w:pPr>
      <w:r>
        <w:rPr>
          <w:b/>
          <w:color w:val="0B0B0B"/>
        </w:rPr>
        <w:t>Hong, L. Elliot</w:t>
      </w:r>
      <w:r>
        <w:rPr>
          <w:color w:val="0B0B0B"/>
        </w:rPr>
        <w:t>, (R), Assistant Professor, Psychiatry, School of Medicine. MD, Sun Yat-Sen University of Medical Science, 1986.</w:t>
      </w:r>
    </w:p>
    <w:p>
      <w:pPr>
        <w:pStyle w:val="BodyText"/>
        <w:spacing w:line="249" w:lineRule="auto"/>
        <w:ind w:right="303"/>
      </w:pPr>
      <w:r>
        <w:rPr>
          <w:b/>
          <w:color w:val="0B0B0B"/>
        </w:rPr>
        <w:t>Hopkins, Karen</w:t>
      </w:r>
      <w:r>
        <w:rPr>
          <w:color w:val="0B0B0B"/>
        </w:rPr>
        <w:t>, (R), Associate Professor, School of Social Work. PhD, University of Chicago, 1993; MSW, University of Pittsburgh, 1979; BS, Pennsylvania State University, 1976.</w:t>
      </w:r>
    </w:p>
    <w:p>
      <w:pPr>
        <w:pStyle w:val="BodyText"/>
        <w:spacing w:line="249" w:lineRule="auto" w:before="180"/>
        <w:ind w:right="1108"/>
      </w:pPr>
      <w:r>
        <w:rPr>
          <w:b/>
          <w:color w:val="0B0B0B"/>
        </w:rPr>
        <w:t>Hornyak, Thomas</w:t>
      </w:r>
      <w:r>
        <w:rPr>
          <w:color w:val="0B0B0B"/>
        </w:rPr>
        <w:t>, (A), Associate Professor, Dermatology, School of Medicine.</w:t>
      </w:r>
    </w:p>
    <w:p>
      <w:pPr>
        <w:pStyle w:val="BodyText"/>
        <w:spacing w:line="249" w:lineRule="auto" w:before="96"/>
        <w:ind w:right="608"/>
      </w:pPr>
      <w:r>
        <w:rPr/>
        <w:br w:type="column"/>
      </w:r>
      <w:r>
        <w:rPr>
          <w:b/>
          <w:color w:val="0B0B0B"/>
        </w:rPr>
        <w:t>Hotopp, Julie</w:t>
      </w:r>
      <w:r>
        <w:rPr>
          <w:color w:val="0B0B0B"/>
        </w:rPr>
        <w:t>, (R), Associate Professor, Microbiology and Immunology, School of Medicine. PhD, Michigan State University, 2002; BS, University of Rochester, 1997.</w:t>
      </w:r>
    </w:p>
    <w:p>
      <w:pPr>
        <w:pStyle w:val="BodyText"/>
        <w:spacing w:line="249" w:lineRule="auto" w:before="180"/>
        <w:ind w:right="628"/>
      </w:pPr>
      <w:r>
        <w:rPr>
          <w:b/>
          <w:color w:val="0B0B0B"/>
        </w:rPr>
        <w:t>Hsia, Ru-ching</w:t>
      </w:r>
      <w:r>
        <w:rPr>
          <w:color w:val="0B0B0B"/>
        </w:rPr>
        <w:t>, (A), Research Assistant Professor, Oral and Craniofacial Biological Sciences, School of Dentistry. PhD, Stanford University, 1992; BA, National Taiwan University, 1981.</w:t>
      </w:r>
    </w:p>
    <w:p>
      <w:pPr>
        <w:pStyle w:val="BodyText"/>
        <w:spacing w:line="249" w:lineRule="auto"/>
        <w:ind w:right="598"/>
      </w:pPr>
      <w:r>
        <w:rPr>
          <w:b/>
          <w:color w:val="0B0B0B"/>
        </w:rPr>
        <w:t>Hsu, Ih-Chang</w:t>
      </w:r>
      <w:r>
        <w:rPr>
          <w:color w:val="0B0B0B"/>
        </w:rPr>
        <w:t>, (R), Professor, Pathology, School of Medicine. PhD, University of Wisconsin, 1972; MS, National Taiwan University, 1967; BS, Kaohsiung Medical College, 1964.</w:t>
      </w:r>
    </w:p>
    <w:p>
      <w:pPr>
        <w:pStyle w:val="BodyText"/>
        <w:spacing w:line="249" w:lineRule="auto" w:before="181"/>
        <w:ind w:right="625"/>
      </w:pPr>
      <w:r>
        <w:rPr>
          <w:b/>
          <w:color w:val="0B0B0B"/>
        </w:rPr>
        <w:t>Huestis, Marilyn</w:t>
      </w:r>
      <w:r>
        <w:rPr>
          <w:color w:val="0B0B0B"/>
        </w:rPr>
        <w:t>, (S), Adjunct Professor, Epidemiology and Public Health, School of Medicine. PhD, University of Maryland, Baltimore, 1992; MS, University of New Mexico, 1979; AB, Mount Holyoke College, 1970.</w:t>
      </w:r>
    </w:p>
    <w:p>
      <w:pPr>
        <w:pStyle w:val="BodyText"/>
        <w:spacing w:line="249" w:lineRule="auto"/>
        <w:ind w:right="953"/>
      </w:pPr>
      <w:r>
        <w:rPr>
          <w:b/>
          <w:color w:val="0B0B0B"/>
        </w:rPr>
        <w:t>Hungerford, Laura</w:t>
      </w:r>
      <w:r>
        <w:rPr>
          <w:color w:val="0B0B0B"/>
        </w:rPr>
        <w:t>, (R), Adjunct Professor, Epidemiology and Public Health, School of Medicine. PhD, Universityof Illinois, 1989; MPH, University of Illinois, 1987; DVM, Michigan State University, 1980.</w:t>
      </w:r>
    </w:p>
    <w:p>
      <w:pPr>
        <w:pStyle w:val="BodyText"/>
        <w:spacing w:line="249" w:lineRule="auto" w:before="180"/>
        <w:ind w:right="625"/>
      </w:pPr>
      <w:r>
        <w:rPr>
          <w:b/>
          <w:color w:val="0B0B0B"/>
        </w:rPr>
        <w:t>Hurley, Kristen</w:t>
      </w:r>
      <w:r>
        <w:rPr>
          <w:color w:val="0B0B0B"/>
        </w:rPr>
        <w:t>, (A), Assistant Professor, Epidemiology and Public Health, School of Medicine. PhD, Johns Hopkins University, 2007; MPH, Boston University, 1997; BS, California Polytechnic State University, 1993.</w:t>
      </w:r>
    </w:p>
    <w:p>
      <w:pPr>
        <w:pStyle w:val="BodyText"/>
        <w:spacing w:line="249" w:lineRule="auto" w:before="186"/>
        <w:ind w:right="942"/>
      </w:pPr>
      <w:r>
        <w:rPr>
          <w:b/>
          <w:color w:val="0B0B0B"/>
        </w:rPr>
        <w:t>Hussain, Arif</w:t>
      </w:r>
      <w:r>
        <w:rPr>
          <w:color w:val="0B0B0B"/>
        </w:rPr>
        <w:t>, (A), Associate, Medicine, School of Medicine. MD, Howard University, 1980; BS, Howard University, 1976.</w:t>
      </w:r>
    </w:p>
    <w:p>
      <w:pPr>
        <w:pStyle w:val="BodyText"/>
        <w:spacing w:line="249" w:lineRule="auto" w:before="180"/>
        <w:ind w:right="703"/>
      </w:pPr>
      <w:r>
        <w:rPr>
          <w:b/>
          <w:color w:val="0B0B0B"/>
        </w:rPr>
        <w:t>Idzik, Shannon, </w:t>
      </w:r>
      <w:r>
        <w:rPr>
          <w:color w:val="0B0B0B"/>
        </w:rPr>
        <w:t>(A), Associate Professor, Organizational Systems and Adult Health, School of Nursing. DNP, University of Maryland, 2010; MS, University of Maryland, 2003; BS, York College, 1996.</w:t>
      </w:r>
    </w:p>
    <w:p>
      <w:pPr>
        <w:pStyle w:val="BodyText"/>
        <w:spacing w:line="249" w:lineRule="auto"/>
        <w:ind w:right="621"/>
      </w:pPr>
      <w:r>
        <w:rPr>
          <w:b/>
          <w:color w:val="0B0B0B"/>
        </w:rPr>
        <w:t>Ivaturi, Vijay</w:t>
      </w:r>
      <w:r>
        <w:rPr>
          <w:color w:val="0B0B0B"/>
        </w:rPr>
        <w:t>, (A), Research Assistant Professor, Pharmacy Practice and Science, School of Pharmacy. PhD, University of Minnesota, 2010; MS, St. John’s University, 2006; BS, Manipal University, 2004.</w:t>
      </w:r>
    </w:p>
    <w:p>
      <w:pPr>
        <w:pStyle w:val="BodyText"/>
        <w:spacing w:line="249" w:lineRule="auto" w:before="180"/>
        <w:ind w:right="609"/>
      </w:pPr>
      <w:r>
        <w:rPr>
          <w:b/>
          <w:color w:val="0B0B0B"/>
        </w:rPr>
        <w:t>Ivey, Frederick</w:t>
      </w:r>
      <w:r>
        <w:rPr>
          <w:color w:val="0B0B0B"/>
        </w:rPr>
        <w:t>, (R), Associate Professor, Neurology, School of Medicine. PhD, University of Maryland, College Park, 1998; MS, Illinois State University, 1994; BA, Whittier College, 1986.</w:t>
      </w:r>
    </w:p>
    <w:p>
      <w:pPr>
        <w:pStyle w:val="BodyText"/>
        <w:spacing w:line="249" w:lineRule="auto" w:before="186"/>
        <w:ind w:right="627"/>
      </w:pPr>
      <w:r>
        <w:rPr>
          <w:b/>
          <w:color w:val="0B0B0B"/>
        </w:rPr>
        <w:t>Jackson-Parkin, Maranda</w:t>
      </w:r>
      <w:r>
        <w:rPr>
          <w:color w:val="0B0B0B"/>
        </w:rPr>
        <w:t>, (A), Assistant Professor, Organizational </w:t>
      </w:r>
      <w:r>
        <w:rPr>
          <w:color w:val="0B0B0B"/>
          <w:spacing w:val="-3"/>
        </w:rPr>
        <w:t>Systems </w:t>
      </w:r>
      <w:r>
        <w:rPr>
          <w:color w:val="0B0B0B"/>
        </w:rPr>
        <w:t>and Adult Health; PhD, University of Maryland, Baltimore, 2013; </w:t>
      </w:r>
      <w:r>
        <w:rPr>
          <w:color w:val="0B0B0B"/>
          <w:spacing w:val="-3"/>
        </w:rPr>
        <w:t>MS, </w:t>
      </w:r>
      <w:r>
        <w:rPr>
          <w:color w:val="0B0B0B"/>
        </w:rPr>
        <w:t>University of Maryland, Baltimore, 2006; </w:t>
      </w:r>
      <w:r>
        <w:rPr>
          <w:color w:val="0B0B0B"/>
          <w:spacing w:val="-3"/>
        </w:rPr>
        <w:t>BSN, </w:t>
      </w:r>
      <w:r>
        <w:rPr>
          <w:color w:val="0B0B0B"/>
        </w:rPr>
        <w:t>Samaritan College, 1991.</w:t>
      </w:r>
    </w:p>
    <w:p>
      <w:pPr>
        <w:spacing w:before="181"/>
        <w:ind w:left="200" w:right="0" w:firstLine="0"/>
        <w:jc w:val="left"/>
        <w:rPr>
          <w:sz w:val="20"/>
        </w:rPr>
      </w:pPr>
      <w:r>
        <w:rPr>
          <w:b/>
          <w:color w:val="0B0B0B"/>
          <w:sz w:val="20"/>
        </w:rPr>
        <w:t>Jafri, Musab Samir, </w:t>
      </w:r>
      <w:r>
        <w:rPr>
          <w:color w:val="0B0B0B"/>
          <w:sz w:val="20"/>
        </w:rPr>
        <w:t>(R), Assistant Professor, Neurology,</w:t>
      </w:r>
    </w:p>
    <w:p>
      <w:pPr>
        <w:spacing w:after="0"/>
        <w:jc w:val="left"/>
        <w:rPr>
          <w:sz w:val="20"/>
        </w:rPr>
        <w:sectPr>
          <w:pgSz w:w="12240" w:h="15840"/>
          <w:pgMar w:header="746" w:footer="0" w:top="1320" w:bottom="280" w:left="880" w:right="300"/>
          <w:cols w:num="2" w:equalWidth="0">
            <w:col w:w="4995" w:space="492"/>
            <w:col w:w="5573"/>
          </w:cols>
        </w:sectPr>
      </w:pPr>
    </w:p>
    <w:p>
      <w:pPr>
        <w:pStyle w:val="BodyText"/>
        <w:spacing w:line="249" w:lineRule="auto" w:before="100"/>
        <w:ind w:right="149"/>
      </w:pPr>
      <w:r>
        <w:rPr>
          <w:color w:val="0B0B0B"/>
        </w:rPr>
        <w:t>School of Medicine. PhD, University of Maryland, 1997; BS, Duke University, 1985.</w:t>
      </w:r>
    </w:p>
    <w:p>
      <w:pPr>
        <w:pStyle w:val="BodyText"/>
        <w:spacing w:line="249" w:lineRule="auto" w:before="179"/>
        <w:ind w:right="38"/>
      </w:pPr>
      <w:r>
        <w:rPr>
          <w:b/>
          <w:color w:val="0B0B0B"/>
        </w:rPr>
        <w:t>Jaiswal, Anil Kumar</w:t>
      </w:r>
      <w:r>
        <w:rPr>
          <w:color w:val="0B0B0B"/>
        </w:rPr>
        <w:t>, (R), Professor, Molecular Medicine, School of Medicine. PhD, Lucknow University, 1980, MS, Lucknow University, 1974, BS, Lucknow University, 1972.</w:t>
      </w:r>
    </w:p>
    <w:p>
      <w:pPr>
        <w:pStyle w:val="BodyText"/>
        <w:spacing w:line="249" w:lineRule="auto"/>
        <w:ind w:right="66"/>
      </w:pPr>
      <w:r>
        <w:rPr>
          <w:b/>
          <w:color w:val="0B0B0B"/>
        </w:rPr>
        <w:t>Jani, Jayshree</w:t>
      </w:r>
      <w:r>
        <w:rPr>
          <w:color w:val="0B0B0B"/>
        </w:rPr>
        <w:t>, (A), Assistant Professor, School of Social Work. PhD, University of Maryland, 2008; MSW, University of Illinois at Chicago, 1999; BA, Saint Mary’s College Indiana, 1997.</w:t>
      </w:r>
    </w:p>
    <w:p>
      <w:pPr>
        <w:pStyle w:val="BodyText"/>
        <w:spacing w:line="249" w:lineRule="auto" w:before="181"/>
      </w:pPr>
      <w:r>
        <w:rPr>
          <w:b/>
          <w:color w:val="0B0B0B"/>
        </w:rPr>
        <w:t>Jenkins, Louise</w:t>
      </w:r>
      <w:r>
        <w:rPr>
          <w:color w:val="0B0B0B"/>
        </w:rPr>
        <w:t>, (R), Professor, Adult Health, School of Nursing. PhD, University of Maryland, 1985; MS, University of Maryland, 1982; BS, Northern Illinois University, 1979.</w:t>
      </w:r>
    </w:p>
    <w:p>
      <w:pPr>
        <w:pStyle w:val="BodyText"/>
        <w:spacing w:line="249" w:lineRule="auto"/>
        <w:ind w:right="55"/>
      </w:pPr>
      <w:r>
        <w:rPr>
          <w:b/>
          <w:color w:val="0B0B0B"/>
        </w:rPr>
        <w:t>Jenkins, T. Scott</w:t>
      </w:r>
      <w:r>
        <w:rPr>
          <w:color w:val="0B0B0B"/>
        </w:rPr>
        <w:t>, (A), Research Assistant Professor, Orthodontics, School of Dentistry. PhD, University of Maryland, 2001; DDS, University of Maryland, 1992; BS, Northwestern University, 1988.</w:t>
      </w:r>
    </w:p>
    <w:p>
      <w:pPr>
        <w:pStyle w:val="BodyText"/>
        <w:spacing w:line="249" w:lineRule="auto" w:before="181"/>
        <w:ind w:right="254"/>
      </w:pPr>
      <w:r>
        <w:rPr>
          <w:b/>
          <w:color w:val="0B0B0B"/>
        </w:rPr>
        <w:t>Jia, Xiaofeng</w:t>
      </w:r>
      <w:r>
        <w:rPr>
          <w:color w:val="0B0B0B"/>
        </w:rPr>
        <w:t>, (R), Associate Professor, Neurosurgery, School of Medicine. PhD, Fudan University, 2003; MS, Shanghai Medical University, 1997; MD, Zhejiang Medical University, 1993.</w:t>
      </w:r>
    </w:p>
    <w:p>
      <w:pPr>
        <w:pStyle w:val="BodyText"/>
        <w:spacing w:line="249" w:lineRule="auto"/>
        <w:ind w:right="22"/>
      </w:pPr>
      <w:r>
        <w:rPr>
          <w:b/>
          <w:color w:val="0B0B0B"/>
        </w:rPr>
        <w:t>Johantgen, Meg</w:t>
      </w:r>
      <w:r>
        <w:rPr>
          <w:color w:val="0B0B0B"/>
        </w:rPr>
        <w:t>, (R), Associate Professor, Organizational Systems and Adult Health, School of Nursing. PhD, Virginia Commonwealth University, 1994; MS, State University of New York; 1985, BS, Niagara University, 1974.</w:t>
      </w:r>
    </w:p>
    <w:p>
      <w:pPr>
        <w:pStyle w:val="BodyText"/>
        <w:spacing w:line="249" w:lineRule="auto" w:before="181"/>
        <w:ind w:right="510"/>
      </w:pPr>
      <w:r>
        <w:rPr>
          <w:b/>
          <w:color w:val="0B0B0B"/>
        </w:rPr>
        <w:t>Johnson, Jennifer Kristie</w:t>
      </w:r>
      <w:r>
        <w:rPr>
          <w:color w:val="0B0B0B"/>
        </w:rPr>
        <w:t>, (R), Assistant Professor, Pathology, School of Medicine. PhD, University of Maryland, Baltimore, 2002; BS, Salisbury State University, 1996.</w:t>
      </w:r>
    </w:p>
    <w:p>
      <w:pPr>
        <w:pStyle w:val="BodyText"/>
        <w:spacing w:line="249" w:lineRule="auto"/>
        <w:ind w:right="149"/>
      </w:pPr>
      <w:r>
        <w:rPr>
          <w:b/>
          <w:color w:val="0B0B0B"/>
        </w:rPr>
        <w:t>Johnson, Judith</w:t>
      </w:r>
      <w:r>
        <w:rPr>
          <w:color w:val="0B0B0B"/>
        </w:rPr>
        <w:t>, (R), Associate Professor, Pathology, School of Medicine. PhD, University of Maryland, 1990; BS, University of Maryland, 1977.</w:t>
      </w:r>
    </w:p>
    <w:p>
      <w:pPr>
        <w:pStyle w:val="BodyText"/>
        <w:spacing w:line="249" w:lineRule="auto" w:before="180"/>
        <w:ind w:right="132"/>
      </w:pPr>
      <w:r>
        <w:rPr>
          <w:b/>
          <w:color w:val="0B0B0B"/>
        </w:rPr>
        <w:t>Johnson, Kenneth</w:t>
      </w:r>
      <w:r>
        <w:rPr>
          <w:color w:val="0B0B0B"/>
        </w:rPr>
        <w:t>, (R), Professor, Neurology, School of Medicine. MD, Jefferson College, 1959; BA, Upsala College, 1955.</w:t>
      </w:r>
    </w:p>
    <w:p>
      <w:pPr>
        <w:spacing w:line="249" w:lineRule="auto" w:before="185"/>
        <w:ind w:left="200" w:right="50" w:firstLine="0"/>
        <w:jc w:val="left"/>
        <w:rPr>
          <w:sz w:val="20"/>
        </w:rPr>
      </w:pPr>
      <w:r>
        <w:rPr>
          <w:b/>
          <w:color w:val="0B0B0B"/>
          <w:sz w:val="20"/>
        </w:rPr>
        <w:t>Jones Carney, Courtney, </w:t>
      </w:r>
      <w:r>
        <w:rPr>
          <w:color w:val="0B0B0B"/>
          <w:sz w:val="20"/>
        </w:rPr>
        <w:t>(A), Adjunct Faculty, Graduate School. BA, Morgan State University, 2002; MBA, 2005.</w:t>
      </w:r>
    </w:p>
    <w:p>
      <w:pPr>
        <w:pStyle w:val="BodyText"/>
        <w:spacing w:line="249" w:lineRule="auto" w:before="179"/>
        <w:ind w:left="199" w:right="151"/>
      </w:pPr>
      <w:r>
        <w:rPr>
          <w:b/>
          <w:color w:val="0B0B0B"/>
        </w:rPr>
        <w:t>Jones, Laundette P.</w:t>
      </w:r>
      <w:r>
        <w:rPr>
          <w:color w:val="0B0B0B"/>
        </w:rPr>
        <w:t>, (A), Assistant Professor, Pharmacology and Experimental Therapeutics, School of Medicine. PhD, Johns Hopkins University, 2000; BS, Morgan State University, 1992.</w:t>
      </w:r>
    </w:p>
    <w:p>
      <w:pPr>
        <w:spacing w:before="185"/>
        <w:ind w:left="199" w:right="0" w:firstLine="0"/>
        <w:jc w:val="left"/>
        <w:rPr>
          <w:sz w:val="20"/>
        </w:rPr>
      </w:pPr>
      <w:r>
        <w:rPr>
          <w:b/>
          <w:color w:val="0B0B0B"/>
          <w:sz w:val="20"/>
        </w:rPr>
        <w:t>Jones-Lush, Lauren M.</w:t>
      </w:r>
      <w:r>
        <w:rPr>
          <w:color w:val="0B0B0B"/>
          <w:sz w:val="20"/>
        </w:rPr>
        <w:t>, (R), Assistant Professor,</w:t>
      </w:r>
    </w:p>
    <w:p>
      <w:pPr>
        <w:pStyle w:val="BodyText"/>
        <w:spacing w:line="249" w:lineRule="auto" w:before="96"/>
        <w:ind w:right="699"/>
      </w:pPr>
      <w:r>
        <w:rPr/>
        <w:br w:type="column"/>
      </w:r>
      <w:r>
        <w:rPr>
          <w:color w:val="0B0B0B"/>
        </w:rPr>
        <w:t>Pharmacology and Experimental Therapeutics, School of Medicine. PhD, University of Maryland, Baltimore, 2005; BA, Wesleyan University, 1998.</w:t>
      </w:r>
    </w:p>
    <w:p>
      <w:pPr>
        <w:pStyle w:val="BodyText"/>
        <w:spacing w:line="249" w:lineRule="auto" w:before="180"/>
        <w:ind w:right="615"/>
      </w:pPr>
      <w:r>
        <w:rPr>
          <w:b/>
          <w:color w:val="0B0B0B"/>
        </w:rPr>
        <w:t>Jones-Parker, Hazel</w:t>
      </w:r>
      <w:r>
        <w:rPr>
          <w:color w:val="0B0B0B"/>
        </w:rPr>
        <w:t>, (A), Assistant Professor, Family and Community Health, </w:t>
      </w:r>
      <w:r>
        <w:rPr>
          <w:color w:val="0B0B0B"/>
          <w:spacing w:val="-2"/>
        </w:rPr>
        <w:t>School </w:t>
      </w:r>
      <w:r>
        <w:rPr>
          <w:color w:val="0B0B0B"/>
          <w:spacing w:val="-3"/>
        </w:rPr>
        <w:t>of </w:t>
      </w:r>
      <w:r>
        <w:rPr>
          <w:color w:val="0B0B0B"/>
        </w:rPr>
        <w:t>Nursing. </w:t>
      </w:r>
      <w:r>
        <w:rPr>
          <w:color w:val="0B0B0B"/>
          <w:spacing w:val="-3"/>
        </w:rPr>
        <w:t>DNP,  </w:t>
      </w:r>
      <w:r>
        <w:rPr>
          <w:color w:val="0B0B0B"/>
        </w:rPr>
        <w:t>University of Maryland </w:t>
      </w:r>
      <w:r>
        <w:rPr>
          <w:color w:val="0B0B0B"/>
          <w:spacing w:val="-2"/>
        </w:rPr>
        <w:t>School </w:t>
      </w:r>
      <w:r>
        <w:rPr>
          <w:color w:val="0B0B0B"/>
          <w:spacing w:val="-3"/>
        </w:rPr>
        <w:t>of </w:t>
      </w:r>
      <w:r>
        <w:rPr>
          <w:color w:val="0B0B0B"/>
        </w:rPr>
        <w:t>Nursing, 2012; MSN, Columbia University </w:t>
      </w:r>
      <w:r>
        <w:rPr>
          <w:color w:val="0B0B0B"/>
          <w:spacing w:val="-2"/>
        </w:rPr>
        <w:t>School </w:t>
      </w:r>
      <w:r>
        <w:rPr>
          <w:color w:val="0B0B0B"/>
        </w:rPr>
        <w:t>of Nursing, 1996; </w:t>
      </w:r>
      <w:r>
        <w:rPr>
          <w:color w:val="0B0B0B"/>
          <w:spacing w:val="-3"/>
        </w:rPr>
        <w:t>BSN, </w:t>
      </w:r>
      <w:r>
        <w:rPr>
          <w:color w:val="0B0B0B"/>
        </w:rPr>
        <w:t>University of Pennsylvania,</w:t>
      </w:r>
      <w:r>
        <w:rPr>
          <w:color w:val="0B0B0B"/>
          <w:spacing w:val="-1"/>
        </w:rPr>
        <w:t> </w:t>
      </w:r>
      <w:r>
        <w:rPr>
          <w:color w:val="0B0B0B"/>
        </w:rPr>
        <w:t>1991.</w:t>
      </w:r>
    </w:p>
    <w:p>
      <w:pPr>
        <w:pStyle w:val="BodyText"/>
        <w:spacing w:line="249" w:lineRule="auto" w:before="186"/>
        <w:ind w:right="992"/>
        <w:jc w:val="both"/>
      </w:pPr>
      <w:r>
        <w:rPr>
          <w:b/>
          <w:color w:val="0B0B0B"/>
        </w:rPr>
        <w:t>Josell, Stuart</w:t>
      </w:r>
      <w:r>
        <w:rPr>
          <w:color w:val="0B0B0B"/>
        </w:rPr>
        <w:t>, (A), Associate Professor, Orthodontics, School of Dentistry. MDS, University of Connecticut, 1980; DMD, Fairleigh Dickinson University, 1974.</w:t>
      </w:r>
    </w:p>
    <w:p>
      <w:pPr>
        <w:pStyle w:val="BodyText"/>
        <w:spacing w:line="249" w:lineRule="auto" w:before="180"/>
        <w:ind w:right="787"/>
      </w:pPr>
      <w:r>
        <w:rPr>
          <w:b/>
          <w:color w:val="0B0B0B"/>
        </w:rPr>
        <w:t>Jufer-Phipps</w:t>
      </w:r>
      <w:r>
        <w:rPr>
          <w:color w:val="0B0B0B"/>
        </w:rPr>
        <w:t>, Rebecca, (A), Chief Toxicologist, Pathology, School of Medicine. PhD, University of Maryland, Baltimore, 1999; BS, University of Maryland, Baltimore County, 1994.</w:t>
      </w:r>
    </w:p>
    <w:p>
      <w:pPr>
        <w:pStyle w:val="BodyText"/>
        <w:spacing w:line="249" w:lineRule="auto"/>
        <w:ind w:right="609"/>
      </w:pPr>
      <w:r>
        <w:rPr>
          <w:b/>
          <w:color w:val="0B0B0B"/>
        </w:rPr>
        <w:t>Jun, Hyun-Jin, </w:t>
      </w:r>
      <w:r>
        <w:rPr>
          <w:color w:val="0B0B0B"/>
        </w:rPr>
        <w:t>(A), Assistant Professor, Graduate School. BS, Chung-Ang University, 2005; MSW, 2007; MSW, Washington University in St. Louis, 2010; PhD, University of Maryland, Baltimore, 2017.</w:t>
      </w:r>
    </w:p>
    <w:p>
      <w:pPr>
        <w:pStyle w:val="BodyText"/>
        <w:spacing w:line="249" w:lineRule="auto" w:before="180"/>
        <w:ind w:right="645"/>
        <w:jc w:val="both"/>
      </w:pPr>
      <w:r>
        <w:rPr>
          <w:b/>
          <w:color w:val="0B0B0B"/>
        </w:rPr>
        <w:t>Jung, Seungyoun</w:t>
      </w:r>
      <w:r>
        <w:rPr>
          <w:color w:val="0B0B0B"/>
        </w:rPr>
        <w:t>, (A), Assistant Professor, Epidemiology and Public Health, School of Medicine. ScD, Harvard T.H. Chan School of Public Health, 2012; MS, 2008; BS, Seoul National University, 2006.</w:t>
      </w:r>
    </w:p>
    <w:p>
      <w:pPr>
        <w:pStyle w:val="BodyText"/>
        <w:spacing w:line="249" w:lineRule="auto" w:before="186"/>
        <w:ind w:right="760"/>
      </w:pPr>
      <w:r>
        <w:rPr>
          <w:b/>
          <w:color w:val="0B0B0B"/>
        </w:rPr>
        <w:t>Kaetzel, David</w:t>
      </w:r>
      <w:r>
        <w:rPr>
          <w:color w:val="0B0B0B"/>
        </w:rPr>
        <w:t>, (R), Professor, Biochemistry and Molecular Biology, School of Medicine. PhD, University of Maryland, 1981; BS, Washington College, 1975.</w:t>
      </w:r>
    </w:p>
    <w:p>
      <w:pPr>
        <w:pStyle w:val="BodyText"/>
        <w:spacing w:line="249" w:lineRule="auto" w:before="180"/>
        <w:ind w:right="776"/>
      </w:pPr>
      <w:r>
        <w:rPr>
          <w:b/>
          <w:color w:val="0B0B0B"/>
        </w:rPr>
        <w:t>Kalvakolanu, Dhan</w:t>
      </w:r>
      <w:r>
        <w:rPr>
          <w:color w:val="0B0B0B"/>
        </w:rPr>
        <w:t>, (R), Professor, Molecular Biology and Oncology, School of Medicine. PhD, Indian Institute of Science, 1988; MS, Osmania University, 1981; BS, Osmania University, 1979.</w:t>
      </w:r>
    </w:p>
    <w:p>
      <w:pPr>
        <w:pStyle w:val="BodyText"/>
        <w:spacing w:line="249" w:lineRule="auto"/>
        <w:ind w:right="648" w:hanging="1"/>
      </w:pPr>
      <w:r>
        <w:rPr>
          <w:b/>
          <w:color w:val="0B0B0B"/>
        </w:rPr>
        <w:t>Kamin-Lewis, Roberta</w:t>
      </w:r>
      <w:r>
        <w:rPr>
          <w:color w:val="0B0B0B"/>
        </w:rPr>
        <w:t>, (A), Assistant Professor, Microbiology and Immunology, School of Medicine. PhD, University of California, 1974.</w:t>
      </w:r>
    </w:p>
    <w:p>
      <w:pPr>
        <w:pStyle w:val="BodyText"/>
        <w:spacing w:line="249" w:lineRule="auto" w:before="180"/>
        <w:ind w:right="573"/>
      </w:pPr>
      <w:r>
        <w:rPr>
          <w:b/>
          <w:color w:val="0B0B0B"/>
        </w:rPr>
        <w:t>Kane, Maureen</w:t>
      </w:r>
      <w:r>
        <w:rPr>
          <w:color w:val="0B0B0B"/>
        </w:rPr>
        <w:t>, (A), Assistant Professor, Pharmaceutical Sciences, School of Pharmacy. PhD, University of Buffalo, 2002; BS, Canisius College, 1995.</w:t>
      </w:r>
    </w:p>
    <w:p>
      <w:pPr>
        <w:pStyle w:val="BodyText"/>
        <w:spacing w:line="249" w:lineRule="auto" w:before="184"/>
        <w:ind w:right="882"/>
      </w:pPr>
      <w:r>
        <w:rPr>
          <w:b/>
          <w:color w:val="0B0B0B"/>
        </w:rPr>
        <w:t>Kann, Maricel</w:t>
      </w:r>
      <w:r>
        <w:rPr>
          <w:color w:val="0B0B0B"/>
        </w:rPr>
        <w:t>, (R), Associate Professor, Biochemistry and Molecular Biology, School of Medicine. PhD, University of Michigan, 2001.</w:t>
      </w:r>
    </w:p>
    <w:p>
      <w:pPr>
        <w:pStyle w:val="BodyText"/>
        <w:spacing w:line="249" w:lineRule="auto" w:before="180"/>
        <w:ind w:right="573"/>
      </w:pPr>
      <w:r>
        <w:rPr>
          <w:b/>
          <w:color w:val="0B0B0B"/>
        </w:rPr>
        <w:t>Kao, Joseph</w:t>
      </w:r>
      <w:r>
        <w:rPr>
          <w:color w:val="0B0B0B"/>
        </w:rPr>
        <w:t>, (R), Associate Professor, Physiology, School of Medicine. PhD, University of California, 1985; BS, Arizona State University, 1978</w:t>
      </w:r>
    </w:p>
    <w:p>
      <w:pPr>
        <w:pStyle w:val="BodyText"/>
        <w:spacing w:line="249" w:lineRule="auto"/>
        <w:ind w:right="1026"/>
      </w:pPr>
      <w:r>
        <w:rPr>
          <w:b/>
          <w:color w:val="0B0B0B"/>
        </w:rPr>
        <w:t>Kaper, James</w:t>
      </w:r>
      <w:r>
        <w:rPr>
          <w:color w:val="0B0B0B"/>
        </w:rPr>
        <w:t>, (R), Professor, Microbiology and Immunology, School of Medicine. PhD, University of</w:t>
      </w:r>
    </w:p>
    <w:p>
      <w:pPr>
        <w:spacing w:after="0" w:line="249" w:lineRule="auto"/>
        <w:sectPr>
          <w:pgSz w:w="12240" w:h="15840"/>
          <w:pgMar w:header="746" w:footer="0" w:top="1320" w:bottom="280" w:left="880" w:right="300"/>
          <w:cols w:num="2" w:equalWidth="0">
            <w:col w:w="4947" w:space="539"/>
            <w:col w:w="5574"/>
          </w:cols>
        </w:sectPr>
      </w:pPr>
    </w:p>
    <w:p>
      <w:pPr>
        <w:pStyle w:val="BodyText"/>
        <w:spacing w:before="100"/>
      </w:pPr>
      <w:r>
        <w:rPr>
          <w:color w:val="0B0B0B"/>
        </w:rPr>
        <w:t>Maryland, 1979, BS, University of Maryland, 1973.</w:t>
      </w:r>
    </w:p>
    <w:p>
      <w:pPr>
        <w:pStyle w:val="BodyText"/>
        <w:spacing w:line="249" w:lineRule="auto" w:before="187"/>
      </w:pPr>
      <w:r>
        <w:rPr>
          <w:b/>
          <w:color w:val="0B0B0B"/>
        </w:rPr>
        <w:t>Kaplowitz, Gary</w:t>
      </w:r>
      <w:r>
        <w:rPr>
          <w:color w:val="0B0B0B"/>
        </w:rPr>
        <w:t>, (A), Associate Professor, Biomedical Sciences, </w:t>
      </w:r>
      <w:r>
        <w:rPr>
          <w:color w:val="0B0B0B"/>
          <w:spacing w:val="-2"/>
        </w:rPr>
        <w:t>School </w:t>
      </w:r>
      <w:r>
        <w:rPr>
          <w:color w:val="0B0B0B"/>
          <w:spacing w:val="-3"/>
        </w:rPr>
        <w:t>of </w:t>
      </w:r>
      <w:r>
        <w:rPr>
          <w:color w:val="0B0B0B"/>
        </w:rPr>
        <w:t>Dentistry. DDS, </w:t>
      </w:r>
      <w:r>
        <w:rPr>
          <w:color w:val="0B0B0B"/>
          <w:spacing w:val="-2"/>
        </w:rPr>
        <w:t>New </w:t>
      </w:r>
      <w:r>
        <w:rPr>
          <w:color w:val="0B0B0B"/>
        </w:rPr>
        <w:t>York University, 1979; MA, Binghamton University, 1974; </w:t>
      </w:r>
      <w:r>
        <w:rPr>
          <w:color w:val="0B0B0B"/>
          <w:spacing w:val="-3"/>
        </w:rPr>
        <w:t>BA, </w:t>
      </w:r>
      <w:r>
        <w:rPr>
          <w:color w:val="0B0B0B"/>
          <w:spacing w:val="-2"/>
        </w:rPr>
        <w:t>New </w:t>
      </w:r>
      <w:r>
        <w:rPr>
          <w:color w:val="0B0B0B"/>
        </w:rPr>
        <w:t>York University,</w:t>
      </w:r>
      <w:r>
        <w:rPr>
          <w:color w:val="0B0B0B"/>
          <w:spacing w:val="4"/>
        </w:rPr>
        <w:t> </w:t>
      </w:r>
      <w:r>
        <w:rPr>
          <w:color w:val="0B0B0B"/>
        </w:rPr>
        <w:t>1971.</w:t>
      </w:r>
    </w:p>
    <w:p>
      <w:pPr>
        <w:pStyle w:val="BodyText"/>
        <w:spacing w:line="249" w:lineRule="auto" w:before="186"/>
      </w:pPr>
      <w:r>
        <w:rPr>
          <w:b/>
          <w:color w:val="0B0B0B"/>
        </w:rPr>
        <w:t>Karbowski, Mariusz</w:t>
      </w:r>
      <w:r>
        <w:rPr>
          <w:color w:val="0B0B0B"/>
        </w:rPr>
        <w:t>, (A), Assistant Professor, Biochemistry and Molecular </w:t>
      </w:r>
      <w:r>
        <w:rPr>
          <w:color w:val="0B0B0B"/>
          <w:spacing w:val="-3"/>
        </w:rPr>
        <w:t>Biology, </w:t>
      </w:r>
      <w:r>
        <w:rPr>
          <w:color w:val="0B0B0B"/>
          <w:spacing w:val="-2"/>
        </w:rPr>
        <w:t>School </w:t>
      </w:r>
      <w:r>
        <w:rPr>
          <w:color w:val="0B0B0B"/>
        </w:rPr>
        <w:t>of Medicine. PhD, </w:t>
      </w:r>
      <w:r>
        <w:rPr>
          <w:color w:val="0B0B0B"/>
          <w:spacing w:val="-3"/>
        </w:rPr>
        <w:t>Nagoya </w:t>
      </w:r>
      <w:r>
        <w:rPr>
          <w:color w:val="0B0B0B"/>
        </w:rPr>
        <w:t>University, 2001; MSc, Adam </w:t>
      </w:r>
      <w:r>
        <w:rPr>
          <w:color w:val="0B0B0B"/>
          <w:spacing w:val="-3"/>
        </w:rPr>
        <w:t>Mickiewicz </w:t>
      </w:r>
      <w:r>
        <w:rPr>
          <w:color w:val="0B0B0B"/>
        </w:rPr>
        <w:t>University,</w:t>
      </w:r>
      <w:r>
        <w:rPr>
          <w:color w:val="0B0B0B"/>
          <w:spacing w:val="4"/>
        </w:rPr>
        <w:t> </w:t>
      </w:r>
      <w:r>
        <w:rPr>
          <w:color w:val="0B0B0B"/>
        </w:rPr>
        <w:t>1994.</w:t>
      </w:r>
    </w:p>
    <w:p>
      <w:pPr>
        <w:pStyle w:val="BodyText"/>
        <w:spacing w:line="249" w:lineRule="auto" w:before="180"/>
        <w:ind w:right="23"/>
      </w:pPr>
      <w:r>
        <w:rPr>
          <w:b/>
          <w:color w:val="0B0B0B"/>
        </w:rPr>
        <w:t>Karnup, Sergei</w:t>
      </w:r>
      <w:r>
        <w:rPr>
          <w:color w:val="0B0B0B"/>
        </w:rPr>
        <w:t>, (A), Research Assistant Professor, Anatomy and Neurobiology, School of Medicine. PhD, Moscow University, 1980; MD, Moscow Medical Institute, 1971.</w:t>
      </w:r>
    </w:p>
    <w:p>
      <w:pPr>
        <w:pStyle w:val="BodyText"/>
        <w:spacing w:line="249" w:lineRule="auto"/>
      </w:pPr>
      <w:r>
        <w:rPr>
          <w:b/>
          <w:color w:val="0B0B0B"/>
        </w:rPr>
        <w:t>Karpel, Richard</w:t>
      </w:r>
      <w:r>
        <w:rPr>
          <w:color w:val="0B0B0B"/>
        </w:rPr>
        <w:t>, Professor, Chemistry and Biochemistry, School of Medicine.</w:t>
      </w:r>
    </w:p>
    <w:p>
      <w:pPr>
        <w:pStyle w:val="BodyText"/>
        <w:spacing w:line="249" w:lineRule="auto" w:before="180"/>
        <w:ind w:right="38"/>
      </w:pPr>
      <w:r>
        <w:rPr>
          <w:b/>
          <w:color w:val="0B0B0B"/>
        </w:rPr>
        <w:t>Katzel, Leslie</w:t>
      </w:r>
      <w:r>
        <w:rPr>
          <w:color w:val="0B0B0B"/>
        </w:rPr>
        <w:t>, (R), Associate Professor, Medicine, School of Medicine. MD, University of Maryland, Baltimore, 1984; PhD, Johns Hopkins University, 1981; BS, Cooper Union, 1975.</w:t>
      </w:r>
    </w:p>
    <w:p>
      <w:pPr>
        <w:pStyle w:val="BodyText"/>
        <w:spacing w:line="249" w:lineRule="auto"/>
        <w:ind w:right="62"/>
      </w:pPr>
      <w:r>
        <w:rPr>
          <w:b/>
          <w:color w:val="0B0B0B"/>
        </w:rPr>
        <w:t>Kauffman, Karen</w:t>
      </w:r>
      <w:r>
        <w:rPr>
          <w:color w:val="0B0B0B"/>
        </w:rPr>
        <w:t>, (R), Associate Professor, Family and Community Health, School of Nursing. PhD, University of Pennsylvania, 1992; MS, University of Pennsylvania, 1987; BSN, Allentown College of St. Francis de Sales, 1984.</w:t>
      </w:r>
    </w:p>
    <w:p>
      <w:pPr>
        <w:pStyle w:val="BodyText"/>
        <w:spacing w:line="249" w:lineRule="auto" w:before="181"/>
        <w:ind w:right="51"/>
      </w:pPr>
      <w:r>
        <w:rPr>
          <w:b/>
          <w:color w:val="0B0B0B"/>
        </w:rPr>
        <w:t>Kayingo, Gerald</w:t>
      </w:r>
      <w:r>
        <w:rPr>
          <w:color w:val="0B0B0B"/>
        </w:rPr>
        <w:t>, (A), Professor, Graduate School. MMSc, Yale University, 2007; </w:t>
      </w:r>
      <w:r>
        <w:rPr>
          <w:color w:val="0B0B0B"/>
          <w:spacing w:val="-3"/>
        </w:rPr>
        <w:t>PhD, </w:t>
      </w:r>
      <w:r>
        <w:rPr>
          <w:color w:val="0B0B0B"/>
        </w:rPr>
        <w:t>University of the Free State, </w:t>
      </w:r>
      <w:r>
        <w:rPr>
          <w:color w:val="0B0B0B"/>
          <w:spacing w:val="-3"/>
        </w:rPr>
        <w:t>South </w:t>
      </w:r>
      <w:r>
        <w:rPr>
          <w:color w:val="0B0B0B"/>
        </w:rPr>
        <w:t>Africa,</w:t>
      </w:r>
      <w:r>
        <w:rPr>
          <w:color w:val="0B0B0B"/>
          <w:spacing w:val="10"/>
        </w:rPr>
        <w:t> </w:t>
      </w:r>
      <w:r>
        <w:rPr>
          <w:color w:val="0B0B0B"/>
        </w:rPr>
        <w:t>2001.</w:t>
      </w:r>
    </w:p>
    <w:p>
      <w:pPr>
        <w:pStyle w:val="BodyText"/>
        <w:spacing w:line="249" w:lineRule="auto"/>
        <w:ind w:left="199" w:right="335"/>
      </w:pPr>
      <w:r>
        <w:rPr>
          <w:b/>
          <w:color w:val="0B0B0B"/>
        </w:rPr>
        <w:t>Keegan, Achsah D.</w:t>
      </w:r>
      <w:r>
        <w:rPr>
          <w:color w:val="0B0B0B"/>
        </w:rPr>
        <w:t>, (R), Professor, Microbiology and Immunology, School of Medicine. PhD, Johns Hopkins University, 1989; BS, Duke University, 1983.</w:t>
      </w:r>
    </w:p>
    <w:p>
      <w:pPr>
        <w:pStyle w:val="BodyText"/>
        <w:spacing w:line="249" w:lineRule="auto" w:before="180"/>
        <w:ind w:left="199" w:right="36"/>
      </w:pPr>
      <w:r>
        <w:rPr>
          <w:b/>
          <w:color w:val="0B0B0B"/>
        </w:rPr>
        <w:t>Kelemen, Arpad</w:t>
      </w:r>
      <w:r>
        <w:rPr>
          <w:color w:val="0B0B0B"/>
        </w:rPr>
        <w:t>, (R), Associate Professor, Organizational Systems and Adult Health, School of Nursing. PhD, University of Memphis, 2002; MS, University of Szeged, 1995; BS, University of Szeged, 1993.</w:t>
      </w:r>
    </w:p>
    <w:p>
      <w:pPr>
        <w:pStyle w:val="BodyText"/>
        <w:spacing w:line="249" w:lineRule="auto"/>
        <w:ind w:left="199" w:right="168"/>
      </w:pPr>
      <w:r>
        <w:rPr>
          <w:b/>
          <w:color w:val="0B0B0B"/>
        </w:rPr>
        <w:t>Kelleher, Catherine</w:t>
      </w:r>
      <w:r>
        <w:rPr>
          <w:color w:val="0B0B0B"/>
        </w:rPr>
        <w:t>, (A), Associate Professor, Organizational Systems and Adult Health, School of Nursing. SciD, Johns Hopkins University; MPH, Harvard School of Public Health; MS, University of California.</w:t>
      </w:r>
    </w:p>
    <w:p>
      <w:pPr>
        <w:pStyle w:val="BodyText"/>
        <w:spacing w:line="249" w:lineRule="auto" w:before="180"/>
        <w:ind w:left="199"/>
      </w:pPr>
      <w:r>
        <w:rPr>
          <w:b/>
          <w:color w:val="0B0B0B"/>
        </w:rPr>
        <w:t>Keller, Asaf</w:t>
      </w:r>
      <w:r>
        <w:rPr>
          <w:color w:val="0B0B0B"/>
        </w:rPr>
        <w:t>, (R), Professor, Anatomy and Neurobiology, School of Medicine. PhD, Ben-Gurion University, 1988; MMedSci, Ben-Gurion University, 1986; BMedSci, Ben- Gurion University, 1985.</w:t>
      </w:r>
    </w:p>
    <w:p>
      <w:pPr>
        <w:pStyle w:val="BodyText"/>
        <w:spacing w:line="249" w:lineRule="auto" w:before="186"/>
        <w:ind w:right="90"/>
      </w:pPr>
      <w:r>
        <w:rPr>
          <w:b/>
          <w:color w:val="0B0B0B"/>
        </w:rPr>
        <w:t>Kenefic, Leo</w:t>
      </w:r>
      <w:r>
        <w:rPr>
          <w:color w:val="0B0B0B"/>
        </w:rPr>
        <w:t>, (A), Assistant Professor, Medical and Research Technology, School of Medicine. PhD, Northern</w:t>
      </w:r>
    </w:p>
    <w:p>
      <w:pPr>
        <w:pStyle w:val="BodyText"/>
        <w:spacing w:line="249" w:lineRule="auto" w:before="96"/>
        <w:ind w:left="199" w:right="805"/>
      </w:pPr>
      <w:r>
        <w:rPr/>
        <w:br w:type="column"/>
      </w:r>
      <w:r>
        <w:rPr>
          <w:color w:val="0B0B0B"/>
        </w:rPr>
        <w:t>Arizona University, 2008; MS, Hood College, 2000; BS, Arizona State University, 1986.</w:t>
      </w:r>
    </w:p>
    <w:p>
      <w:pPr>
        <w:pStyle w:val="BodyText"/>
        <w:spacing w:line="249" w:lineRule="auto" w:before="179"/>
        <w:ind w:left="199" w:right="888"/>
      </w:pPr>
      <w:r>
        <w:rPr>
          <w:b/>
          <w:color w:val="0B0B0B"/>
        </w:rPr>
        <w:t>Kerr, Candace</w:t>
      </w:r>
      <w:r>
        <w:rPr>
          <w:color w:val="0B0B0B"/>
        </w:rPr>
        <w:t>, (A), Assistant Professor, Biochemistry and Molecular Biology, School of Medicine. PhD, Pennsylvania State University, 1998; MS, University of Maine, 1994; BA, University of Maine, 1992.</w:t>
      </w:r>
    </w:p>
    <w:p>
      <w:pPr>
        <w:pStyle w:val="BodyText"/>
        <w:spacing w:line="249" w:lineRule="auto"/>
        <w:ind w:left="199" w:right="794"/>
        <w:jc w:val="both"/>
      </w:pPr>
      <w:r>
        <w:rPr>
          <w:b/>
          <w:color w:val="0B0B0B"/>
        </w:rPr>
        <w:t>Kessler, Irving</w:t>
      </w:r>
      <w:r>
        <w:rPr>
          <w:color w:val="0B0B0B"/>
        </w:rPr>
        <w:t>, (R), Professor Emeritus, Epidemiology and Public Health, School of Medicine. MPH, Columbia University, 1962; MD, Stanford University, 1960; DrPH, Harvard University, 1969.</w:t>
      </w:r>
    </w:p>
    <w:p>
      <w:pPr>
        <w:pStyle w:val="BodyText"/>
        <w:spacing w:line="249" w:lineRule="auto" w:before="181"/>
        <w:ind w:left="199" w:right="807"/>
      </w:pPr>
      <w:r>
        <w:rPr>
          <w:b/>
          <w:color w:val="0B0B0B"/>
        </w:rPr>
        <w:t>Kim, Anthony</w:t>
      </w:r>
      <w:r>
        <w:rPr>
          <w:color w:val="0B0B0B"/>
        </w:rPr>
        <w:t>, (R), Assistant Professor, Neurosurgery, School of Medicine. PhD, University of Pennsylvania, 2006; MS, University of Pennsylvania, 2004; BS, Pennsylvania State University, 2001.</w:t>
      </w:r>
    </w:p>
    <w:p>
      <w:pPr>
        <w:pStyle w:val="BodyText"/>
        <w:spacing w:line="249" w:lineRule="auto"/>
        <w:ind w:left="199" w:right="712"/>
      </w:pPr>
      <w:r>
        <w:rPr>
          <w:b/>
          <w:color w:val="0B0B0B"/>
        </w:rPr>
        <w:t>Kingsbury, Tami</w:t>
      </w:r>
      <w:r>
        <w:rPr>
          <w:color w:val="0B0B0B"/>
        </w:rPr>
        <w:t>, (A), Assistant Professor, Physiology, School of Medicine. PhD, Johns Hopkins University, 1997; BS, Virginia Polytechnic Institute and State University, 1989.</w:t>
      </w:r>
    </w:p>
    <w:p>
      <w:pPr>
        <w:pStyle w:val="BodyText"/>
        <w:spacing w:line="249" w:lineRule="auto" w:before="181"/>
        <w:ind w:left="199" w:right="922"/>
      </w:pPr>
      <w:r>
        <w:rPr>
          <w:b/>
          <w:color w:val="0B0B0B"/>
        </w:rPr>
        <w:t>Kirschling, Jane</w:t>
      </w:r>
      <w:r>
        <w:rPr>
          <w:color w:val="0B0B0B"/>
        </w:rPr>
        <w:t>, (R), Dean and Professor, School of Nursing. PhD, Indiana University, 1984; MSN, Indiana University, 1982; BSN, Viterbo College, 1980.</w:t>
      </w:r>
    </w:p>
    <w:p>
      <w:pPr>
        <w:pStyle w:val="BodyText"/>
        <w:spacing w:line="249" w:lineRule="auto" w:before="184"/>
        <w:ind w:left="199" w:right="605"/>
      </w:pPr>
      <w:r>
        <w:rPr>
          <w:b/>
          <w:color w:val="0B0B0B"/>
        </w:rPr>
        <w:t>Kittner, Steven</w:t>
      </w:r>
      <w:r>
        <w:rPr>
          <w:color w:val="0B0B0B"/>
        </w:rPr>
        <w:t>, (A), Associate, Neurology, School of Medicine. PhD, Johns Hopkins University, 1981; MD, University of Pennsylvania, 1979; BA, Brown University, 1975.</w:t>
      </w:r>
    </w:p>
    <w:p>
      <w:pPr>
        <w:pStyle w:val="BodyText"/>
        <w:spacing w:line="249" w:lineRule="auto" w:before="181"/>
        <w:ind w:left="199" w:right="611"/>
      </w:pPr>
      <w:r>
        <w:rPr>
          <w:b/>
          <w:color w:val="0B0B0B"/>
        </w:rPr>
        <w:t>Kleinberg, Michael</w:t>
      </w:r>
      <w:r>
        <w:rPr>
          <w:color w:val="0B0B0B"/>
        </w:rPr>
        <w:t>, (A), Affiliate Assistant Professor, Medicine, School of Medicine. MD, PhD, Albert Einstein College of Medicine, 1984; MS, Albert Einstein College of Medicine, 1982.</w:t>
      </w:r>
    </w:p>
    <w:p>
      <w:pPr>
        <w:pStyle w:val="BodyText"/>
        <w:spacing w:line="249" w:lineRule="auto"/>
        <w:ind w:left="199" w:right="932"/>
      </w:pPr>
      <w:r>
        <w:rPr>
          <w:b/>
          <w:color w:val="0B0B0B"/>
        </w:rPr>
        <w:t>Klinedinst, Jennifer </w:t>
      </w:r>
      <w:r>
        <w:rPr>
          <w:b/>
          <w:color w:val="0B0B0B"/>
          <w:spacing w:val="-4"/>
        </w:rPr>
        <w:t>N.</w:t>
      </w:r>
      <w:r>
        <w:rPr>
          <w:color w:val="0B0B0B"/>
          <w:spacing w:val="-4"/>
        </w:rPr>
        <w:t>, </w:t>
      </w:r>
      <w:r>
        <w:rPr>
          <w:color w:val="0B0B0B"/>
        </w:rPr>
        <w:t>(A), Associate Professor, Organizational </w:t>
      </w:r>
      <w:r>
        <w:rPr>
          <w:color w:val="0B0B0B"/>
          <w:spacing w:val="-3"/>
        </w:rPr>
        <w:t>Systems </w:t>
      </w:r>
      <w:r>
        <w:rPr>
          <w:color w:val="0B0B0B"/>
        </w:rPr>
        <w:t>and Adult Health, </w:t>
      </w:r>
      <w:r>
        <w:rPr>
          <w:color w:val="0B0B0B"/>
          <w:spacing w:val="-2"/>
        </w:rPr>
        <w:t>School </w:t>
      </w:r>
      <w:r>
        <w:rPr>
          <w:color w:val="0B0B0B"/>
          <w:spacing w:val="-3"/>
        </w:rPr>
        <w:t>of </w:t>
      </w:r>
      <w:r>
        <w:rPr>
          <w:color w:val="0B0B0B"/>
        </w:rPr>
        <w:t>Nursing. PhD, Emory University, 2008; MSN, Thomas Jefferson University, 2003; </w:t>
      </w:r>
      <w:r>
        <w:rPr>
          <w:color w:val="0B0B0B"/>
          <w:spacing w:val="-3"/>
        </w:rPr>
        <w:t>MPH, Boston </w:t>
      </w:r>
      <w:r>
        <w:rPr>
          <w:color w:val="0B0B0B"/>
        </w:rPr>
        <w:t>University, 1999.</w:t>
      </w:r>
    </w:p>
    <w:p>
      <w:pPr>
        <w:pStyle w:val="BodyText"/>
        <w:spacing w:line="249" w:lineRule="auto" w:before="181"/>
        <w:ind w:left="199" w:right="772"/>
      </w:pPr>
      <w:r>
        <w:rPr>
          <w:b/>
          <w:color w:val="0B0B0B"/>
        </w:rPr>
        <w:t>Knight, Carolyn</w:t>
      </w:r>
      <w:r>
        <w:rPr>
          <w:color w:val="0B0B0B"/>
        </w:rPr>
        <w:t>, (R), Associate Professor, </w:t>
      </w:r>
      <w:r>
        <w:rPr>
          <w:color w:val="0B0B0B"/>
          <w:spacing w:val="-2"/>
        </w:rPr>
        <w:t>School </w:t>
      </w:r>
      <w:r>
        <w:rPr>
          <w:color w:val="0B0B0B"/>
          <w:spacing w:val="-5"/>
        </w:rPr>
        <w:t>of </w:t>
      </w:r>
      <w:r>
        <w:rPr>
          <w:color w:val="0B0B0B"/>
        </w:rPr>
        <w:t>Social Work. PhD, University of Maryland, 1985; MSW, University of Maryland, 1977; </w:t>
      </w:r>
      <w:r>
        <w:rPr>
          <w:color w:val="0B0B0B"/>
          <w:spacing w:val="-3"/>
        </w:rPr>
        <w:t>BA, </w:t>
      </w:r>
      <w:r>
        <w:rPr>
          <w:color w:val="0B0B0B"/>
        </w:rPr>
        <w:t>Goucher College, 1975.</w:t>
      </w:r>
    </w:p>
    <w:p>
      <w:pPr>
        <w:pStyle w:val="BodyText"/>
        <w:spacing w:line="249" w:lineRule="auto" w:before="186"/>
        <w:ind w:left="199" w:right="661"/>
      </w:pPr>
      <w:r>
        <w:rPr>
          <w:b/>
          <w:color w:val="0B0B0B"/>
        </w:rPr>
        <w:t>Koenig, James</w:t>
      </w:r>
      <w:r>
        <w:rPr>
          <w:color w:val="0B0B0B"/>
        </w:rPr>
        <w:t>, (R), Professor, Psychiatry, School of Medicine. PhD, University of Texas, 1983; BS, University of Illinois, 1976.</w:t>
      </w:r>
    </w:p>
    <w:p>
      <w:pPr>
        <w:pStyle w:val="BodyText"/>
        <w:spacing w:line="249" w:lineRule="auto" w:before="180"/>
        <w:ind w:left="199" w:right="723"/>
      </w:pPr>
      <w:r>
        <w:rPr>
          <w:b/>
          <w:color w:val="0B0B0B"/>
        </w:rPr>
        <w:t>Kolenbrander, Paul</w:t>
      </w:r>
      <w:r>
        <w:rPr>
          <w:color w:val="0B0B0B"/>
        </w:rPr>
        <w:t>, (S), Chief, Oral Infection and Immunity Branch of the National Institutes of Dental and Craniofacial Research at the National Institutes of Health,</w:t>
      </w:r>
    </w:p>
    <w:p>
      <w:pPr>
        <w:spacing w:after="0" w:line="249" w:lineRule="auto"/>
        <w:sectPr>
          <w:pgSz w:w="12240" w:h="15840"/>
          <w:pgMar w:header="746" w:footer="0" w:top="1320" w:bottom="280" w:left="880" w:right="300"/>
          <w:cols w:num="2" w:equalWidth="0">
            <w:col w:w="5004" w:space="482"/>
            <w:col w:w="5574"/>
          </w:cols>
        </w:sectPr>
      </w:pPr>
    </w:p>
    <w:p>
      <w:pPr>
        <w:pStyle w:val="BodyText"/>
        <w:spacing w:line="249" w:lineRule="auto" w:before="100"/>
      </w:pPr>
      <w:r>
        <w:rPr>
          <w:color w:val="0B0B0B"/>
        </w:rPr>
        <w:t>Biomedical Sciences, </w:t>
      </w:r>
      <w:r>
        <w:rPr>
          <w:color w:val="0B0B0B"/>
          <w:spacing w:val="-2"/>
        </w:rPr>
        <w:t>School </w:t>
      </w:r>
      <w:r>
        <w:rPr>
          <w:color w:val="0B0B0B"/>
          <w:spacing w:val="-3"/>
        </w:rPr>
        <w:t>of </w:t>
      </w:r>
      <w:r>
        <w:rPr>
          <w:color w:val="0B0B0B"/>
        </w:rPr>
        <w:t>Dentistry. PhD, University of Wisconsin, 1969, MS, University of Wisconsin, 1967, </w:t>
      </w:r>
      <w:r>
        <w:rPr>
          <w:color w:val="0B0B0B"/>
          <w:spacing w:val="-3"/>
        </w:rPr>
        <w:t>BA, </w:t>
      </w:r>
      <w:r>
        <w:rPr>
          <w:color w:val="0B0B0B"/>
        </w:rPr>
        <w:t>Central College,</w:t>
      </w:r>
      <w:r>
        <w:rPr>
          <w:color w:val="0B0B0B"/>
          <w:spacing w:val="11"/>
        </w:rPr>
        <w:t> </w:t>
      </w:r>
      <w:r>
        <w:rPr>
          <w:color w:val="0B0B0B"/>
        </w:rPr>
        <w:t>1964.</w:t>
      </w:r>
    </w:p>
    <w:p>
      <w:pPr>
        <w:spacing w:line="249" w:lineRule="auto" w:before="180"/>
        <w:ind w:left="200" w:right="0" w:firstLine="0"/>
        <w:jc w:val="left"/>
        <w:rPr>
          <w:sz w:val="20"/>
        </w:rPr>
      </w:pPr>
      <w:r>
        <w:rPr>
          <w:b/>
          <w:color w:val="0B0B0B"/>
          <w:sz w:val="20"/>
        </w:rPr>
        <w:t>Kontrogianni-Konstantopoulos, Aikaterini </w:t>
      </w:r>
      <w:r>
        <w:rPr>
          <w:color w:val="0B0B0B"/>
          <w:sz w:val="20"/>
        </w:rPr>
        <w:t>, (R), Professor, Biochemistry and Molecular </w:t>
      </w:r>
      <w:r>
        <w:rPr>
          <w:color w:val="0B0B0B"/>
          <w:spacing w:val="-3"/>
          <w:sz w:val="20"/>
        </w:rPr>
        <w:t>Biology, </w:t>
      </w:r>
      <w:r>
        <w:rPr>
          <w:color w:val="0B0B0B"/>
          <w:spacing w:val="-2"/>
          <w:sz w:val="20"/>
        </w:rPr>
        <w:t>School </w:t>
      </w:r>
      <w:r>
        <w:rPr>
          <w:color w:val="0B0B0B"/>
          <w:sz w:val="20"/>
        </w:rPr>
        <w:t>of Medicine. PhD, </w:t>
      </w:r>
      <w:r>
        <w:rPr>
          <w:color w:val="0B0B0B"/>
          <w:spacing w:val="-3"/>
          <w:sz w:val="20"/>
        </w:rPr>
        <w:t>Baylor </w:t>
      </w:r>
      <w:r>
        <w:rPr>
          <w:color w:val="0B0B0B"/>
          <w:sz w:val="20"/>
        </w:rPr>
        <w:t>College </w:t>
      </w:r>
      <w:r>
        <w:rPr>
          <w:color w:val="0B0B0B"/>
          <w:spacing w:val="-3"/>
          <w:sz w:val="20"/>
        </w:rPr>
        <w:t>of </w:t>
      </w:r>
      <w:r>
        <w:rPr>
          <w:color w:val="0B0B0B"/>
          <w:sz w:val="20"/>
        </w:rPr>
        <w:t>Medicine, 1997; </w:t>
      </w:r>
      <w:r>
        <w:rPr>
          <w:color w:val="0B0B0B"/>
          <w:spacing w:val="-3"/>
          <w:sz w:val="20"/>
        </w:rPr>
        <w:t>BS, </w:t>
      </w:r>
      <w:r>
        <w:rPr>
          <w:color w:val="0B0B0B"/>
          <w:sz w:val="20"/>
        </w:rPr>
        <w:t>University of Patras,</w:t>
      </w:r>
      <w:r>
        <w:rPr>
          <w:color w:val="0B0B0B"/>
          <w:spacing w:val="-9"/>
          <w:sz w:val="20"/>
        </w:rPr>
        <w:t> </w:t>
      </w:r>
      <w:r>
        <w:rPr>
          <w:color w:val="0B0B0B"/>
          <w:sz w:val="20"/>
        </w:rPr>
        <w:t>1992.</w:t>
      </w:r>
    </w:p>
    <w:p>
      <w:pPr>
        <w:pStyle w:val="BodyText"/>
        <w:spacing w:line="249" w:lineRule="auto"/>
        <w:ind w:right="198"/>
      </w:pPr>
      <w:r>
        <w:rPr>
          <w:b/>
          <w:color w:val="0B0B0B"/>
        </w:rPr>
        <w:t>Koo, Jae Hyung</w:t>
      </w:r>
      <w:r>
        <w:rPr>
          <w:color w:val="0B0B0B"/>
        </w:rPr>
        <w:t>, (A), Assistant Professor, Anatomy and Neurobiology, School of Medicine. PhD, Yonsei University, 2000; MS, Yonsei University, 1997; BS, Sungkyunkwan University (Korea), 1995.</w:t>
      </w:r>
    </w:p>
    <w:p>
      <w:pPr>
        <w:pStyle w:val="BodyText"/>
        <w:spacing w:line="249" w:lineRule="auto" w:before="180"/>
        <w:ind w:right="55"/>
      </w:pPr>
      <w:r>
        <w:rPr>
          <w:b/>
          <w:color w:val="0B0B0B"/>
        </w:rPr>
        <w:t>Koos, Robert</w:t>
      </w:r>
      <w:r>
        <w:rPr>
          <w:color w:val="0B0B0B"/>
        </w:rPr>
        <w:t>, (R), Professor and Program Director, Physiology, School of Medicine. PhD, Cornell University, 1980; MS, Purdue University, 1975; BS, Purdue University, 1972.</w:t>
      </w:r>
    </w:p>
    <w:p>
      <w:pPr>
        <w:pStyle w:val="BodyText"/>
        <w:spacing w:line="249" w:lineRule="auto" w:before="186"/>
        <w:ind w:left="199" w:right="99"/>
      </w:pPr>
      <w:r>
        <w:rPr>
          <w:b/>
          <w:color w:val="0B0B0B"/>
        </w:rPr>
        <w:t>Koslowe, Patricia</w:t>
      </w:r>
      <w:r>
        <w:rPr>
          <w:color w:val="0B0B0B"/>
        </w:rPr>
        <w:t>, (A), Clinical Instructor, Epidemiology and Public Health, School of Medicine. PhD, Harvard University, 1982; BA, Harvard University, 1971.</w:t>
      </w:r>
    </w:p>
    <w:p>
      <w:pPr>
        <w:pStyle w:val="BodyText"/>
        <w:spacing w:line="249" w:lineRule="auto" w:before="180"/>
        <w:ind w:left="199" w:right="27"/>
      </w:pPr>
      <w:r>
        <w:rPr>
          <w:b/>
          <w:color w:val="0B0B0B"/>
        </w:rPr>
        <w:t>Kottilil, Shyamasundaran</w:t>
      </w:r>
      <w:r>
        <w:rPr>
          <w:color w:val="0B0B0B"/>
        </w:rPr>
        <w:t>, (R), Professor, Medicine, School of Medicine. PhD, Memorial University of Newfoundland, 1997; MD, Trichur Medical College, 1991.</w:t>
      </w:r>
    </w:p>
    <w:p>
      <w:pPr>
        <w:pStyle w:val="BodyText"/>
        <w:spacing w:line="249" w:lineRule="auto" w:before="184"/>
        <w:ind w:left="199" w:right="443"/>
      </w:pPr>
      <w:r>
        <w:rPr>
          <w:b/>
          <w:color w:val="0B0B0B"/>
        </w:rPr>
        <w:t>Krantz, Bryan</w:t>
      </w:r>
      <w:r>
        <w:rPr>
          <w:color w:val="0B0B0B"/>
        </w:rPr>
        <w:t>, (R), Associate Professor, Microbial Pathogenesis, School of Dentistry. PhD, University of Chicago, 2002; BS, Emory University, 1996.</w:t>
      </w:r>
    </w:p>
    <w:p>
      <w:pPr>
        <w:pStyle w:val="BodyText"/>
        <w:spacing w:line="249" w:lineRule="auto" w:before="180"/>
        <w:ind w:left="199" w:right="161"/>
      </w:pPr>
      <w:r>
        <w:rPr>
          <w:b/>
          <w:color w:val="0B0B0B"/>
        </w:rPr>
        <w:t>Krebs, Hermano Igo</w:t>
      </w:r>
      <w:r>
        <w:rPr>
          <w:color w:val="0B0B0B"/>
        </w:rPr>
        <w:t>, (S), Principal Research Scientist, Mechanical Engineering, School of Medicine. PhD, MIT, 1997; MS, Yokohama National University, 1989; MS, Universidade de Sao Paulo, 1987.</w:t>
      </w:r>
    </w:p>
    <w:p>
      <w:pPr>
        <w:pStyle w:val="BodyText"/>
        <w:spacing w:line="249" w:lineRule="auto"/>
        <w:ind w:left="199" w:right="43"/>
      </w:pPr>
      <w:r>
        <w:rPr>
          <w:b/>
          <w:color w:val="0B0B0B"/>
        </w:rPr>
        <w:t>Kreger, Arnold</w:t>
      </w:r>
      <w:r>
        <w:rPr>
          <w:color w:val="0B0B0B"/>
        </w:rPr>
        <w:t>, (A), Adjunct Professor, Epidemiology and Public Health, School of Medicine. PhD, University of Michigan, 1968; BS, Brooklyn College, 1961.</w:t>
      </w:r>
    </w:p>
    <w:p>
      <w:pPr>
        <w:pStyle w:val="BodyText"/>
        <w:spacing w:line="249" w:lineRule="auto" w:before="180"/>
        <w:ind w:left="199" w:right="15"/>
      </w:pPr>
      <w:r>
        <w:rPr>
          <w:b/>
          <w:color w:val="0B0B0B"/>
        </w:rPr>
        <w:t>Kristian, Tibor</w:t>
      </w:r>
      <w:r>
        <w:rPr>
          <w:color w:val="0B0B0B"/>
        </w:rPr>
        <w:t>, (A), Associate Professor, Anesthesiology, School of Medicine. PhD, Slovak Academy of Sciences, 1991; MS, Safarik University, 1982.</w:t>
      </w:r>
    </w:p>
    <w:p>
      <w:pPr>
        <w:pStyle w:val="BodyText"/>
        <w:spacing w:line="249" w:lineRule="auto"/>
        <w:ind w:left="199" w:right="293"/>
      </w:pPr>
      <w:r>
        <w:rPr>
          <w:b/>
          <w:color w:val="0B0B0B"/>
        </w:rPr>
        <w:t>Krol, William F.</w:t>
      </w:r>
      <w:r>
        <w:rPr>
          <w:color w:val="0B0B0B"/>
        </w:rPr>
        <w:t>, (A), School of Medicine. PhD, Johns Hopkins University, 1969; MS, University of Chicago, 1964; BS, University of Chicago, 1958.</w:t>
      </w:r>
    </w:p>
    <w:p>
      <w:pPr>
        <w:pStyle w:val="BodyText"/>
        <w:spacing w:line="249" w:lineRule="auto" w:before="179"/>
        <w:ind w:left="199" w:right="216"/>
      </w:pPr>
      <w:r>
        <w:rPr>
          <w:b/>
          <w:color w:val="0B0B0B"/>
        </w:rPr>
        <w:t>Krueger, Bruce</w:t>
      </w:r>
      <w:r>
        <w:rPr>
          <w:color w:val="0B0B0B"/>
        </w:rPr>
        <w:t>, (R), Professor, Physiology, School of Medicine. PhD, Yale University, 1975; BS, Yale University, 1970.</w:t>
      </w:r>
    </w:p>
    <w:p>
      <w:pPr>
        <w:pStyle w:val="BodyText"/>
        <w:spacing w:line="249" w:lineRule="auto"/>
        <w:ind w:left="199" w:right="218"/>
        <w:jc w:val="both"/>
      </w:pPr>
      <w:r>
        <w:rPr>
          <w:b/>
          <w:color w:val="0B0B0B"/>
        </w:rPr>
        <w:t>Kucher, J. Howard, </w:t>
      </w:r>
      <w:r>
        <w:rPr>
          <w:color w:val="0B0B0B"/>
        </w:rPr>
        <w:t>(A), Associate Professor, Graduate School. BA, Kean University, 1986; MBA, University of Baltimore, 2001; DPA, 2014.</w:t>
      </w:r>
    </w:p>
    <w:p>
      <w:pPr>
        <w:pStyle w:val="BodyText"/>
        <w:spacing w:line="249" w:lineRule="auto" w:before="96"/>
        <w:ind w:left="199" w:right="660"/>
      </w:pPr>
      <w:r>
        <w:rPr/>
        <w:br w:type="column"/>
      </w:r>
      <w:r>
        <w:rPr>
          <w:b/>
          <w:color w:val="0B0B0B"/>
        </w:rPr>
        <w:t>Kulo, Violet, </w:t>
      </w:r>
      <w:r>
        <w:rPr>
          <w:color w:val="0B0B0B"/>
        </w:rPr>
        <w:t>(A), Associate Professor, Graduate School. BEd, Moi University, 1999; MS, Lehigh University, 2004; EdD, 2011.</w:t>
      </w:r>
    </w:p>
    <w:p>
      <w:pPr>
        <w:pStyle w:val="BodyText"/>
        <w:spacing w:line="249" w:lineRule="auto" w:before="180"/>
        <w:ind w:left="199" w:right="700"/>
      </w:pPr>
      <w:r>
        <w:rPr>
          <w:b/>
          <w:color w:val="0B0B0B"/>
        </w:rPr>
        <w:t>Kusmaul, Nancy</w:t>
      </w:r>
      <w:r>
        <w:rPr>
          <w:color w:val="0B0B0B"/>
        </w:rPr>
        <w:t>, (A), Assistant Professor, School of Social Work. PhD, University of Buffalo School of Social Work, 2013; MSW, University of Michigan, 2000; BA, University of Rochester, 1999.</w:t>
      </w:r>
    </w:p>
    <w:p>
      <w:pPr>
        <w:pStyle w:val="BodyText"/>
        <w:spacing w:line="249" w:lineRule="auto"/>
        <w:ind w:left="199" w:right="710"/>
      </w:pPr>
      <w:r>
        <w:rPr>
          <w:b/>
          <w:color w:val="0B0B0B"/>
        </w:rPr>
        <w:t>Kwon, Moo H.H.</w:t>
      </w:r>
      <w:r>
        <w:rPr>
          <w:color w:val="0B0B0B"/>
        </w:rPr>
        <w:t>, (A), Professor, Medicine and Physiology, School of Medicine. PhD, State University of New York, 1987; MS, Seoul National University, 1982; BS, Seoul National University, 1980.</w:t>
      </w:r>
    </w:p>
    <w:p>
      <w:pPr>
        <w:pStyle w:val="BodyText"/>
        <w:spacing w:line="249" w:lineRule="auto" w:before="181"/>
        <w:ind w:left="199" w:right="804"/>
        <w:jc w:val="both"/>
      </w:pPr>
      <w:r>
        <w:rPr>
          <w:b/>
          <w:color w:val="0B0B0B"/>
        </w:rPr>
        <w:t>Lakatta, Edward</w:t>
      </w:r>
      <w:r>
        <w:rPr>
          <w:color w:val="0B0B0B"/>
        </w:rPr>
        <w:t>, (A), Associate Professor, </w:t>
      </w:r>
      <w:r>
        <w:rPr>
          <w:color w:val="0B0B0B"/>
          <w:spacing w:val="-3"/>
        </w:rPr>
        <w:t>Physiology, </w:t>
      </w:r>
      <w:r>
        <w:rPr>
          <w:color w:val="0B0B0B"/>
          <w:spacing w:val="-2"/>
        </w:rPr>
        <w:t>School </w:t>
      </w:r>
      <w:r>
        <w:rPr>
          <w:color w:val="0B0B0B"/>
        </w:rPr>
        <w:t>of Medicine. MD, </w:t>
      </w:r>
      <w:r>
        <w:rPr>
          <w:color w:val="0B0B0B"/>
          <w:spacing w:val="-3"/>
        </w:rPr>
        <w:t>Georgetown </w:t>
      </w:r>
      <w:r>
        <w:rPr>
          <w:color w:val="0B0B0B"/>
        </w:rPr>
        <w:t>University, 1970; </w:t>
      </w:r>
      <w:r>
        <w:rPr>
          <w:color w:val="0B0B0B"/>
          <w:spacing w:val="-3"/>
        </w:rPr>
        <w:t>BS, </w:t>
      </w:r>
      <w:r>
        <w:rPr>
          <w:color w:val="0B0B0B"/>
        </w:rPr>
        <w:t>University of Scranton, 1966.</w:t>
      </w:r>
    </w:p>
    <w:p>
      <w:pPr>
        <w:pStyle w:val="BodyText"/>
        <w:spacing w:line="249" w:lineRule="auto" w:before="184"/>
        <w:ind w:left="199" w:right="761"/>
      </w:pPr>
      <w:r>
        <w:rPr>
          <w:b/>
          <w:color w:val="0B0B0B"/>
        </w:rPr>
        <w:t>Lakowicz, Joseph</w:t>
      </w:r>
      <w:r>
        <w:rPr>
          <w:color w:val="0B0B0B"/>
        </w:rPr>
        <w:t>, (R), Professor, Biochemistry and Molecular Biology, School of Medicine. PhD, University of Illinois, 1973; MS, University of Illinois, 1971; BS, Lasalle College, 1970.</w:t>
      </w:r>
    </w:p>
    <w:p>
      <w:pPr>
        <w:pStyle w:val="BodyText"/>
        <w:spacing w:line="249" w:lineRule="auto" w:before="181"/>
        <w:ind w:left="199" w:right="631"/>
      </w:pPr>
      <w:r>
        <w:rPr>
          <w:b/>
          <w:color w:val="0B0B0B"/>
        </w:rPr>
        <w:t>Lane, Wendy G., </w:t>
      </w:r>
      <w:r>
        <w:rPr>
          <w:color w:val="0B0B0B"/>
        </w:rPr>
        <w:t>(R), Associate Professor, Epidemiology and Public Health, School </w:t>
      </w:r>
      <w:r>
        <w:rPr>
          <w:color w:val="0B0B0B"/>
          <w:spacing w:val="-3"/>
        </w:rPr>
        <w:t>of </w:t>
      </w:r>
      <w:r>
        <w:rPr>
          <w:color w:val="0B0B0B"/>
        </w:rPr>
        <w:t>Medicine. </w:t>
      </w:r>
      <w:r>
        <w:rPr>
          <w:color w:val="0B0B0B"/>
          <w:spacing w:val="-3"/>
        </w:rPr>
        <w:t>MPH, </w:t>
      </w:r>
      <w:r>
        <w:rPr>
          <w:color w:val="0B0B0B"/>
        </w:rPr>
        <w:t>University of North Carolina </w:t>
      </w:r>
      <w:r>
        <w:rPr>
          <w:color w:val="0B0B0B"/>
          <w:spacing w:val="-3"/>
        </w:rPr>
        <w:t>School of </w:t>
      </w:r>
      <w:r>
        <w:rPr>
          <w:color w:val="0B0B0B"/>
        </w:rPr>
        <w:t>Public Health, 1998; </w:t>
      </w:r>
      <w:r>
        <w:rPr>
          <w:color w:val="0B0B0B"/>
          <w:spacing w:val="-3"/>
        </w:rPr>
        <w:t>MD, </w:t>
      </w:r>
      <w:r>
        <w:rPr>
          <w:color w:val="0B0B0B"/>
        </w:rPr>
        <w:t>University of Pennsylvania </w:t>
      </w:r>
      <w:r>
        <w:rPr>
          <w:color w:val="0B0B0B"/>
          <w:spacing w:val="-3"/>
        </w:rPr>
        <w:t>School </w:t>
      </w:r>
      <w:r>
        <w:rPr>
          <w:color w:val="0B0B0B"/>
        </w:rPr>
        <w:t>of Medicine, 1995; </w:t>
      </w:r>
      <w:r>
        <w:rPr>
          <w:color w:val="0B0B0B"/>
          <w:spacing w:val="-3"/>
        </w:rPr>
        <w:t>BA, </w:t>
      </w:r>
      <w:r>
        <w:rPr>
          <w:color w:val="0B0B0B"/>
        </w:rPr>
        <w:t>University of Pennsylvania,</w:t>
      </w:r>
      <w:r>
        <w:rPr>
          <w:color w:val="0B0B0B"/>
          <w:spacing w:val="-10"/>
        </w:rPr>
        <w:t> </w:t>
      </w:r>
      <w:r>
        <w:rPr>
          <w:color w:val="0B0B0B"/>
        </w:rPr>
        <w:t>1991.</w:t>
      </w:r>
    </w:p>
    <w:p>
      <w:pPr>
        <w:pStyle w:val="BodyText"/>
        <w:spacing w:line="249" w:lineRule="auto" w:before="186"/>
        <w:ind w:left="199" w:right="712"/>
      </w:pPr>
      <w:r>
        <w:rPr>
          <w:b/>
          <w:color w:val="0B0B0B"/>
        </w:rPr>
        <w:t>Langenberg, Patricia</w:t>
      </w:r>
      <w:r>
        <w:rPr>
          <w:color w:val="0B0B0B"/>
        </w:rPr>
        <w:t>, (R), Professor Emeritus, Epidemiology and Public Health, School of Medicine. PhD, Temple University, 1978; MA, Temple University, 1975; BS, Iowa State University, 1953.</w:t>
      </w:r>
    </w:p>
    <w:p>
      <w:pPr>
        <w:pStyle w:val="BodyText"/>
        <w:spacing w:line="249" w:lineRule="auto" w:before="180"/>
        <w:ind w:left="199" w:right="727"/>
      </w:pPr>
      <w:r>
        <w:rPr>
          <w:b/>
          <w:color w:val="0B0B0B"/>
        </w:rPr>
        <w:t>Lapidus, Rena</w:t>
      </w:r>
      <w:r>
        <w:rPr>
          <w:color w:val="0B0B0B"/>
        </w:rPr>
        <w:t>, (R), Assistant Professor, Oncology, School of Medicine. PhD, University of Maryland School of Medicine, 1993; BA, Boston University, 1986.</w:t>
      </w:r>
    </w:p>
    <w:p>
      <w:pPr>
        <w:pStyle w:val="BodyText"/>
        <w:spacing w:line="249" w:lineRule="auto"/>
        <w:ind w:left="199" w:right="605"/>
      </w:pPr>
      <w:r>
        <w:rPr>
          <w:b/>
          <w:color w:val="0B0B0B"/>
        </w:rPr>
        <w:t>Laufer, Miriam</w:t>
      </w:r>
      <w:r>
        <w:rPr>
          <w:color w:val="0B0B0B"/>
        </w:rPr>
        <w:t>, (R), Associate Professor, Pediatrics, School of Medicine. MPH, Johns Hopkins University, 2007; MD, University of Pennsylvania, 1997; BA, Brown University, 1992.</w:t>
      </w:r>
    </w:p>
    <w:p>
      <w:pPr>
        <w:pStyle w:val="BodyText"/>
        <w:spacing w:line="249" w:lineRule="auto" w:before="181"/>
        <w:ind w:left="199" w:right="972"/>
      </w:pPr>
      <w:r>
        <w:rPr>
          <w:b/>
          <w:color w:val="0B0B0B"/>
        </w:rPr>
        <w:t>Lederer, Jonathan W.</w:t>
      </w:r>
      <w:r>
        <w:rPr>
          <w:color w:val="0B0B0B"/>
        </w:rPr>
        <w:t>, (R), Professor, Physiology, School of Medicine. MD, Yale University, 1976; PhD, Yale University, 1975; BA, Harvard University, 1970.</w:t>
      </w:r>
    </w:p>
    <w:p>
      <w:pPr>
        <w:pStyle w:val="BodyText"/>
        <w:spacing w:line="249" w:lineRule="auto" w:before="184"/>
        <w:ind w:left="199" w:right="761"/>
      </w:pPr>
      <w:r>
        <w:rPr>
          <w:b/>
          <w:color w:val="0B0B0B"/>
        </w:rPr>
        <w:t>Lee, Bethany</w:t>
      </w:r>
      <w:r>
        <w:rPr>
          <w:color w:val="0B0B0B"/>
        </w:rPr>
        <w:t>, (R), Associate Professor, School of Social Work. PhD, Washington University, 2007; MSW, Washington University, 1999; BA, Taylor University, 1996.</w:t>
      </w:r>
    </w:p>
    <w:p>
      <w:pPr>
        <w:pStyle w:val="BodyText"/>
        <w:spacing w:line="249" w:lineRule="auto" w:before="181"/>
        <w:ind w:left="199" w:right="689"/>
      </w:pPr>
      <w:r>
        <w:rPr>
          <w:b/>
          <w:color w:val="0B0B0B"/>
        </w:rPr>
        <w:t>Lee, Dustin, </w:t>
      </w:r>
      <w:r>
        <w:rPr>
          <w:color w:val="0B0B0B"/>
        </w:rPr>
        <w:t>(A), Patent Attorney, Office of Research and Development. BS, University of Michigan, 2008; JD, Michigan State University College of Law, 2013.</w:t>
      </w:r>
    </w:p>
    <w:p>
      <w:pPr>
        <w:spacing w:after="0" w:line="249" w:lineRule="auto"/>
        <w:sectPr>
          <w:pgSz w:w="12240" w:h="15840"/>
          <w:pgMar w:header="746" w:footer="0" w:top="1320" w:bottom="280" w:left="880" w:right="300"/>
          <w:cols w:num="2" w:equalWidth="0">
            <w:col w:w="4990" w:space="496"/>
            <w:col w:w="5574"/>
          </w:cols>
        </w:sectPr>
      </w:pPr>
    </w:p>
    <w:p>
      <w:pPr>
        <w:pStyle w:val="BodyText"/>
        <w:spacing w:line="249" w:lineRule="auto" w:before="100"/>
        <w:ind w:right="131"/>
      </w:pPr>
      <w:r>
        <w:rPr>
          <w:b/>
          <w:color w:val="0B0B0B"/>
        </w:rPr>
        <w:t>Leekha, Surbhi</w:t>
      </w:r>
      <w:r>
        <w:rPr>
          <w:color w:val="0B0B0B"/>
        </w:rPr>
        <w:t>, (A), Associate Professor, Epidemiology and Public Health, School of Medicine. MPH, University of Massachusetts, 2004; MBBS, All India Institute of Medical Sciences, 2002.</w:t>
      </w:r>
    </w:p>
    <w:p>
      <w:pPr>
        <w:pStyle w:val="BodyText"/>
        <w:spacing w:line="249" w:lineRule="auto" w:before="180"/>
        <w:ind w:right="20"/>
      </w:pPr>
      <w:r>
        <w:rPr>
          <w:b/>
          <w:color w:val="0B0B0B"/>
        </w:rPr>
        <w:t>Lehning, Amanda</w:t>
      </w:r>
      <w:r>
        <w:rPr>
          <w:color w:val="0B0B0B"/>
        </w:rPr>
        <w:t>, (A), Assistant Professor, School of Social Work. PhD, University of California, Berkeley, 2010; MSW, Bryn Mawr College, 2005; BA, University of Delaware, 2000.</w:t>
      </w:r>
    </w:p>
    <w:p>
      <w:pPr>
        <w:pStyle w:val="BodyText"/>
        <w:spacing w:line="249" w:lineRule="auto" w:before="186"/>
        <w:ind w:right="26"/>
      </w:pPr>
      <w:r>
        <w:rPr>
          <w:b/>
          <w:color w:val="0B0B0B"/>
        </w:rPr>
        <w:t>Lemaire, Gail</w:t>
      </w:r>
      <w:r>
        <w:rPr>
          <w:color w:val="0B0B0B"/>
        </w:rPr>
        <w:t>, (A), Associate Professor, Behavioral and Community Health, School of Nursing. PhD, University of Maryland, 1996; MS, University of Texas, 1978; BS, Boston University, 1971.</w:t>
      </w:r>
    </w:p>
    <w:p>
      <w:pPr>
        <w:pStyle w:val="BodyText"/>
        <w:spacing w:line="249" w:lineRule="auto" w:before="180"/>
        <w:ind w:right="154"/>
      </w:pPr>
      <w:r>
        <w:rPr>
          <w:b/>
          <w:color w:val="0B0B0B"/>
        </w:rPr>
        <w:t>Lerner, Nancy</w:t>
      </w:r>
      <w:r>
        <w:rPr>
          <w:color w:val="0B0B0B"/>
        </w:rPr>
        <w:t>, (A), Associate Professor, Organizational Systems and Adult Health, School of Nursing. DNP, University of Maryland, 2010, MS, University of Maryland, 1975, BS, University of Maryland, 1966.</w:t>
      </w:r>
    </w:p>
    <w:p>
      <w:pPr>
        <w:pStyle w:val="BodyText"/>
        <w:spacing w:line="249" w:lineRule="auto"/>
        <w:ind w:right="43"/>
      </w:pPr>
      <w:r>
        <w:rPr>
          <w:b/>
          <w:color w:val="0B0B0B"/>
        </w:rPr>
        <w:t>Lessans, Sherrie</w:t>
      </w:r>
      <w:r>
        <w:rPr>
          <w:color w:val="0B0B0B"/>
        </w:rPr>
        <w:t>, (A), Assistant Professor, Organizational Systems and Adult Health, School of Nursing. PhD, University of Maryland, 2010; MSN, University of North Carolina, 1986; BSN, Medical College of Virginia, 1978.</w:t>
      </w:r>
    </w:p>
    <w:p>
      <w:pPr>
        <w:pStyle w:val="BodyText"/>
        <w:spacing w:line="249" w:lineRule="auto" w:before="181"/>
        <w:ind w:right="48"/>
      </w:pPr>
      <w:r>
        <w:rPr>
          <w:b/>
          <w:color w:val="0B0B0B"/>
        </w:rPr>
        <w:t>Leventer, Marvin</w:t>
      </w:r>
      <w:r>
        <w:rPr>
          <w:color w:val="0B0B0B"/>
        </w:rPr>
        <w:t>, (A), Associate Professor, Pediatric Dentistry, School of Dentistry. DDS, Baltimore College of Dental Surgery, 1990, BA, Yeshiva University, 1985.</w:t>
      </w:r>
    </w:p>
    <w:p>
      <w:pPr>
        <w:pStyle w:val="BodyText"/>
        <w:spacing w:line="249" w:lineRule="auto"/>
        <w:ind w:right="76"/>
      </w:pPr>
      <w:r>
        <w:rPr>
          <w:b/>
          <w:color w:val="0B0B0B"/>
        </w:rPr>
        <w:t>Levine, Barry</w:t>
      </w:r>
      <w:r>
        <w:rPr>
          <w:color w:val="0B0B0B"/>
        </w:rPr>
        <w:t>, (R), Associate Professor, Pathology, School of Medicine. PhD, Virginia Commonwealth University, 1982; BS, Loyola College, 1978.</w:t>
      </w:r>
    </w:p>
    <w:p>
      <w:pPr>
        <w:pStyle w:val="BodyText"/>
        <w:spacing w:line="249" w:lineRule="auto" w:before="179"/>
        <w:ind w:right="70"/>
      </w:pPr>
      <w:r>
        <w:rPr>
          <w:b/>
          <w:color w:val="0B0B0B"/>
        </w:rPr>
        <w:t>Levine, Myron</w:t>
      </w:r>
      <w:r>
        <w:rPr>
          <w:color w:val="0B0B0B"/>
        </w:rPr>
        <w:t>, (R), Professor, Microbiology and Immunology, School of Medicine. DTPH, London School of Hygiene and Tropical Medicine, 1974; MD, Medical College of Virginia, 1967; BS, City College of New York, 1963.</w:t>
      </w:r>
    </w:p>
    <w:p>
      <w:pPr>
        <w:pStyle w:val="BodyText"/>
        <w:spacing w:line="249" w:lineRule="auto" w:before="186"/>
        <w:ind w:right="559"/>
      </w:pPr>
      <w:r>
        <w:rPr>
          <w:b/>
          <w:color w:val="0B0B0B"/>
        </w:rPr>
        <w:t>Levy, Bernard</w:t>
      </w:r>
      <w:r>
        <w:rPr>
          <w:color w:val="0B0B0B"/>
        </w:rPr>
        <w:t>, (R), Associate Professor, Oral and Experimental Pathology, School of Dentistry. MSD, Indiana University, 1969. DDS, Western Reserve University, 1966. AB, Ohio University, 1963.</w:t>
      </w:r>
    </w:p>
    <w:p>
      <w:pPr>
        <w:pStyle w:val="BodyText"/>
        <w:spacing w:line="249" w:lineRule="auto" w:before="181"/>
        <w:ind w:right="192"/>
      </w:pPr>
      <w:r>
        <w:rPr>
          <w:b/>
          <w:color w:val="0B0B0B"/>
        </w:rPr>
        <w:t>Lewis, Ericka M.</w:t>
      </w:r>
      <w:r>
        <w:rPr>
          <w:color w:val="0B0B0B"/>
        </w:rPr>
        <w:t>, (A), Assistant Professor, School of Social Work. PhD, Washington University, 2017; MSW, Georgia State University, 2008; BA, University of West Virginia, 2005.</w:t>
      </w:r>
    </w:p>
    <w:p>
      <w:pPr>
        <w:pStyle w:val="BodyText"/>
        <w:spacing w:line="249" w:lineRule="auto"/>
        <w:ind w:right="20"/>
      </w:pPr>
      <w:r>
        <w:rPr>
          <w:b/>
          <w:color w:val="0B0B0B"/>
        </w:rPr>
        <w:t>Lewis, George</w:t>
      </w:r>
      <w:r>
        <w:rPr>
          <w:color w:val="0B0B0B"/>
        </w:rPr>
        <w:t>, (R), Professor, Microbiology and Immunology, School of Medicine. PhD, University of California, 1973; MA, University of California, 1969; BM, University of Hawaii, 1966.</w:t>
      </w:r>
    </w:p>
    <w:p>
      <w:pPr>
        <w:spacing w:before="181"/>
        <w:ind w:left="200" w:right="0" w:firstLine="0"/>
        <w:jc w:val="left"/>
        <w:rPr>
          <w:sz w:val="20"/>
        </w:rPr>
      </w:pPr>
      <w:r>
        <w:rPr>
          <w:b/>
          <w:color w:val="0B0B0B"/>
          <w:sz w:val="20"/>
        </w:rPr>
        <w:t>Lewis, Joshua</w:t>
      </w:r>
      <w:r>
        <w:rPr>
          <w:color w:val="0B0B0B"/>
          <w:sz w:val="20"/>
        </w:rPr>
        <w:t>, (A), Assistant Professor, School of</w:t>
      </w:r>
    </w:p>
    <w:p>
      <w:pPr>
        <w:pStyle w:val="BodyText"/>
        <w:spacing w:line="249" w:lineRule="auto" w:before="96"/>
        <w:ind w:right="782"/>
      </w:pPr>
      <w:r>
        <w:rPr/>
        <w:br w:type="column"/>
      </w:r>
      <w:r>
        <w:rPr>
          <w:color w:val="0B0B0B"/>
        </w:rPr>
        <w:t>Medicine. PhD, Wake Forest University, 2009; BS, State University of New York, 2004.</w:t>
      </w:r>
    </w:p>
    <w:p>
      <w:pPr>
        <w:pStyle w:val="BodyText"/>
        <w:spacing w:line="249" w:lineRule="auto" w:before="179"/>
        <w:ind w:right="809"/>
      </w:pPr>
      <w:r>
        <w:rPr>
          <w:b/>
          <w:color w:val="0B0B0B"/>
        </w:rPr>
        <w:t>Li, Ling, </w:t>
      </w:r>
      <w:r>
        <w:rPr>
          <w:color w:val="0B0B0B"/>
        </w:rPr>
        <w:t>(S), Associate Professor, Department of Pathology, School of Medicine. MM, Tongji Medical University, 1986; BM, Tongji Medical University, 1982.</w:t>
      </w:r>
    </w:p>
    <w:p>
      <w:pPr>
        <w:pStyle w:val="BodyText"/>
        <w:spacing w:line="249" w:lineRule="auto"/>
        <w:ind w:right="776"/>
      </w:pPr>
      <w:r>
        <w:rPr>
          <w:b/>
          <w:color w:val="0B0B0B"/>
        </w:rPr>
        <w:t>Liang, Yuanyuan</w:t>
      </w:r>
      <w:r>
        <w:rPr>
          <w:color w:val="0B0B0B"/>
        </w:rPr>
        <w:t>, (R), Professor, Epidemiology and Public Health, School of Medicine. PhD, University of Alberta Edmonton, 2006; MS, 2003; BS, Beijing Normal University, 2000.</w:t>
      </w:r>
    </w:p>
    <w:p>
      <w:pPr>
        <w:pStyle w:val="BodyText"/>
        <w:spacing w:line="249" w:lineRule="auto" w:before="180"/>
        <w:ind w:right="893"/>
      </w:pPr>
      <w:r>
        <w:rPr>
          <w:b/>
          <w:color w:val="0B0B0B"/>
        </w:rPr>
        <w:t>Liang, Yulan, </w:t>
      </w:r>
      <w:r>
        <w:rPr>
          <w:color w:val="0B0B0B"/>
        </w:rPr>
        <w:t>(R), Associate Professor, Organizational Systems and Adult Health, School of Nursing. PhD, University of Memphis, 2003; MS, University of Memphis, 2001; BS, HeBei University, 1998.</w:t>
      </w:r>
    </w:p>
    <w:p>
      <w:pPr>
        <w:pStyle w:val="BodyText"/>
        <w:spacing w:line="249" w:lineRule="auto"/>
        <w:ind w:right="609"/>
      </w:pPr>
      <w:r>
        <w:rPr>
          <w:b/>
          <w:color w:val="0B0B0B"/>
        </w:rPr>
        <w:t>Liggett, Stephen</w:t>
      </w:r>
      <w:r>
        <w:rPr>
          <w:color w:val="0B0B0B"/>
        </w:rPr>
        <w:t>, (R), Professor, Medicine and Physiology, School of Medicine. MD, University of Miami School of Medicine, 1982; BS, Georgia Institute of Technology, 1977.</w:t>
      </w:r>
    </w:p>
    <w:p>
      <w:pPr>
        <w:pStyle w:val="BodyText"/>
        <w:spacing w:line="249" w:lineRule="auto" w:before="181"/>
        <w:ind w:right="929"/>
        <w:jc w:val="both"/>
      </w:pPr>
      <w:r>
        <w:rPr>
          <w:b/>
          <w:color w:val="0B0B0B"/>
        </w:rPr>
        <w:t>Lilly, Flavius, </w:t>
      </w:r>
      <w:r>
        <w:rPr>
          <w:color w:val="0B0B0B"/>
        </w:rPr>
        <w:t>(A), Graduate School. BS, Wright State University, 1998; MPH, Drexel University, 2000; MA, University of Maryland, Baltimore County, 2013; PhD, University of Maryland, Baltimore County, 2015.</w:t>
      </w:r>
    </w:p>
    <w:p>
      <w:pPr>
        <w:pStyle w:val="BodyText"/>
        <w:spacing w:line="249" w:lineRule="auto"/>
        <w:ind w:right="605"/>
      </w:pPr>
      <w:r>
        <w:rPr>
          <w:b/>
          <w:color w:val="0B0B0B"/>
        </w:rPr>
        <w:t>Lilly, Michael</w:t>
      </w:r>
      <w:r>
        <w:rPr>
          <w:color w:val="0B0B0B"/>
        </w:rPr>
        <w:t>, (A), Associate Professor, Surgery, School of Medicine. MD, Georgetown University, 1978; MA, Columbia University, 1974; BA, College of Holy Cross, 1973.</w:t>
      </w:r>
    </w:p>
    <w:p>
      <w:pPr>
        <w:pStyle w:val="BodyText"/>
        <w:spacing w:line="249" w:lineRule="auto" w:before="181"/>
        <w:ind w:right="610"/>
      </w:pPr>
      <w:r>
        <w:rPr>
          <w:b/>
          <w:color w:val="0B0B0B"/>
        </w:rPr>
        <w:t>Limkangwalmongkol, Penwadee</w:t>
      </w:r>
      <w:r>
        <w:rPr>
          <w:color w:val="0B0B0B"/>
        </w:rPr>
        <w:t>, (A), Assistant Professor, Biomedical Sciences, School of Dentistry. DDS, Prince of Songkhla University, Thailand, 1995; MS, Ohio State University, 2002.</w:t>
      </w:r>
    </w:p>
    <w:p>
      <w:pPr>
        <w:pStyle w:val="BodyText"/>
        <w:spacing w:line="249" w:lineRule="auto"/>
        <w:ind w:right="807"/>
      </w:pPr>
      <w:r>
        <w:rPr>
          <w:b/>
          <w:color w:val="0B0B0B"/>
        </w:rPr>
        <w:t>Lin, Jiayuh</w:t>
      </w:r>
      <w:r>
        <w:rPr>
          <w:color w:val="0B0B0B"/>
        </w:rPr>
        <w:t>, Professor, Biochemistry and Molecular Biology, School of Medicine.</w:t>
      </w:r>
    </w:p>
    <w:p>
      <w:pPr>
        <w:pStyle w:val="BodyText"/>
        <w:spacing w:line="249" w:lineRule="auto" w:before="179"/>
        <w:ind w:right="641"/>
      </w:pPr>
      <w:r>
        <w:rPr>
          <w:b/>
          <w:color w:val="0B0B0B"/>
        </w:rPr>
        <w:t>Lin, Ping-I</w:t>
      </w:r>
      <w:r>
        <w:rPr>
          <w:color w:val="0B0B0B"/>
        </w:rPr>
        <w:t>, (A), Assistant Professor, Molecular Medicine, </w:t>
      </w:r>
      <w:r>
        <w:rPr>
          <w:color w:val="0B0B0B"/>
          <w:spacing w:val="-2"/>
        </w:rPr>
        <w:t>School </w:t>
      </w:r>
      <w:r>
        <w:rPr>
          <w:color w:val="0B0B0B"/>
        </w:rPr>
        <w:t>of Medicine. PhD, Johns Hopkins University, 2005; </w:t>
      </w:r>
      <w:r>
        <w:rPr>
          <w:color w:val="0B0B0B"/>
          <w:spacing w:val="-3"/>
        </w:rPr>
        <w:t>MHS, </w:t>
      </w:r>
      <w:r>
        <w:rPr>
          <w:color w:val="0B0B0B"/>
        </w:rPr>
        <w:t>Johns Hopkins University, 2002; MD, National Taiwan University,</w:t>
      </w:r>
      <w:r>
        <w:rPr>
          <w:color w:val="0B0B0B"/>
          <w:spacing w:val="4"/>
        </w:rPr>
        <w:t> </w:t>
      </w:r>
      <w:r>
        <w:rPr>
          <w:color w:val="0B0B0B"/>
        </w:rPr>
        <w:t>1998.</w:t>
      </w:r>
    </w:p>
    <w:p>
      <w:pPr>
        <w:pStyle w:val="BodyText"/>
        <w:spacing w:line="249" w:lineRule="auto" w:before="186"/>
        <w:ind w:right="617"/>
      </w:pPr>
      <w:r>
        <w:rPr>
          <w:b/>
          <w:color w:val="0B0B0B"/>
        </w:rPr>
        <w:t>Lindberg, </w:t>
      </w:r>
      <w:r>
        <w:rPr>
          <w:b/>
          <w:color w:val="0B0B0B"/>
          <w:spacing w:val="-3"/>
        </w:rPr>
        <w:t>Iris</w:t>
      </w:r>
      <w:r>
        <w:rPr>
          <w:color w:val="0B0B0B"/>
          <w:spacing w:val="-3"/>
        </w:rPr>
        <w:t>, </w:t>
      </w:r>
      <w:r>
        <w:rPr>
          <w:color w:val="0B0B0B"/>
        </w:rPr>
        <w:t>(R), Professor, Anatomy and Neurobiology, </w:t>
      </w:r>
      <w:r>
        <w:rPr>
          <w:color w:val="0B0B0B"/>
          <w:spacing w:val="-2"/>
        </w:rPr>
        <w:t>School </w:t>
      </w:r>
      <w:r>
        <w:rPr>
          <w:color w:val="0B0B0B"/>
        </w:rPr>
        <w:t>of Medicine. </w:t>
      </w:r>
      <w:r>
        <w:rPr>
          <w:color w:val="0B0B0B"/>
          <w:spacing w:val="-3"/>
        </w:rPr>
        <w:t>PhD, </w:t>
      </w:r>
      <w:r>
        <w:rPr>
          <w:color w:val="0B0B0B"/>
        </w:rPr>
        <w:t>University of Wisconsin-Madison Medical </w:t>
      </w:r>
      <w:r>
        <w:rPr>
          <w:color w:val="0B0B0B"/>
          <w:spacing w:val="-3"/>
        </w:rPr>
        <w:t>School, </w:t>
      </w:r>
      <w:r>
        <w:rPr>
          <w:color w:val="0B0B0B"/>
        </w:rPr>
        <w:t>1980; </w:t>
      </w:r>
      <w:r>
        <w:rPr>
          <w:color w:val="0B0B0B"/>
          <w:spacing w:val="-3"/>
        </w:rPr>
        <w:t>BA, </w:t>
      </w:r>
      <w:r>
        <w:rPr>
          <w:color w:val="0B0B0B"/>
        </w:rPr>
        <w:t>University of California, </w:t>
      </w:r>
      <w:r>
        <w:rPr>
          <w:color w:val="0B0B0B"/>
          <w:spacing w:val="-3"/>
        </w:rPr>
        <w:t>Berkeley,</w:t>
      </w:r>
      <w:r>
        <w:rPr>
          <w:color w:val="0B0B0B"/>
          <w:spacing w:val="8"/>
        </w:rPr>
        <w:t> </w:t>
      </w:r>
      <w:r>
        <w:rPr>
          <w:color w:val="0B0B0B"/>
        </w:rPr>
        <w:t>1975.</w:t>
      </w:r>
    </w:p>
    <w:p>
      <w:pPr>
        <w:pStyle w:val="BodyText"/>
        <w:spacing w:line="249" w:lineRule="auto" w:before="180"/>
        <w:ind w:right="573"/>
      </w:pPr>
      <w:r>
        <w:rPr>
          <w:b/>
          <w:color w:val="0B0B0B"/>
        </w:rPr>
        <w:t>Lipinski, Marta</w:t>
      </w:r>
      <w:r>
        <w:rPr>
          <w:color w:val="0B0B0B"/>
        </w:rPr>
        <w:t>, (R), Assistant Professor, Anesthesiology, School of Medicine. PhD, Massachusetts Institute of Technology, 2002; BA, Indiana University, 1995.</w:t>
      </w:r>
    </w:p>
    <w:p>
      <w:pPr>
        <w:pStyle w:val="BodyText"/>
        <w:spacing w:line="249" w:lineRule="auto"/>
      </w:pPr>
      <w:r>
        <w:rPr>
          <w:b/>
          <w:color w:val="0B0B0B"/>
        </w:rPr>
        <w:t>Lipsky Jr., Michael</w:t>
      </w:r>
      <w:r>
        <w:rPr>
          <w:color w:val="0B0B0B"/>
        </w:rPr>
        <w:t>, (R), Professor, Pathology, School of Medicine. PhD, University of Maryland, 1979, BS,</w:t>
      </w:r>
    </w:p>
    <w:p>
      <w:pPr>
        <w:spacing w:after="0" w:line="249" w:lineRule="auto"/>
        <w:sectPr>
          <w:pgSz w:w="12240" w:h="15840"/>
          <w:pgMar w:header="746" w:footer="0" w:top="1320" w:bottom="280" w:left="880" w:right="300"/>
          <w:cols w:num="2" w:equalWidth="0">
            <w:col w:w="4968" w:space="518"/>
            <w:col w:w="5574"/>
          </w:cols>
        </w:sectPr>
      </w:pPr>
    </w:p>
    <w:p>
      <w:pPr>
        <w:pStyle w:val="BodyText"/>
        <w:spacing w:before="100"/>
      </w:pPr>
      <w:r>
        <w:rPr>
          <w:color w:val="0B0B0B"/>
        </w:rPr>
        <w:t>Villanova University, 1973.</w:t>
      </w:r>
    </w:p>
    <w:p>
      <w:pPr>
        <w:pStyle w:val="BodyText"/>
        <w:spacing w:line="249" w:lineRule="auto" w:before="187"/>
        <w:ind w:right="14"/>
      </w:pPr>
      <w:r>
        <w:rPr>
          <w:b/>
          <w:color w:val="0B0B0B"/>
        </w:rPr>
        <w:t>Litkowski, Leonard</w:t>
      </w:r>
      <w:r>
        <w:rPr>
          <w:color w:val="0B0B0B"/>
        </w:rPr>
        <w:t>, (A), Associate Professor, Restorative Dentistry, School of Dentistry. DDS, University of Maryland, 1985; MS, University of Maryland, 1983; BS, University of Maryland, 1976.</w:t>
      </w:r>
    </w:p>
    <w:p>
      <w:pPr>
        <w:pStyle w:val="BodyText"/>
        <w:spacing w:line="249" w:lineRule="auto" w:before="186"/>
        <w:ind w:left="199" w:right="471"/>
      </w:pPr>
      <w:r>
        <w:rPr>
          <w:b/>
          <w:color w:val="0B0B0B"/>
        </w:rPr>
        <w:t>Little, Samuel</w:t>
      </w:r>
      <w:r>
        <w:rPr>
          <w:color w:val="0B0B0B"/>
        </w:rPr>
        <w:t>, (A), Assistant Dean, School of Social Work. PhD, University of Maryland, 1986, MSW, University of Pennsylvania, 1974, BA, Morgan State University, 1972.</w:t>
      </w:r>
    </w:p>
    <w:p>
      <w:pPr>
        <w:pStyle w:val="BodyText"/>
        <w:spacing w:line="249" w:lineRule="auto" w:before="180"/>
        <w:ind w:left="199" w:right="31"/>
      </w:pPr>
      <w:r>
        <w:rPr>
          <w:b/>
          <w:color w:val="0B0B0B"/>
        </w:rPr>
        <w:t>Litwack, David E.</w:t>
      </w:r>
      <w:r>
        <w:rPr>
          <w:color w:val="0B0B0B"/>
        </w:rPr>
        <w:t>, (A), Assistant Professor, Anatomy and Neurobiology, School of Medicine. PhD, Massachusetts Institute of Technology, 1995; BS, University of Chicago, 1988.</w:t>
      </w:r>
    </w:p>
    <w:p>
      <w:pPr>
        <w:pStyle w:val="BodyText"/>
        <w:spacing w:line="249" w:lineRule="auto"/>
        <w:ind w:left="199" w:right="326"/>
      </w:pPr>
      <w:r>
        <w:rPr>
          <w:b/>
          <w:color w:val="0B0B0B"/>
        </w:rPr>
        <w:t>Liu, Shaolin</w:t>
      </w:r>
      <w:r>
        <w:rPr>
          <w:color w:val="0B0B0B"/>
        </w:rPr>
        <w:t>, (A), Assistant Professor, Anatomy and Neurobiology, School of Medicine. PhD, Peking Union Medical College, 1998; MS, Jiangxi Medical College, 1995; BS, Gannan Medical College, 1989.</w:t>
      </w:r>
    </w:p>
    <w:p>
      <w:pPr>
        <w:pStyle w:val="BodyText"/>
        <w:spacing w:line="249" w:lineRule="auto" w:before="181"/>
        <w:ind w:left="199" w:right="43"/>
      </w:pPr>
      <w:r>
        <w:rPr>
          <w:b/>
          <w:color w:val="0B0B0B"/>
        </w:rPr>
        <w:t>Livak, Ferenc</w:t>
      </w:r>
      <w:r>
        <w:rPr>
          <w:color w:val="0B0B0B"/>
        </w:rPr>
        <w:t>, (R), Assistant Professor, Microbiology and Immunology, School of Medicine. MD, Semmelweis University School of Medicine Budapest, Hungary, 1988.</w:t>
      </w:r>
    </w:p>
    <w:p>
      <w:pPr>
        <w:pStyle w:val="BodyText"/>
        <w:spacing w:line="249" w:lineRule="auto"/>
        <w:ind w:left="199" w:right="54"/>
      </w:pPr>
      <w:r>
        <w:rPr>
          <w:b/>
          <w:color w:val="0B0B0B"/>
        </w:rPr>
        <w:t>Loane, David</w:t>
      </w:r>
      <w:r>
        <w:rPr>
          <w:color w:val="0B0B0B"/>
        </w:rPr>
        <w:t>, (A), Assistant Professor, Anesthesiology, School of Medicine. PhD, University of Bristol, 2005; BA, University of Dublin, 2000.</w:t>
      </w:r>
    </w:p>
    <w:p>
      <w:pPr>
        <w:pStyle w:val="BodyText"/>
        <w:spacing w:line="249" w:lineRule="auto" w:before="179"/>
        <w:ind w:left="199" w:right="159"/>
      </w:pPr>
      <w:r>
        <w:rPr>
          <w:b/>
          <w:color w:val="0B0B0B"/>
        </w:rPr>
        <w:t>Lobo, Mary Kay</w:t>
      </w:r>
      <w:r>
        <w:rPr>
          <w:color w:val="0B0B0B"/>
        </w:rPr>
        <w:t>, (R), Assistant Professor, Anatomy and Neurobiology, School of Medicine. PhD, University of California, Los Angeles, 2007; BS, University of California, Los Angeles, 1998.</w:t>
      </w:r>
    </w:p>
    <w:p>
      <w:pPr>
        <w:pStyle w:val="BodyText"/>
        <w:spacing w:line="249" w:lineRule="auto" w:before="186"/>
        <w:ind w:left="199" w:right="126"/>
      </w:pPr>
      <w:r>
        <w:rPr>
          <w:b/>
          <w:color w:val="0B0B0B"/>
        </w:rPr>
        <w:t>Loffredo, Christopher</w:t>
      </w:r>
      <w:r>
        <w:rPr>
          <w:color w:val="0B0B0B"/>
        </w:rPr>
        <w:t>, (R), Adjunct Assistant Professor, Epidemiology and Public Health, School of Medicine.</w:t>
      </w:r>
    </w:p>
    <w:p>
      <w:pPr>
        <w:pStyle w:val="BodyText"/>
        <w:spacing w:line="249" w:lineRule="auto" w:before="1"/>
        <w:ind w:left="199" w:right="382"/>
      </w:pPr>
      <w:r>
        <w:rPr>
          <w:color w:val="0B0B0B"/>
        </w:rPr>
        <w:t>PhD, University of Maryland, 1996; MS, University </w:t>
      </w:r>
      <w:r>
        <w:rPr>
          <w:color w:val="0B0B0B"/>
          <w:spacing w:val="-3"/>
        </w:rPr>
        <w:t>of </w:t>
      </w:r>
      <w:r>
        <w:rPr>
          <w:color w:val="0B0B0B"/>
        </w:rPr>
        <w:t>Maryland, 1985; </w:t>
      </w:r>
      <w:r>
        <w:rPr>
          <w:color w:val="0B0B0B"/>
          <w:spacing w:val="-3"/>
        </w:rPr>
        <w:t>BA, </w:t>
      </w:r>
      <w:r>
        <w:rPr>
          <w:color w:val="0B0B0B"/>
        </w:rPr>
        <w:t>Hartwick College,</w:t>
      </w:r>
      <w:r>
        <w:rPr>
          <w:color w:val="0B0B0B"/>
          <w:spacing w:val="8"/>
        </w:rPr>
        <w:t> </w:t>
      </w:r>
      <w:r>
        <w:rPr>
          <w:color w:val="0B0B0B"/>
        </w:rPr>
        <w:t>1982.</w:t>
      </w:r>
    </w:p>
    <w:p>
      <w:pPr>
        <w:pStyle w:val="BodyText"/>
        <w:spacing w:line="249" w:lineRule="auto" w:before="179"/>
        <w:ind w:left="199"/>
      </w:pPr>
      <w:r>
        <w:rPr>
          <w:b/>
          <w:color w:val="0B0B0B"/>
        </w:rPr>
        <w:t>Lovering, Richard</w:t>
      </w:r>
      <w:r>
        <w:rPr>
          <w:color w:val="0B0B0B"/>
        </w:rPr>
        <w:t>, (A), Assistant Professor, </w:t>
      </w:r>
      <w:r>
        <w:rPr>
          <w:color w:val="0B0B0B"/>
          <w:spacing w:val="-3"/>
        </w:rPr>
        <w:t>Physiology, </w:t>
      </w:r>
      <w:r>
        <w:rPr>
          <w:color w:val="0B0B0B"/>
          <w:spacing w:val="-2"/>
        </w:rPr>
        <w:t>School </w:t>
      </w:r>
      <w:r>
        <w:rPr>
          <w:color w:val="0B0B0B"/>
        </w:rPr>
        <w:t>of Medicine. PhD, University of Maryland, Baltimore, 2003; </w:t>
      </w:r>
      <w:r>
        <w:rPr>
          <w:color w:val="0B0B0B"/>
          <w:spacing w:val="-3"/>
        </w:rPr>
        <w:t>BS, Boston </w:t>
      </w:r>
      <w:r>
        <w:rPr>
          <w:color w:val="0B0B0B"/>
        </w:rPr>
        <w:t>University,</w:t>
      </w:r>
      <w:r>
        <w:rPr>
          <w:color w:val="0B0B0B"/>
          <w:spacing w:val="24"/>
        </w:rPr>
        <w:t> </w:t>
      </w:r>
      <w:r>
        <w:rPr>
          <w:color w:val="0B0B0B"/>
        </w:rPr>
        <w:t>1986.</w:t>
      </w:r>
    </w:p>
    <w:p>
      <w:pPr>
        <w:pStyle w:val="BodyText"/>
        <w:spacing w:line="249" w:lineRule="auto"/>
        <w:ind w:left="199" w:right="87"/>
      </w:pPr>
      <w:r>
        <w:rPr>
          <w:b/>
          <w:color w:val="0B0B0B"/>
        </w:rPr>
        <w:t>Lu, Wuyuan</w:t>
      </w:r>
      <w:r>
        <w:rPr>
          <w:color w:val="0B0B0B"/>
        </w:rPr>
        <w:t>, (R), Professor, Biochemistry and Molecular Biology, School of Medicine. PhD, Purdue University, 1994; MS, Nanjing University, 1989; BS, Nanjing University, 1984.</w:t>
      </w:r>
    </w:p>
    <w:p>
      <w:pPr>
        <w:pStyle w:val="BodyText"/>
        <w:spacing w:line="249" w:lineRule="auto" w:before="180"/>
        <w:ind w:left="199" w:right="76"/>
      </w:pPr>
      <w:r>
        <w:rPr>
          <w:b/>
          <w:color w:val="0B0B0B"/>
        </w:rPr>
        <w:t>Lu-Chang, A-Lien</w:t>
      </w:r>
      <w:r>
        <w:rPr>
          <w:color w:val="0B0B0B"/>
        </w:rPr>
        <w:t>, (R), Professor, Biochemistry and Molecular Biology, School of Medicine. PhD, University of North Carolina, 1980; MS, National Taiwan University, 1973; BS, National Taiwan University, 1971.</w:t>
      </w:r>
    </w:p>
    <w:p>
      <w:pPr>
        <w:pStyle w:val="BodyText"/>
        <w:spacing w:line="249" w:lineRule="auto" w:before="186"/>
        <w:ind w:left="199" w:right="398"/>
      </w:pPr>
      <w:r>
        <w:rPr>
          <w:b/>
          <w:color w:val="0B0B0B"/>
        </w:rPr>
        <w:t>Ludeman, Emilie, </w:t>
      </w:r>
      <w:r>
        <w:rPr>
          <w:color w:val="0B0B0B"/>
        </w:rPr>
        <w:t>(A), Librarian. BA, The College of Wooster, 2002; MSLIS, Drexel University, 2009.</w:t>
      </w:r>
    </w:p>
    <w:p>
      <w:pPr>
        <w:pStyle w:val="BodyText"/>
        <w:spacing w:line="249" w:lineRule="auto" w:before="96"/>
        <w:ind w:left="199" w:right="684"/>
      </w:pPr>
      <w:r>
        <w:rPr/>
        <w:br w:type="column"/>
      </w:r>
      <w:r>
        <w:rPr>
          <w:b/>
          <w:color w:val="0B0B0B"/>
        </w:rPr>
        <w:t>Lukashevich, Igor</w:t>
      </w:r>
      <w:r>
        <w:rPr>
          <w:color w:val="0B0B0B"/>
        </w:rPr>
        <w:t>, (A), Associate Professor, Microbiology and Immunology, School of Medicine. DrSci, Institute of Virology Academy of Medical Science, 1987; PhD, Institute of Virology Academy of Medical Science, 1976; MD, Minsk Medical Institute, 1973.</w:t>
      </w:r>
    </w:p>
    <w:p>
      <w:pPr>
        <w:pStyle w:val="BodyText"/>
        <w:spacing w:line="249" w:lineRule="auto" w:before="181"/>
        <w:ind w:left="199" w:right="807"/>
      </w:pPr>
      <w:r>
        <w:rPr>
          <w:b/>
          <w:color w:val="0B0B0B"/>
        </w:rPr>
        <w:t>Lum, Peter</w:t>
      </w:r>
      <w:r>
        <w:rPr>
          <w:color w:val="0B0B0B"/>
        </w:rPr>
        <w:t>, (S), Professor, Biomedical Engineering, School of Medicine. PhD, University of California, Berkeley, 1993; MS, California Institute of Technology, 1988; BS, George Washington University, 1987.</w:t>
      </w:r>
    </w:p>
    <w:p>
      <w:pPr>
        <w:pStyle w:val="BodyText"/>
        <w:spacing w:line="249" w:lineRule="auto"/>
        <w:ind w:left="199" w:right="849"/>
      </w:pPr>
      <w:r>
        <w:rPr>
          <w:b/>
          <w:color w:val="0B0B0B"/>
        </w:rPr>
        <w:t>Macek, Mark D.</w:t>
      </w:r>
      <w:r>
        <w:rPr>
          <w:color w:val="0B0B0B"/>
        </w:rPr>
        <w:t>, (A), Assistant Professor, Health Promotion and Policy, School of Dentistry. DrPH, University of Michigan School of Public Health, 1998; MPH, University of Illinois at Chicago School of Public Health, 1994; DDS, University of Nebraska Medical Center College of Dentistry, 1989.</w:t>
      </w:r>
    </w:p>
    <w:p>
      <w:pPr>
        <w:pStyle w:val="BodyText"/>
        <w:spacing w:line="249" w:lineRule="auto" w:before="182"/>
        <w:ind w:right="573"/>
      </w:pPr>
      <w:r>
        <w:rPr>
          <w:b/>
          <w:color w:val="0B0B0B"/>
        </w:rPr>
        <w:t>MacKenzie, Colin</w:t>
      </w:r>
      <w:r>
        <w:rPr>
          <w:color w:val="0B0B0B"/>
        </w:rPr>
        <w:t>, (R), Professor, Anesthesiology, School of Medicine. MD, Aberdeen University, 1968.</w:t>
      </w:r>
    </w:p>
    <w:p>
      <w:pPr>
        <w:pStyle w:val="BodyText"/>
        <w:spacing w:line="249" w:lineRule="auto" w:before="184"/>
        <w:ind w:left="199" w:right="612"/>
      </w:pPr>
      <w:r>
        <w:rPr>
          <w:b/>
          <w:color w:val="0B0B0B"/>
        </w:rPr>
        <w:t>MacKerell Jr., Alexander</w:t>
      </w:r>
      <w:r>
        <w:rPr>
          <w:color w:val="0B0B0B"/>
        </w:rPr>
        <w:t>, (R), Professor, Pharmaceutical Sciences, School of Pharmacy. PhD, Rutgers University, 1985; BS, University of Hawaii, 1981.</w:t>
      </w:r>
    </w:p>
    <w:p>
      <w:pPr>
        <w:pStyle w:val="BodyText"/>
        <w:spacing w:line="249" w:lineRule="auto" w:before="180"/>
        <w:ind w:left="199" w:right="838"/>
      </w:pPr>
      <w:r>
        <w:rPr>
          <w:b/>
          <w:color w:val="0B0B0B"/>
        </w:rPr>
        <w:t>Macko, Richard</w:t>
      </w:r>
      <w:r>
        <w:rPr>
          <w:color w:val="0B0B0B"/>
        </w:rPr>
        <w:t>, (R), Professor, Neurology, School of Medicine. MD, Ohio State University, 1987; BA, Hiram College, 1979.</w:t>
      </w:r>
    </w:p>
    <w:p>
      <w:pPr>
        <w:pStyle w:val="BodyText"/>
        <w:spacing w:line="249" w:lineRule="auto"/>
        <w:ind w:left="199" w:right="699"/>
      </w:pPr>
      <w:r>
        <w:rPr>
          <w:b/>
          <w:color w:val="0B0B0B"/>
        </w:rPr>
        <w:t>MacVittie, Thomas</w:t>
      </w:r>
      <w:r>
        <w:rPr>
          <w:color w:val="0B0B0B"/>
        </w:rPr>
        <w:t>, (R), Professor, Pathology, School of Medicine. PhD, State University of New York, 1970; MS, State University of New York, 1966; BA, Alfred University, 1964.</w:t>
      </w:r>
    </w:p>
    <w:p>
      <w:pPr>
        <w:pStyle w:val="BodyText"/>
        <w:spacing w:line="249" w:lineRule="auto" w:before="180"/>
        <w:ind w:left="199" w:right="672"/>
      </w:pPr>
      <w:r>
        <w:rPr>
          <w:b/>
          <w:color w:val="0B0B0B"/>
        </w:rPr>
        <w:t>Magaziner, Jay</w:t>
      </w:r>
      <w:r>
        <w:rPr>
          <w:color w:val="0B0B0B"/>
        </w:rPr>
        <w:t>, (R), Professor, Epidemiology and Public Health, School of Medicine. MS, University of Pittsburgh, 1982; PhD, University of Chicago, 1980; BA, Case Western Reserve University, 1970.</w:t>
      </w:r>
    </w:p>
    <w:p>
      <w:pPr>
        <w:pStyle w:val="BodyText"/>
        <w:spacing w:line="249" w:lineRule="auto" w:before="186"/>
        <w:ind w:left="199" w:right="844"/>
      </w:pPr>
      <w:r>
        <w:rPr>
          <w:b/>
          <w:color w:val="0B0B0B"/>
        </w:rPr>
        <w:t>Magder, Laurence</w:t>
      </w:r>
      <w:r>
        <w:rPr>
          <w:color w:val="0B0B0B"/>
        </w:rPr>
        <w:t>, (R), Professor, Epidemiology and Public Health, School of Medicine. PhD, Johns Hopkins University, 1994; MPH, University of Michigan, 1982; BA, Michigan State University, 1976.</w:t>
      </w:r>
    </w:p>
    <w:p>
      <w:pPr>
        <w:pStyle w:val="BodyText"/>
        <w:spacing w:line="249" w:lineRule="auto" w:before="180"/>
        <w:ind w:left="199" w:right="939"/>
      </w:pPr>
      <w:r>
        <w:rPr>
          <w:b/>
          <w:color w:val="0B0B0B"/>
        </w:rPr>
        <w:t>Maguire, James H.</w:t>
      </w:r>
      <w:r>
        <w:rPr>
          <w:color w:val="0B0B0B"/>
        </w:rPr>
        <w:t>, (R), Professor, Epidemiology and Public Health, School of Medicine. MPH, Harvard University, 1978; MD, Harvard University, 1974; AB, Princeton University, 1970.</w:t>
      </w:r>
    </w:p>
    <w:p>
      <w:pPr>
        <w:pStyle w:val="BodyText"/>
        <w:spacing w:line="249" w:lineRule="auto"/>
        <w:ind w:left="199" w:right="700"/>
      </w:pPr>
      <w:r>
        <w:rPr>
          <w:b/>
          <w:color w:val="0B0B0B"/>
        </w:rPr>
        <w:t>Mann, David</w:t>
      </w:r>
      <w:r>
        <w:rPr>
          <w:color w:val="0B0B0B"/>
        </w:rPr>
        <w:t>, (A), Instructor, Epidemiology and Public Health, School of Medicine. PhD, University of Maryland School of Medicine, 2007; MS, 1999; MD, Harvard Medical School, 1982; BA, Johns Hopkins University, 1978.</w:t>
      </w:r>
    </w:p>
    <w:p>
      <w:pPr>
        <w:spacing w:after="0" w:line="249" w:lineRule="auto"/>
        <w:sectPr>
          <w:pgSz w:w="12240" w:h="15840"/>
          <w:pgMar w:header="746" w:footer="0" w:top="1320" w:bottom="280" w:left="880" w:right="300"/>
          <w:cols w:num="2" w:equalWidth="0">
            <w:col w:w="4995" w:space="491"/>
            <w:col w:w="5574"/>
          </w:cols>
        </w:sectPr>
      </w:pPr>
    </w:p>
    <w:p>
      <w:pPr>
        <w:pStyle w:val="BodyText"/>
        <w:spacing w:line="249" w:lineRule="auto" w:before="100"/>
        <w:ind w:left="199" w:right="291"/>
      </w:pPr>
      <w:r>
        <w:rPr>
          <w:b/>
          <w:color w:val="0B0B0B"/>
        </w:rPr>
        <w:t>Mann, Dean</w:t>
      </w:r>
      <w:r>
        <w:rPr>
          <w:color w:val="0B0B0B"/>
        </w:rPr>
        <w:t>, (R), Professor, Pathology, School of Medicine. MD, St. Louis University, 1963; BA, Goshen College, 1956.</w:t>
      </w:r>
    </w:p>
    <w:p>
      <w:pPr>
        <w:pStyle w:val="BodyText"/>
        <w:spacing w:line="249" w:lineRule="auto" w:before="180"/>
        <w:ind w:left="199" w:right="125"/>
      </w:pPr>
      <w:r>
        <w:rPr>
          <w:b/>
          <w:color w:val="0B0B0B"/>
        </w:rPr>
        <w:t>Manski, Marion</w:t>
      </w:r>
      <w:r>
        <w:rPr>
          <w:color w:val="0B0B0B"/>
        </w:rPr>
        <w:t>, (A), Assistant Professor, Dental Hygiene, School of Dentistry. MS, University of Maryland, Baltimore, 2004; BS, University of Maryland, Baltimore, 1988.</w:t>
      </w:r>
    </w:p>
    <w:p>
      <w:pPr>
        <w:pStyle w:val="BodyText"/>
        <w:spacing w:line="249" w:lineRule="auto"/>
        <w:ind w:left="199" w:right="550"/>
      </w:pPr>
      <w:r>
        <w:rPr>
          <w:b/>
          <w:color w:val="0B0B0B"/>
        </w:rPr>
        <w:t>Mao, Li</w:t>
      </w:r>
      <w:r>
        <w:rPr>
          <w:color w:val="0B0B0B"/>
        </w:rPr>
        <w:t>, (R), Professor, Oncology and Diagnostic Sciences, School </w:t>
      </w:r>
      <w:r>
        <w:rPr>
          <w:color w:val="0B0B0B"/>
          <w:spacing w:val="-3"/>
        </w:rPr>
        <w:t>of </w:t>
      </w:r>
      <w:r>
        <w:rPr>
          <w:color w:val="0B0B0B"/>
        </w:rPr>
        <w:t>Dentistry. MD, Nanjing Medical University,</w:t>
      </w:r>
      <w:r>
        <w:rPr>
          <w:color w:val="0B0B0B"/>
          <w:spacing w:val="4"/>
        </w:rPr>
        <w:t> </w:t>
      </w:r>
      <w:r>
        <w:rPr>
          <w:color w:val="0B0B0B"/>
        </w:rPr>
        <w:t>1982.</w:t>
      </w:r>
    </w:p>
    <w:p>
      <w:pPr>
        <w:pStyle w:val="BodyText"/>
        <w:spacing w:line="249" w:lineRule="auto" w:before="180"/>
        <w:ind w:left="199" w:right="125"/>
      </w:pPr>
      <w:r>
        <w:rPr>
          <w:b/>
          <w:color w:val="0B0B0B"/>
        </w:rPr>
        <w:t>Marchese, Victoria</w:t>
      </w:r>
      <w:r>
        <w:rPr>
          <w:color w:val="0B0B0B"/>
        </w:rPr>
        <w:t>, (A), Associate Professor, </w:t>
      </w:r>
      <w:r>
        <w:rPr>
          <w:color w:val="0B0B0B"/>
          <w:spacing w:val="-3"/>
        </w:rPr>
        <w:t>Physical </w:t>
      </w:r>
      <w:r>
        <w:rPr>
          <w:color w:val="0B0B0B"/>
        </w:rPr>
        <w:t>Therapy and Rehabilitation Science. </w:t>
      </w:r>
      <w:r>
        <w:rPr>
          <w:color w:val="0B0B0B"/>
          <w:spacing w:val="-3"/>
        </w:rPr>
        <w:t>PhD, </w:t>
      </w:r>
      <w:r>
        <w:rPr>
          <w:color w:val="0B0B0B"/>
        </w:rPr>
        <w:t>MCP Hahnemann University, 2001; </w:t>
      </w:r>
      <w:r>
        <w:rPr>
          <w:color w:val="0B0B0B"/>
          <w:spacing w:val="-3"/>
        </w:rPr>
        <w:t>BS, </w:t>
      </w:r>
      <w:r>
        <w:rPr>
          <w:color w:val="0B0B0B"/>
        </w:rPr>
        <w:t>University </w:t>
      </w:r>
      <w:r>
        <w:rPr>
          <w:color w:val="0B0B0B"/>
          <w:spacing w:val="-3"/>
        </w:rPr>
        <w:t>of </w:t>
      </w:r>
      <w:r>
        <w:rPr>
          <w:color w:val="0B0B0B"/>
        </w:rPr>
        <w:t>Tennessee,</w:t>
      </w:r>
      <w:r>
        <w:rPr>
          <w:color w:val="0B0B0B"/>
          <w:spacing w:val="4"/>
        </w:rPr>
        <w:t> </w:t>
      </w:r>
      <w:r>
        <w:rPr>
          <w:color w:val="0B0B0B"/>
        </w:rPr>
        <w:t>1994.</w:t>
      </w:r>
    </w:p>
    <w:p>
      <w:pPr>
        <w:pStyle w:val="BodyText"/>
        <w:spacing w:line="249" w:lineRule="auto"/>
        <w:ind w:left="199" w:right="263"/>
      </w:pPr>
      <w:r>
        <w:rPr>
          <w:b/>
          <w:color w:val="0B0B0B"/>
        </w:rPr>
        <w:t>Marconi, Katherine, </w:t>
      </w:r>
      <w:r>
        <w:rPr>
          <w:color w:val="0B0B0B"/>
        </w:rPr>
        <w:t>(A), Graduate School. BA, St. Joseph's College, 1970; MA, SUNY Buffalo, 1972; MS, University of Maryland, University College, 2006; PhD, George Washington University, 1976.</w:t>
      </w:r>
    </w:p>
    <w:p>
      <w:pPr>
        <w:pStyle w:val="BodyText"/>
        <w:spacing w:line="249" w:lineRule="auto" w:before="181"/>
        <w:ind w:right="646"/>
      </w:pPr>
      <w:r>
        <w:rPr>
          <w:b/>
          <w:color w:val="0B0B0B"/>
        </w:rPr>
        <w:t>Margolis, Frank</w:t>
      </w:r>
      <w:r>
        <w:rPr>
          <w:color w:val="0B0B0B"/>
        </w:rPr>
        <w:t>, (R), Professor, Anatomy and Neurobiology, School of Medicine. PhD, Columbia University, 1964; BS, Antioch College, 1959.</w:t>
      </w:r>
    </w:p>
    <w:p>
      <w:pPr>
        <w:pStyle w:val="BodyText"/>
        <w:spacing w:line="249" w:lineRule="auto" w:before="184"/>
        <w:ind w:left="199" w:right="85"/>
      </w:pPr>
      <w:r>
        <w:rPr>
          <w:b/>
          <w:color w:val="0B0B0B"/>
        </w:rPr>
        <w:t>Markelonis, George</w:t>
      </w:r>
      <w:r>
        <w:rPr>
          <w:color w:val="0B0B0B"/>
        </w:rPr>
        <w:t>, (R), Associate Professor, Anatomy and Neurobiology, School of Medicine., MS, Villanova University, 1972; PhD, University of Maryland, 1976; BS, University of Maryland, 1969.</w:t>
      </w:r>
    </w:p>
    <w:p>
      <w:pPr>
        <w:pStyle w:val="BodyText"/>
        <w:spacing w:line="249" w:lineRule="auto" w:before="181"/>
        <w:ind w:left="199" w:right="74"/>
      </w:pPr>
      <w:r>
        <w:rPr>
          <w:b/>
          <w:color w:val="0B0B0B"/>
        </w:rPr>
        <w:t>Markham, Julie</w:t>
      </w:r>
      <w:r>
        <w:rPr>
          <w:color w:val="0B0B0B"/>
        </w:rPr>
        <w:t>, (A), Assistant Professor, Psychiatry, School of Medicine. PhD, University of Illinois, 2004; MA, University of Illinois, 2000; BS, Washington and Lee University, 1998.</w:t>
      </w:r>
    </w:p>
    <w:p>
      <w:pPr>
        <w:pStyle w:val="BodyText"/>
        <w:spacing w:line="249" w:lineRule="auto"/>
        <w:ind w:right="272"/>
        <w:jc w:val="both"/>
      </w:pPr>
      <w:r>
        <w:rPr>
          <w:b/>
          <w:color w:val="0B0B0B"/>
        </w:rPr>
        <w:t>Martin, Carey, </w:t>
      </w:r>
      <w:r>
        <w:rPr>
          <w:color w:val="0B0B0B"/>
        </w:rPr>
        <w:t>(A), Adjunct </w:t>
      </w:r>
      <w:r>
        <w:rPr>
          <w:color w:val="0B0B0B"/>
          <w:spacing w:val="-3"/>
        </w:rPr>
        <w:t>Faculty, </w:t>
      </w:r>
      <w:r>
        <w:rPr>
          <w:color w:val="0B0B0B"/>
        </w:rPr>
        <w:t>Graduate </w:t>
      </w:r>
      <w:r>
        <w:rPr>
          <w:color w:val="0B0B0B"/>
          <w:spacing w:val="-3"/>
        </w:rPr>
        <w:t>School. BS, </w:t>
      </w:r>
      <w:r>
        <w:rPr>
          <w:color w:val="0B0B0B"/>
        </w:rPr>
        <w:t>Villa Julie College, 2002; </w:t>
      </w:r>
      <w:r>
        <w:rPr>
          <w:color w:val="0B0B0B"/>
          <w:spacing w:val="-3"/>
        </w:rPr>
        <w:t>MBA, Strayer </w:t>
      </w:r>
      <w:r>
        <w:rPr>
          <w:color w:val="0B0B0B"/>
        </w:rPr>
        <w:t>University, 2006; MA, College </w:t>
      </w:r>
      <w:r>
        <w:rPr>
          <w:color w:val="0B0B0B"/>
          <w:spacing w:val="-3"/>
        </w:rPr>
        <w:t>of </w:t>
      </w:r>
      <w:r>
        <w:rPr>
          <w:color w:val="0B0B0B"/>
        </w:rPr>
        <w:t>Notre Dame, 2006.</w:t>
      </w:r>
    </w:p>
    <w:p>
      <w:pPr>
        <w:pStyle w:val="BodyText"/>
        <w:spacing w:line="249" w:lineRule="auto" w:before="180"/>
        <w:ind w:right="18"/>
        <w:rPr>
          <w:b/>
        </w:rPr>
      </w:pPr>
      <w:r>
        <w:rPr>
          <w:b/>
          <w:color w:val="0B0B0B"/>
        </w:rPr>
        <w:t>Martin, Diane, </w:t>
      </w:r>
      <w:r>
        <w:rPr>
          <w:color w:val="0B0B0B"/>
        </w:rPr>
        <w:t>(A), Associate Professor, Graduate School. BA, Notre Dame of Maryland University, 1988; MA, Towson University, 1991; PhD, Northcentral University, 2007</w:t>
      </w:r>
      <w:r>
        <w:rPr>
          <w:b/>
          <w:color w:val="0B0B0B"/>
        </w:rPr>
        <w:t>.</w:t>
      </w:r>
    </w:p>
    <w:p>
      <w:pPr>
        <w:pStyle w:val="BodyText"/>
        <w:spacing w:line="249" w:lineRule="auto"/>
        <w:ind w:right="51"/>
      </w:pPr>
      <w:r>
        <w:rPr>
          <w:b/>
          <w:color w:val="0B0B0B"/>
        </w:rPr>
        <w:t>Martin, Stuart S.</w:t>
      </w:r>
      <w:r>
        <w:rPr>
          <w:color w:val="0B0B0B"/>
        </w:rPr>
        <w:t>, (R), Professor, Physiology, School of Medicine. PhD, University of California, San Diego, 1998; BA, University of Virginia, 1992.</w:t>
      </w:r>
    </w:p>
    <w:p>
      <w:pPr>
        <w:pStyle w:val="BodyText"/>
        <w:spacing w:line="249" w:lineRule="auto" w:before="180"/>
        <w:ind w:right="40"/>
      </w:pPr>
      <w:r>
        <w:rPr>
          <w:b/>
          <w:color w:val="0B0B0B"/>
        </w:rPr>
        <w:t>Masri, Radi</w:t>
      </w:r>
      <w:r>
        <w:rPr>
          <w:color w:val="0B0B0B"/>
        </w:rPr>
        <w:t>, (R), Research Assistant Professor, Biomedical Sciences, School of Dentistry. PhD, University of Maryland, Baltimore, 2005; MS, University of Maryland, Baltimore, 2001; BDS, University of Jordan, 1997.</w:t>
      </w:r>
    </w:p>
    <w:p>
      <w:pPr>
        <w:pStyle w:val="BodyText"/>
        <w:spacing w:line="249" w:lineRule="auto" w:before="96"/>
        <w:ind w:right="605"/>
      </w:pPr>
      <w:r>
        <w:rPr/>
        <w:br w:type="column"/>
      </w:r>
      <w:r>
        <w:rPr>
          <w:b/>
          <w:color w:val="0B0B0B"/>
        </w:rPr>
        <w:t>Massey, Ward</w:t>
      </w:r>
      <w:r>
        <w:rPr>
          <w:color w:val="0B0B0B"/>
        </w:rPr>
        <w:t>, (A), Associate Professor, Restorative Dentistry, School of Dentistry. PhD, University of Sydney, 1993; BS, University of Adelaide, 1982.</w:t>
      </w:r>
    </w:p>
    <w:p>
      <w:pPr>
        <w:pStyle w:val="BodyText"/>
        <w:spacing w:line="249" w:lineRule="auto" w:before="180"/>
        <w:ind w:right="1101"/>
        <w:jc w:val="both"/>
      </w:pPr>
      <w:r>
        <w:rPr>
          <w:b/>
          <w:color w:val="0B0B0B"/>
        </w:rPr>
        <w:t>Matarese, Marlene</w:t>
      </w:r>
      <w:r>
        <w:rPr>
          <w:color w:val="0B0B0B"/>
        </w:rPr>
        <w:t>, (A), Assistant Professor, Social Work. PhD, University of Maryland School of Social Work, 2013; MSW, Rutgers, 2001; BA, 1999.</w:t>
      </w:r>
    </w:p>
    <w:p>
      <w:pPr>
        <w:pStyle w:val="BodyText"/>
        <w:spacing w:line="249" w:lineRule="auto" w:before="184"/>
        <w:ind w:right="756"/>
        <w:jc w:val="both"/>
      </w:pPr>
      <w:r>
        <w:rPr>
          <w:b/>
          <w:color w:val="0B0B0B"/>
        </w:rPr>
        <w:t>Matteson, Donald</w:t>
      </w:r>
      <w:r>
        <w:rPr>
          <w:color w:val="0B0B0B"/>
        </w:rPr>
        <w:t>, (R), Associate Professor, </w:t>
      </w:r>
      <w:r>
        <w:rPr>
          <w:color w:val="0B0B0B"/>
          <w:spacing w:val="-3"/>
        </w:rPr>
        <w:t>Physiology, </w:t>
      </w:r>
      <w:r>
        <w:rPr>
          <w:color w:val="0B0B0B"/>
        </w:rPr>
        <w:t>School of Medicine. PhD, State University of New York, 1979; </w:t>
      </w:r>
      <w:r>
        <w:rPr>
          <w:color w:val="0B0B0B"/>
          <w:spacing w:val="-3"/>
        </w:rPr>
        <w:t>BS, </w:t>
      </w:r>
      <w:r>
        <w:rPr>
          <w:color w:val="0B0B0B"/>
        </w:rPr>
        <w:t>Massachusetts Institute </w:t>
      </w:r>
      <w:r>
        <w:rPr>
          <w:color w:val="0B0B0B"/>
          <w:spacing w:val="-3"/>
        </w:rPr>
        <w:t>of </w:t>
      </w:r>
      <w:r>
        <w:rPr>
          <w:color w:val="0B0B0B"/>
        </w:rPr>
        <w:t>Technology, 1972.</w:t>
      </w:r>
    </w:p>
    <w:p>
      <w:pPr>
        <w:pStyle w:val="BodyText"/>
        <w:spacing w:line="249" w:lineRule="auto" w:before="180"/>
        <w:ind w:right="749"/>
      </w:pPr>
      <w:r>
        <w:rPr>
          <w:b/>
          <w:color w:val="0B0B0B"/>
        </w:rPr>
        <w:t>May, Isabell, </w:t>
      </w:r>
      <w:r>
        <w:rPr>
          <w:color w:val="0B0B0B"/>
        </w:rPr>
        <w:t>(A), Associate Professor, Graduate School. MA, University of Maryland, 2001; PhD, 2008.</w:t>
      </w:r>
    </w:p>
    <w:p>
      <w:pPr>
        <w:pStyle w:val="BodyText"/>
        <w:spacing w:line="249" w:lineRule="auto" w:before="184"/>
        <w:ind w:right="887"/>
      </w:pPr>
      <w:r>
        <w:rPr>
          <w:b/>
          <w:color w:val="0B0B0B"/>
        </w:rPr>
        <w:t>Mays, Keith</w:t>
      </w:r>
      <w:r>
        <w:rPr>
          <w:color w:val="0B0B0B"/>
        </w:rPr>
        <w:t>, (A), Assistant Professor, Biomedical Sciences, School of Dentistry. MS, University of Iowa, 1994; DDS, University of Michigan, 1989; BS, Morgan State University, 1983.</w:t>
      </w:r>
    </w:p>
    <w:p>
      <w:pPr>
        <w:spacing w:line="249" w:lineRule="auto" w:before="180"/>
        <w:ind w:left="200" w:right="1135" w:firstLine="0"/>
        <w:jc w:val="both"/>
        <w:rPr>
          <w:sz w:val="20"/>
        </w:rPr>
      </w:pPr>
      <w:r>
        <w:rPr>
          <w:b/>
          <w:color w:val="0B0B0B"/>
          <w:sz w:val="20"/>
        </w:rPr>
        <w:t>Maxfield- DeCarlo, Jennifer, </w:t>
      </w:r>
      <w:r>
        <w:rPr>
          <w:color w:val="0B0B0B"/>
          <w:sz w:val="20"/>
        </w:rPr>
        <w:t>(A), Adjunct Faculty, Graduate School. BS, University of Maryland, 1998; MSW, 1999; PhD, Capella University, 2010.</w:t>
      </w:r>
    </w:p>
    <w:p>
      <w:pPr>
        <w:pStyle w:val="BodyText"/>
        <w:spacing w:line="249" w:lineRule="auto"/>
        <w:ind w:right="822"/>
      </w:pPr>
      <w:r>
        <w:rPr>
          <w:b/>
          <w:color w:val="0B0B0B"/>
        </w:rPr>
        <w:t>McArdle, Patrick</w:t>
      </w:r>
      <w:r>
        <w:rPr>
          <w:color w:val="0B0B0B"/>
        </w:rPr>
        <w:t>, (A), Instructor, Molecular Medicine, School of Medicine. PhD, University of Maryland, Baltimore; BS, Cornell University, 1994.</w:t>
      </w:r>
    </w:p>
    <w:p>
      <w:pPr>
        <w:pStyle w:val="BodyText"/>
        <w:spacing w:line="249" w:lineRule="auto" w:before="180"/>
        <w:ind w:right="654"/>
      </w:pPr>
      <w:r>
        <w:rPr>
          <w:b/>
          <w:color w:val="0B0B0B"/>
        </w:rPr>
        <w:t>McCarthy, Margaret</w:t>
      </w:r>
      <w:r>
        <w:rPr>
          <w:color w:val="0B0B0B"/>
        </w:rPr>
        <w:t>, (R), Associate Professor, Physiology, School of Medicine. PhD, Rutgers University, 1989; MA, University of Missouri, 1984; BA, University of Missouri, 1981.</w:t>
      </w:r>
    </w:p>
    <w:p>
      <w:pPr>
        <w:pStyle w:val="BodyText"/>
        <w:spacing w:line="249" w:lineRule="auto"/>
        <w:ind w:right="704"/>
      </w:pPr>
      <w:r>
        <w:rPr>
          <w:b/>
          <w:color w:val="0B0B0B"/>
        </w:rPr>
        <w:t>McCombe -Waller, Sandra</w:t>
      </w:r>
      <w:r>
        <w:rPr>
          <w:color w:val="0B0B0B"/>
        </w:rPr>
        <w:t>, (R), Associate Professor, Physical Therapy and Rehabilitation Science, School of Medicine. PhD, University of Maryland, 2004; MS, Johns Hopkins University, 1991; BS, University of Maryland, 1985.</w:t>
      </w:r>
    </w:p>
    <w:p>
      <w:pPr>
        <w:pStyle w:val="BodyText"/>
        <w:spacing w:line="249" w:lineRule="auto" w:before="181"/>
        <w:ind w:right="804"/>
      </w:pPr>
      <w:r>
        <w:rPr>
          <w:b/>
          <w:color w:val="0B0B0B"/>
        </w:rPr>
        <w:t>McComiskey, Carmel</w:t>
      </w:r>
      <w:r>
        <w:rPr>
          <w:color w:val="0B0B0B"/>
        </w:rPr>
        <w:t>, (A), Assistant Professor, Family and Community Health, School of Nursing. DNP, University of Maryland School of Nursing, 2010; MS, University of Maryland School of Nursing, 1996; BSN, William Patterson College of New Jersey, 1978.</w:t>
      </w:r>
    </w:p>
    <w:p>
      <w:pPr>
        <w:pStyle w:val="BodyText"/>
        <w:spacing w:line="249" w:lineRule="auto" w:before="187"/>
        <w:ind w:right="655"/>
      </w:pPr>
      <w:r>
        <w:rPr>
          <w:b/>
          <w:color w:val="0B0B0B"/>
        </w:rPr>
        <w:t>McDiarmid, Melissa</w:t>
      </w:r>
      <w:r>
        <w:rPr>
          <w:color w:val="0B0B0B"/>
        </w:rPr>
        <w:t>, (R), Associate Professor, Medicine, School of Medicine. MPH, Johns Hopkins University, 1986; MD, University of Maryland, 1979; BA, University of Maryland, 1975.</w:t>
      </w:r>
    </w:p>
    <w:p>
      <w:pPr>
        <w:pStyle w:val="BodyText"/>
        <w:spacing w:line="249" w:lineRule="auto" w:before="180"/>
        <w:ind w:right="632"/>
      </w:pPr>
      <w:r>
        <w:rPr>
          <w:b/>
          <w:color w:val="0B0B0B"/>
        </w:rPr>
        <w:t>McElroy, Kathleen</w:t>
      </w:r>
      <w:r>
        <w:rPr>
          <w:color w:val="0B0B0B"/>
        </w:rPr>
        <w:t>, (A), Assistant Professor, Family and Community Health, School of Nursing. PhD, University of Maryland School of Nursing, 2016; MSN, University of Maryland School of Nursing, 2010; BSN, University of Maryland School of Nursing, 1997.</w:t>
      </w:r>
    </w:p>
    <w:p>
      <w:pPr>
        <w:spacing w:after="0" w:line="249" w:lineRule="auto"/>
        <w:sectPr>
          <w:pgSz w:w="12240" w:h="15840"/>
          <w:pgMar w:header="746" w:footer="0" w:top="1320" w:bottom="280" w:left="880" w:right="300"/>
          <w:cols w:num="2" w:equalWidth="0">
            <w:col w:w="4999" w:space="487"/>
            <w:col w:w="5574"/>
          </w:cols>
        </w:sectPr>
      </w:pPr>
    </w:p>
    <w:p>
      <w:pPr>
        <w:spacing w:line="249" w:lineRule="auto" w:before="100"/>
        <w:ind w:left="200" w:right="24" w:firstLine="0"/>
        <w:jc w:val="left"/>
        <w:rPr>
          <w:sz w:val="20"/>
        </w:rPr>
      </w:pPr>
      <w:r>
        <w:rPr>
          <w:b/>
          <w:color w:val="0B0B0B"/>
          <w:sz w:val="20"/>
        </w:rPr>
        <w:t>McKenna, Mary</w:t>
      </w:r>
      <w:r>
        <w:rPr>
          <w:color w:val="0B0B0B"/>
          <w:sz w:val="20"/>
        </w:rPr>
        <w:t>, Professor, Pediatrics, School of Medicine.</w:t>
      </w:r>
    </w:p>
    <w:p>
      <w:pPr>
        <w:pStyle w:val="BodyText"/>
        <w:spacing w:line="249" w:lineRule="auto" w:before="179"/>
        <w:ind w:left="199" w:right="24"/>
      </w:pPr>
      <w:r>
        <w:rPr>
          <w:b/>
          <w:color w:val="0B0B0B"/>
        </w:rPr>
        <w:t>McLaine, Patricia</w:t>
      </w:r>
      <w:r>
        <w:rPr>
          <w:color w:val="0B0B0B"/>
        </w:rPr>
        <w:t>, (A), Assistant Professor, Family and Community Health, School of Nursing. DrPH, Johns Hopkins University, 2010; MPH, Johns Hopkins University, 1987; BSN, Case Western Reserve University, 1981.</w:t>
      </w:r>
    </w:p>
    <w:p>
      <w:pPr>
        <w:pStyle w:val="BodyText"/>
        <w:spacing w:line="249" w:lineRule="auto" w:before="186"/>
        <w:ind w:right="273"/>
      </w:pPr>
      <w:r>
        <w:rPr>
          <w:b/>
          <w:color w:val="0B0B0B"/>
        </w:rPr>
        <w:t>McLenithan, John C.</w:t>
      </w:r>
      <w:r>
        <w:rPr>
          <w:color w:val="0B0B0B"/>
        </w:rPr>
        <w:t>, (R), Assistant Professor, Physiology, School of Medicine. PhD, Johns Hopkins University School of Medicine, 1994; BS, University of Rochester, 1983.</w:t>
      </w:r>
    </w:p>
    <w:p>
      <w:pPr>
        <w:pStyle w:val="BodyText"/>
        <w:spacing w:line="249" w:lineRule="auto" w:before="180"/>
        <w:ind w:right="145"/>
      </w:pPr>
      <w:r>
        <w:rPr>
          <w:b/>
          <w:color w:val="0B0B0B"/>
        </w:rPr>
        <w:t>McPherson, Mary Lynn</w:t>
      </w:r>
      <w:r>
        <w:rPr>
          <w:color w:val="0B0B0B"/>
        </w:rPr>
        <w:t>, (A), Professor, Pharmacy Practice and Science, School of Pharmacy. MA, UMBC, 2014; PharmD, University of Maryland, Baltimore, 1986.</w:t>
      </w:r>
    </w:p>
    <w:p>
      <w:pPr>
        <w:pStyle w:val="BodyText"/>
        <w:spacing w:line="249" w:lineRule="auto"/>
        <w:ind w:right="95"/>
      </w:pPr>
      <w:r>
        <w:rPr>
          <w:b/>
          <w:color w:val="0B0B0B"/>
        </w:rPr>
        <w:t>Mech, Ann</w:t>
      </w:r>
      <w:r>
        <w:rPr>
          <w:color w:val="0B0B0B"/>
        </w:rPr>
        <w:t>, (A), Assistant Professor, Partnerships, Professional Education and Practice, School of Nursing. JD, George Washington University, 1982; MS, University of Maryland, 1978; BSN, University of Maryland, 1976.</w:t>
      </w:r>
    </w:p>
    <w:p>
      <w:pPr>
        <w:pStyle w:val="BodyText"/>
        <w:spacing w:line="249" w:lineRule="auto" w:before="181"/>
        <w:ind w:right="23"/>
      </w:pPr>
      <w:r>
        <w:rPr>
          <w:b/>
          <w:color w:val="0B0B0B"/>
        </w:rPr>
        <w:t>Medina de Jesus, Alexandre</w:t>
      </w:r>
      <w:r>
        <w:rPr>
          <w:color w:val="0B0B0B"/>
        </w:rPr>
        <w:t>, (R), Associate Professor, Pediatrics, School of Medicine. PhD, Universidade Estado, 2000; MSc, Universidade Federal, 1996; BS, Universidade Santa Ursula, 1990.</w:t>
      </w:r>
    </w:p>
    <w:p>
      <w:pPr>
        <w:pStyle w:val="BodyText"/>
        <w:spacing w:line="249" w:lineRule="auto"/>
        <w:ind w:left="199" w:right="179"/>
      </w:pPr>
      <w:r>
        <w:rPr>
          <w:b/>
          <w:color w:val="0B0B0B"/>
        </w:rPr>
        <w:t>Medoff, Deborah</w:t>
      </w:r>
      <w:r>
        <w:rPr>
          <w:color w:val="0B0B0B"/>
        </w:rPr>
        <w:t>, (A), Associate Professor, Psychiatry, School of Medicine. PhD, University of Maryland, 1989; MS, University of Maryland, 1984; BA, University of Virginia, 1981.</w:t>
      </w:r>
    </w:p>
    <w:p>
      <w:pPr>
        <w:pStyle w:val="BodyText"/>
        <w:spacing w:line="249" w:lineRule="auto" w:before="180"/>
        <w:ind w:left="199" w:right="24"/>
      </w:pPr>
      <w:r>
        <w:rPr>
          <w:b/>
          <w:color w:val="0B0B0B"/>
        </w:rPr>
        <w:t>Medved, Leonid</w:t>
      </w:r>
      <w:r>
        <w:rPr>
          <w:color w:val="0B0B0B"/>
        </w:rPr>
        <w:t>, (R), Professor, Biochemistry and Molecular Biology, School of Medicine. DrSci, Institute of Biochemistry, 1991; PhD, Institute of Biochemistry, 1980; MS, Kiev State University, 1977.</w:t>
      </w:r>
    </w:p>
    <w:p>
      <w:pPr>
        <w:pStyle w:val="BodyText"/>
        <w:spacing w:line="249" w:lineRule="auto" w:before="186"/>
        <w:ind w:left="199" w:right="152"/>
      </w:pPr>
      <w:r>
        <w:rPr>
          <w:b/>
          <w:color w:val="0B0B0B"/>
        </w:rPr>
        <w:t>Mei, Yuping</w:t>
      </w:r>
      <w:r>
        <w:rPr>
          <w:color w:val="0B0B0B"/>
        </w:rPr>
        <w:t>, (A), Research Associate, Oncology and Diagnostic Science, School of Dentistry. PhD, University of Maryland Baltimore, 2005; MS, Hunan Normal University; PhD, BS, Hunan Normal University, 1995.</w:t>
      </w:r>
    </w:p>
    <w:p>
      <w:pPr>
        <w:pStyle w:val="BodyText"/>
        <w:spacing w:line="249" w:lineRule="auto" w:before="180"/>
        <w:ind w:left="199" w:right="96"/>
      </w:pPr>
      <w:r>
        <w:rPr>
          <w:b/>
          <w:color w:val="0B0B0B"/>
        </w:rPr>
        <w:t>Meiller, Timothy</w:t>
      </w:r>
      <w:r>
        <w:rPr>
          <w:color w:val="0B0B0B"/>
        </w:rPr>
        <w:t>, (R), Professor, Oral Medicine, School of Dentistry. PhD, University of Maryland, 1975; DDS, University of Maryland, 1975; MS, Johns Hopkins University, 1979.</w:t>
      </w:r>
    </w:p>
    <w:p>
      <w:pPr>
        <w:pStyle w:val="BodyText"/>
        <w:spacing w:line="249" w:lineRule="auto" w:before="186"/>
        <w:ind w:left="199" w:right="24"/>
      </w:pPr>
      <w:r>
        <w:rPr>
          <w:b/>
          <w:color w:val="0B0B0B"/>
        </w:rPr>
        <w:t>Melemedjian, Ohannes</w:t>
      </w:r>
      <w:r>
        <w:rPr>
          <w:color w:val="0B0B0B"/>
        </w:rPr>
        <w:t>, (A), Assistant Professor, Neural and Pain Sciences, School of Dentistry. PhD, University of Arizona, 2007; MSc, American University of Beirut, 2002; BSc, Haigazian University, 1999.</w:t>
      </w:r>
    </w:p>
    <w:p>
      <w:pPr>
        <w:pStyle w:val="BodyText"/>
        <w:spacing w:line="249" w:lineRule="auto" w:before="180"/>
        <w:ind w:left="199" w:right="24"/>
      </w:pPr>
      <w:r>
        <w:rPr>
          <w:b/>
          <w:color w:val="0B0B0B"/>
        </w:rPr>
        <w:t>Melikian, Gregory B.</w:t>
      </w:r>
      <w:r>
        <w:rPr>
          <w:color w:val="0B0B0B"/>
        </w:rPr>
        <w:t>, (R), Associate Professor, Microbiology and Immunology, School of Medicine. PhD,</w:t>
      </w:r>
    </w:p>
    <w:p>
      <w:pPr>
        <w:pStyle w:val="BodyText"/>
        <w:spacing w:line="249" w:lineRule="auto" w:before="96"/>
        <w:ind w:right="833"/>
      </w:pPr>
      <w:r>
        <w:rPr/>
        <w:br w:type="column"/>
      </w:r>
      <w:r>
        <w:rPr>
          <w:color w:val="0B0B0B"/>
        </w:rPr>
        <w:t>Moscow Institute </w:t>
      </w:r>
      <w:r>
        <w:rPr>
          <w:color w:val="0B0B0B"/>
          <w:spacing w:val="-3"/>
        </w:rPr>
        <w:t>of </w:t>
      </w:r>
      <w:r>
        <w:rPr>
          <w:color w:val="0B0B0B"/>
        </w:rPr>
        <w:t>Information Transition Problems Academy of Science, 1984; </w:t>
      </w:r>
      <w:r>
        <w:rPr>
          <w:color w:val="0B0B0B"/>
          <w:spacing w:val="-3"/>
        </w:rPr>
        <w:t>MS, </w:t>
      </w:r>
      <w:r>
        <w:rPr>
          <w:color w:val="0B0B0B"/>
        </w:rPr>
        <w:t>Yeren State University, 1980.</w:t>
      </w:r>
    </w:p>
    <w:p>
      <w:pPr>
        <w:pStyle w:val="BodyText"/>
        <w:spacing w:line="249" w:lineRule="auto" w:before="180"/>
        <w:ind w:right="807"/>
      </w:pPr>
      <w:r>
        <w:rPr>
          <w:b/>
          <w:color w:val="0B0B0B"/>
        </w:rPr>
        <w:t>Mellinger, Marcela</w:t>
      </w:r>
      <w:r>
        <w:rPr>
          <w:color w:val="0B0B0B"/>
        </w:rPr>
        <w:t>, (A), Assistant Professor, </w:t>
      </w:r>
      <w:r>
        <w:rPr>
          <w:color w:val="0B0B0B"/>
          <w:spacing w:val="-2"/>
        </w:rPr>
        <w:t>School </w:t>
      </w:r>
      <w:r>
        <w:rPr>
          <w:color w:val="0B0B0B"/>
          <w:spacing w:val="-3"/>
        </w:rPr>
        <w:t>of </w:t>
      </w:r>
      <w:r>
        <w:rPr>
          <w:color w:val="0B0B0B"/>
        </w:rPr>
        <w:t>Social Work. PhD, University of Georgia, 2011; MSW, Temple University, 1999; </w:t>
      </w:r>
      <w:r>
        <w:rPr>
          <w:color w:val="0B0B0B"/>
          <w:spacing w:val="-3"/>
        </w:rPr>
        <w:t>BA, </w:t>
      </w:r>
      <w:r>
        <w:rPr>
          <w:color w:val="0B0B0B"/>
        </w:rPr>
        <w:t>Millersville University, 1998.</w:t>
      </w:r>
    </w:p>
    <w:p>
      <w:pPr>
        <w:pStyle w:val="BodyText"/>
        <w:spacing w:line="249" w:lineRule="auto"/>
        <w:ind w:right="671"/>
      </w:pPr>
      <w:r>
        <w:rPr>
          <w:b/>
          <w:color w:val="0B0B0B"/>
        </w:rPr>
        <w:t>Melo, Mary Anne</w:t>
      </w:r>
      <w:r>
        <w:rPr>
          <w:color w:val="0B0B0B"/>
        </w:rPr>
        <w:t>, (A), Assistant Professor, Endodontics, School of Dentistry. PhD, Federal University of Dentistry, 2012; MSD, Federal University of Dentistry, 2009; DDS, University of Fortaleza, 2000.</w:t>
      </w:r>
    </w:p>
    <w:p>
      <w:pPr>
        <w:pStyle w:val="BodyText"/>
        <w:spacing w:line="249" w:lineRule="auto" w:before="181"/>
        <w:ind w:right="594"/>
      </w:pPr>
      <w:r>
        <w:rPr>
          <w:b/>
          <w:color w:val="0B0B0B"/>
        </w:rPr>
        <w:t>Memiah, Peter, </w:t>
      </w:r>
      <w:r>
        <w:rPr>
          <w:color w:val="0B0B0B"/>
        </w:rPr>
        <w:t>(A), Associate Professor, School of Medicine. BA, Catholic University of Eastern Africa, MSc, United States International University, 2002; DrPH, Morgan State University, 2006.</w:t>
      </w:r>
    </w:p>
    <w:p>
      <w:pPr>
        <w:pStyle w:val="BodyText"/>
        <w:spacing w:line="249" w:lineRule="auto"/>
        <w:ind w:right="676"/>
      </w:pPr>
      <w:r>
        <w:rPr>
          <w:b/>
          <w:color w:val="0B0B0B"/>
        </w:rPr>
        <w:t>Meltzer, Stephen</w:t>
      </w:r>
      <w:r>
        <w:rPr>
          <w:color w:val="0B0B0B"/>
        </w:rPr>
        <w:t>, (R), Professor, Medicine, School of Medicine. M Music, University of Colorado, 1983; MD, State University of New York, 1979; BA, State University of New York, 1975.</w:t>
      </w:r>
    </w:p>
    <w:p>
      <w:pPr>
        <w:pStyle w:val="BodyText"/>
        <w:spacing w:line="249" w:lineRule="auto" w:before="180"/>
        <w:ind w:right="649"/>
      </w:pPr>
      <w:r>
        <w:rPr>
          <w:b/>
          <w:color w:val="0B0B0B"/>
        </w:rPr>
        <w:t>Merchenthaler, Istvan</w:t>
      </w:r>
      <w:r>
        <w:rPr>
          <w:color w:val="0B0B0B"/>
        </w:rPr>
        <w:t>, (R), Professor, Epidemiology and Public Health, School of Medicine. DSc, Hungarian Academy of Sciences, 1992; PhD, Hungarian Academy of Sciences, 1986; MD, University of Pecs, Hungary, 1974.</w:t>
      </w:r>
    </w:p>
    <w:p>
      <w:pPr>
        <w:pStyle w:val="BodyText"/>
        <w:spacing w:line="249" w:lineRule="auto" w:before="186"/>
        <w:ind w:right="651"/>
      </w:pPr>
      <w:r>
        <w:rPr>
          <w:b/>
          <w:color w:val="0B0B0B"/>
        </w:rPr>
        <w:t>Meredith, Andrea</w:t>
      </w:r>
      <w:r>
        <w:rPr>
          <w:color w:val="0B0B0B"/>
        </w:rPr>
        <w:t>, (A), Associate Professor, Physiology, School of Medicine. PhD, University of Texas Southwestern, 2000; BS, University of Maryland, Baltimore County, 1994.</w:t>
      </w:r>
    </w:p>
    <w:p>
      <w:pPr>
        <w:pStyle w:val="BodyText"/>
        <w:spacing w:line="249" w:lineRule="auto" w:before="180"/>
        <w:ind w:left="199" w:right="972"/>
      </w:pPr>
      <w:r>
        <w:rPr>
          <w:b/>
          <w:color w:val="0B0B0B"/>
        </w:rPr>
        <w:t>Meyer, Megan</w:t>
      </w:r>
      <w:r>
        <w:rPr>
          <w:color w:val="0B0B0B"/>
        </w:rPr>
        <w:t>, (R), Associate Dean, School of Social Work. PhD, University of California, 1999; MSW, University of California, 1995; BA, Hamilton College, 1989.</w:t>
      </w:r>
    </w:p>
    <w:p>
      <w:pPr>
        <w:pStyle w:val="BodyText"/>
        <w:spacing w:line="249" w:lineRule="auto" w:before="186"/>
        <w:ind w:left="199" w:right="988"/>
      </w:pPr>
      <w:r>
        <w:rPr>
          <w:b/>
          <w:color w:val="0B0B0B"/>
        </w:rPr>
        <w:t>Michael, Kathleen</w:t>
      </w:r>
      <w:r>
        <w:rPr>
          <w:color w:val="0B0B0B"/>
        </w:rPr>
        <w:t>, (A), Associate Professor, Organizational Systems and Adult Health, School of Nursing. PhD, Johns Hopkins University, 2005; MSN, Seattle Pacific University, 1996; BS, University of Washington, 1975.</w:t>
      </w:r>
    </w:p>
    <w:p>
      <w:pPr>
        <w:pStyle w:val="BodyText"/>
        <w:spacing w:line="249" w:lineRule="auto" w:before="181"/>
        <w:ind w:left="199" w:right="966"/>
      </w:pPr>
      <w:r>
        <w:rPr>
          <w:b/>
          <w:color w:val="0B0B0B"/>
        </w:rPr>
        <w:t>Michael, Michele</w:t>
      </w:r>
      <w:r>
        <w:rPr>
          <w:color w:val="0B0B0B"/>
        </w:rPr>
        <w:t>, (A), Assistant Professor, Child, Women’s and Family Health, School of Nursing. PhD, University of Maryland, 1984; MS, University of Maryland, 1974; BSN, Creighton University, 1968.</w:t>
      </w:r>
    </w:p>
    <w:p>
      <w:pPr>
        <w:pStyle w:val="BodyText"/>
        <w:spacing w:line="249" w:lineRule="auto"/>
        <w:ind w:left="199" w:right="617"/>
      </w:pPr>
      <w:r>
        <w:rPr>
          <w:b/>
          <w:color w:val="0B0B0B"/>
        </w:rPr>
        <w:t>Michel, Sarah L.</w:t>
      </w:r>
      <w:r>
        <w:rPr>
          <w:color w:val="0B0B0B"/>
        </w:rPr>
        <w:t>, (R), Professor, Pharmaceutical Sciences, School </w:t>
      </w:r>
      <w:r>
        <w:rPr>
          <w:color w:val="0B0B0B"/>
          <w:spacing w:val="-3"/>
        </w:rPr>
        <w:t>of </w:t>
      </w:r>
      <w:r>
        <w:rPr>
          <w:color w:val="0B0B0B"/>
        </w:rPr>
        <w:t>Pharmacy. PhD, Northwestern University, 2000; MS, Northwestern University, 1996; </w:t>
      </w:r>
      <w:r>
        <w:rPr>
          <w:color w:val="0B0B0B"/>
          <w:spacing w:val="-3"/>
        </w:rPr>
        <w:t>BA, </w:t>
      </w:r>
      <w:r>
        <w:rPr>
          <w:color w:val="0B0B0B"/>
        </w:rPr>
        <w:t>Cornell University,</w:t>
      </w:r>
      <w:r>
        <w:rPr>
          <w:color w:val="0B0B0B"/>
          <w:spacing w:val="3"/>
        </w:rPr>
        <w:t> </w:t>
      </w:r>
      <w:r>
        <w:rPr>
          <w:color w:val="0B0B0B"/>
        </w:rPr>
        <w:t>1995.</w:t>
      </w:r>
    </w:p>
    <w:p>
      <w:pPr>
        <w:spacing w:after="0" w:line="249" w:lineRule="auto"/>
        <w:sectPr>
          <w:headerReference w:type="default" r:id="rId132"/>
          <w:headerReference w:type="even" r:id="rId133"/>
          <w:pgSz w:w="12240" w:h="15840"/>
          <w:pgMar w:header="746" w:footer="0" w:top="1320" w:bottom="280" w:left="880" w:right="300"/>
          <w:cols w:num="2" w:equalWidth="0">
            <w:col w:w="4976" w:space="510"/>
            <w:col w:w="5574"/>
          </w:cols>
        </w:sectPr>
      </w:pPr>
    </w:p>
    <w:p>
      <w:pPr>
        <w:pStyle w:val="BodyText"/>
        <w:spacing w:line="249" w:lineRule="auto" w:before="100"/>
        <w:ind w:left="199" w:right="413"/>
      </w:pPr>
      <w:r>
        <w:rPr>
          <w:b/>
          <w:color w:val="0B0B0B"/>
        </w:rPr>
        <w:t>Mijares, Lilia</w:t>
      </w:r>
      <w:r>
        <w:rPr>
          <w:color w:val="0B0B0B"/>
        </w:rPr>
        <w:t>, (A), Assistant Professor, Medical and Research Technology, School of Medicine. PhD, Yale University, 2008; BS, University of Texas, 2001.</w:t>
      </w:r>
    </w:p>
    <w:p>
      <w:pPr>
        <w:pStyle w:val="BodyText"/>
        <w:spacing w:line="249" w:lineRule="auto" w:before="180"/>
        <w:ind w:left="199" w:right="38"/>
      </w:pPr>
      <w:r>
        <w:rPr>
          <w:b/>
          <w:color w:val="0B0B0B"/>
        </w:rPr>
        <w:t>Miller, Ram R.</w:t>
      </w:r>
      <w:r>
        <w:rPr>
          <w:color w:val="0B0B0B"/>
        </w:rPr>
        <w:t>, (R), Adjunct Professor, Epidemiology and Public Health, </w:t>
      </w:r>
      <w:r>
        <w:rPr>
          <w:color w:val="0B0B0B"/>
          <w:spacing w:val="-2"/>
        </w:rPr>
        <w:t>School </w:t>
      </w:r>
      <w:r>
        <w:rPr>
          <w:color w:val="0B0B0B"/>
          <w:spacing w:val="-3"/>
        </w:rPr>
        <w:t>of </w:t>
      </w:r>
      <w:r>
        <w:rPr>
          <w:color w:val="0B0B0B"/>
        </w:rPr>
        <w:t>Medicine. MSc, </w:t>
      </w:r>
      <w:r>
        <w:rPr>
          <w:color w:val="0B0B0B"/>
          <w:spacing w:val="-3"/>
        </w:rPr>
        <w:t>Boston </w:t>
      </w:r>
      <w:r>
        <w:rPr>
          <w:color w:val="0B0B0B"/>
        </w:rPr>
        <w:t>University, 2003; MD, </w:t>
      </w:r>
      <w:r>
        <w:rPr>
          <w:color w:val="0B0B0B"/>
          <w:spacing w:val="-3"/>
        </w:rPr>
        <w:t>CM, </w:t>
      </w:r>
      <w:r>
        <w:rPr>
          <w:color w:val="0B0B0B"/>
        </w:rPr>
        <w:t>McGill University, 1995; </w:t>
      </w:r>
      <w:r>
        <w:rPr>
          <w:color w:val="0B0B0B"/>
          <w:spacing w:val="-3"/>
        </w:rPr>
        <w:t>BSc, </w:t>
      </w:r>
      <w:r>
        <w:rPr>
          <w:color w:val="0B0B0B"/>
        </w:rPr>
        <w:t>McGill University,</w:t>
      </w:r>
      <w:r>
        <w:rPr>
          <w:color w:val="0B0B0B"/>
          <w:spacing w:val="8"/>
        </w:rPr>
        <w:t> </w:t>
      </w:r>
      <w:r>
        <w:rPr>
          <w:color w:val="0B0B0B"/>
        </w:rPr>
        <w:t>1991.</w:t>
      </w:r>
    </w:p>
    <w:p>
      <w:pPr>
        <w:pStyle w:val="BodyText"/>
        <w:spacing w:line="249" w:lineRule="auto"/>
        <w:ind w:left="199" w:right="201"/>
      </w:pPr>
      <w:r>
        <w:rPr>
          <w:b/>
          <w:color w:val="0B0B0B"/>
        </w:rPr>
        <w:t>Minah, Glenn</w:t>
      </w:r>
      <w:r>
        <w:rPr>
          <w:color w:val="0B0B0B"/>
        </w:rPr>
        <w:t>, (R), Professor, Oral Biology, School of Dentistry. PhD, University of Michigan, 1976; MS, University of Michigan, 1970; DDS, University of North Carolina, 1966.</w:t>
      </w:r>
    </w:p>
    <w:p>
      <w:pPr>
        <w:pStyle w:val="BodyText"/>
        <w:spacing w:line="249" w:lineRule="auto" w:before="180"/>
        <w:ind w:right="228" w:hanging="1"/>
      </w:pPr>
      <w:r>
        <w:rPr>
          <w:b/>
          <w:color w:val="0B0B0B"/>
        </w:rPr>
        <w:t>Minjoung, Kyoung</w:t>
      </w:r>
      <w:r>
        <w:rPr>
          <w:color w:val="0B0B0B"/>
        </w:rPr>
        <w:t>, Assistant Professor, Chemistry and Biochemistry, School of Medicine.</w:t>
      </w:r>
    </w:p>
    <w:p>
      <w:pPr>
        <w:pStyle w:val="BodyText"/>
        <w:spacing w:line="249" w:lineRule="auto" w:before="184"/>
        <w:ind w:right="322"/>
      </w:pPr>
      <w:r>
        <w:rPr>
          <w:b/>
          <w:color w:val="0B0B0B"/>
        </w:rPr>
        <w:t>Misono, Hiroaki</w:t>
      </w:r>
      <w:r>
        <w:rPr>
          <w:color w:val="0B0B0B"/>
        </w:rPr>
        <w:t>, (A), Assistant Professor, Biomedical Sciences, School of Dentistry. PhD, Sophia University, 1998; MS, Sophia University, 1995; BA, Sophia University, 1993.</w:t>
      </w:r>
    </w:p>
    <w:p>
      <w:pPr>
        <w:pStyle w:val="BodyText"/>
        <w:spacing w:line="249" w:lineRule="auto" w:before="181"/>
        <w:ind w:left="199" w:right="45"/>
      </w:pPr>
      <w:r>
        <w:rPr>
          <w:b/>
          <w:color w:val="0B0B0B"/>
        </w:rPr>
        <w:t>Mitchell, Braxton</w:t>
      </w:r>
      <w:r>
        <w:rPr>
          <w:color w:val="0B0B0B"/>
        </w:rPr>
        <w:t>, (R), Professor, Epidemiology and Public Health, School of Medicine. PhD, University of Michigan, 1987; MPH, University of Michigan, 1982; BA, Princeton University, 1978.</w:t>
      </w:r>
    </w:p>
    <w:p>
      <w:pPr>
        <w:pStyle w:val="BodyText"/>
        <w:spacing w:line="249" w:lineRule="auto"/>
        <w:ind w:left="199"/>
      </w:pPr>
      <w:r>
        <w:rPr>
          <w:b/>
          <w:color w:val="0B0B0B"/>
        </w:rPr>
        <w:t>Mixson, Archibald</w:t>
      </w:r>
      <w:r>
        <w:rPr>
          <w:color w:val="0B0B0B"/>
        </w:rPr>
        <w:t>, (A), Assistant Professor, Pathology, School of Medicine. MD, Emory University, 1979; BA, Vanderbilt University, 1974.</w:t>
      </w:r>
    </w:p>
    <w:p>
      <w:pPr>
        <w:pStyle w:val="BodyText"/>
        <w:spacing w:line="249" w:lineRule="auto" w:before="180"/>
        <w:ind w:left="199" w:right="68"/>
      </w:pPr>
      <w:r>
        <w:rPr>
          <w:b/>
          <w:color w:val="0B0B0B"/>
        </w:rPr>
        <w:t>Mong, Jessica A.</w:t>
      </w:r>
      <w:r>
        <w:rPr>
          <w:color w:val="0B0B0B"/>
        </w:rPr>
        <w:t>, (R), Assistant Professor, Pharmacology and Experimental Therapeutics, School of Medicine. PhD, University of Maryland School of Medicine, 2000; BS, Gettysburg College, 1991.</w:t>
      </w:r>
    </w:p>
    <w:p>
      <w:pPr>
        <w:pStyle w:val="BodyText"/>
        <w:spacing w:line="249" w:lineRule="auto"/>
        <w:ind w:left="199" w:right="256"/>
      </w:pPr>
      <w:r>
        <w:rPr>
          <w:b/>
          <w:color w:val="0B0B0B"/>
        </w:rPr>
        <w:t>Montaner, Silvia</w:t>
      </w:r>
      <w:r>
        <w:rPr>
          <w:color w:val="0B0B0B"/>
        </w:rPr>
        <w:t>, (R), Assistant Professor, Oral and Experimental Pathology, School of Dentistry., MPH, Pontificia Commillas University, 1998; PhD, Autonoma University, 1997; MS, University of Murcia, 1993.</w:t>
      </w:r>
    </w:p>
    <w:p>
      <w:pPr>
        <w:pStyle w:val="BodyText"/>
        <w:spacing w:line="249" w:lineRule="auto" w:before="181"/>
        <w:ind w:left="199" w:right="135"/>
      </w:pPr>
      <w:r>
        <w:rPr>
          <w:b/>
          <w:color w:val="0B0B0B"/>
        </w:rPr>
        <w:t>Montgomery, Kathryn</w:t>
      </w:r>
      <w:r>
        <w:rPr>
          <w:color w:val="0B0B0B"/>
        </w:rPr>
        <w:t>, (A), Associate Professor, Partnerships, Professional Education and Practice, School of Nursing. PhD, University of Maryland, 1997; MS, Catholic University of America, 1979; BS, Barry University, 1973.</w:t>
      </w:r>
    </w:p>
    <w:p>
      <w:pPr>
        <w:pStyle w:val="BodyText"/>
        <w:spacing w:line="249" w:lineRule="auto" w:before="186"/>
        <w:ind w:left="199" w:right="328"/>
      </w:pPr>
      <w:r>
        <w:rPr>
          <w:b/>
          <w:color w:val="0B0B0B"/>
        </w:rPr>
        <w:t>Moreton, Edward J.</w:t>
      </w:r>
      <w:r>
        <w:rPr>
          <w:color w:val="0B0B0B"/>
        </w:rPr>
        <w:t>, (R), Professor, Pharmaceutical Sciences, School of Pharmacy. PhD, University of Mississippi, 1971; BS, University of Mississippi, 1966.</w:t>
      </w:r>
    </w:p>
    <w:p>
      <w:pPr>
        <w:pStyle w:val="BodyText"/>
        <w:spacing w:line="249" w:lineRule="auto" w:before="180"/>
        <w:ind w:left="199"/>
      </w:pPr>
      <w:r>
        <w:rPr>
          <w:b/>
          <w:color w:val="0B0B0B"/>
        </w:rPr>
        <w:t>Morgan, Daniel</w:t>
      </w:r>
      <w:r>
        <w:rPr>
          <w:color w:val="0B0B0B"/>
        </w:rPr>
        <w:t>, (R), Associate Professor, Epidemiology, School of Medicine. MS, University of Rochester, 2001; BS, Reed College, 1996.</w:t>
      </w:r>
    </w:p>
    <w:p>
      <w:pPr>
        <w:spacing w:before="184"/>
        <w:ind w:left="199" w:right="0" w:firstLine="0"/>
        <w:jc w:val="left"/>
        <w:rPr>
          <w:sz w:val="20"/>
        </w:rPr>
      </w:pPr>
      <w:r>
        <w:rPr>
          <w:b/>
          <w:color w:val="0B0B0B"/>
          <w:sz w:val="20"/>
        </w:rPr>
        <w:t>Morgan, William</w:t>
      </w:r>
      <w:r>
        <w:rPr>
          <w:color w:val="0B0B0B"/>
          <w:sz w:val="20"/>
        </w:rPr>
        <w:t>, (R), Professor, Radiation Oncology,</w:t>
      </w:r>
    </w:p>
    <w:p>
      <w:pPr>
        <w:pStyle w:val="BodyText"/>
        <w:spacing w:line="249" w:lineRule="auto" w:before="96"/>
        <w:ind w:left="199" w:right="654"/>
      </w:pPr>
      <w:r>
        <w:rPr/>
        <w:br w:type="column"/>
      </w:r>
      <w:r>
        <w:rPr>
          <w:color w:val="0B0B0B"/>
        </w:rPr>
        <w:t>School of Medicine. PhD, University of Canterbury, 1980; MS, University of Canterbury, 1977; BS, University of Canterbury, 1975.</w:t>
      </w:r>
    </w:p>
    <w:p>
      <w:pPr>
        <w:pStyle w:val="BodyText"/>
        <w:spacing w:line="249" w:lineRule="auto" w:before="180"/>
        <w:ind w:left="199" w:right="704"/>
      </w:pPr>
      <w:r>
        <w:rPr>
          <w:b/>
          <w:color w:val="0B0B0B"/>
        </w:rPr>
        <w:t>Moudgil, Kamal</w:t>
      </w:r>
      <w:r>
        <w:rPr>
          <w:color w:val="0B0B0B"/>
        </w:rPr>
        <w:t>, (R), Associate Professor, Microbiology and Immunology, School of Medicine. PhD, All India Institute of Medical Sciences, 1988; MD, All India Institute of Medical Sciences, 1983; MD, Medicine Punjabi University, 1979.</w:t>
      </w:r>
    </w:p>
    <w:p>
      <w:pPr>
        <w:pStyle w:val="BodyText"/>
        <w:spacing w:line="249" w:lineRule="auto" w:before="186"/>
        <w:ind w:left="199" w:right="654"/>
      </w:pPr>
      <w:r>
        <w:rPr>
          <w:b/>
          <w:color w:val="0B0B0B"/>
        </w:rPr>
        <w:t>Mueller-Burke, Dawn</w:t>
      </w:r>
      <w:r>
        <w:rPr>
          <w:color w:val="0B0B0B"/>
        </w:rPr>
        <w:t>, (A), Assistant Professor, Family and Community Health, School of Nursing.PhD, University of Maryland, Baltimore, 2001; MS, University of Maryland, Baltimore, 1997; BSN, Indiana University of Pennsylvania, 1990.</w:t>
      </w:r>
    </w:p>
    <w:p>
      <w:pPr>
        <w:pStyle w:val="BodyText"/>
        <w:spacing w:line="249" w:lineRule="auto" w:before="181"/>
        <w:ind w:left="199" w:right="1155"/>
      </w:pPr>
      <w:r>
        <w:rPr>
          <w:b/>
          <w:color w:val="0B0B0B"/>
        </w:rPr>
        <w:t>Mullins, Daniel C.</w:t>
      </w:r>
      <w:r>
        <w:rPr>
          <w:color w:val="0B0B0B"/>
        </w:rPr>
        <w:t>, (R), Professor and Chair, Pharmaceutical Health Services Research, School of Pharmacy. PhD, Duke University, 1994; MA, Duke University, 1991; BS, Massachusetts Institute of Technology, 1986.</w:t>
      </w:r>
    </w:p>
    <w:p>
      <w:pPr>
        <w:pStyle w:val="BodyText"/>
        <w:spacing w:line="249" w:lineRule="auto" w:before="186"/>
        <w:ind w:left="199" w:right="615"/>
      </w:pPr>
      <w:r>
        <w:rPr>
          <w:b/>
          <w:color w:val="0B0B0B"/>
        </w:rPr>
        <w:t>Monteiro, Mervyn</w:t>
      </w:r>
      <w:r>
        <w:rPr>
          <w:color w:val="0B0B0B"/>
        </w:rPr>
        <w:t>, (R), Professor, Anatomy and Neurobiology, School of Medicine. PhD, National Institute for Medical Research, 1983; BS, University of London, 1979.</w:t>
      </w:r>
    </w:p>
    <w:p>
      <w:pPr>
        <w:pStyle w:val="BodyText"/>
        <w:spacing w:line="249" w:lineRule="auto" w:before="181"/>
        <w:ind w:left="199" w:right="810"/>
      </w:pPr>
      <w:r>
        <w:rPr>
          <w:b/>
          <w:color w:val="0B0B0B"/>
        </w:rPr>
        <w:t>Munger, Steven</w:t>
      </w:r>
      <w:r>
        <w:rPr>
          <w:color w:val="0B0B0B"/>
        </w:rPr>
        <w:t>, (R), Assistant Professor, Anatomy and Neurobiology, School of Medicine. PhD, University of Florida, 1996; BA, University of Virginia, 1989.</w:t>
      </w:r>
    </w:p>
    <w:p>
      <w:pPr>
        <w:pStyle w:val="BodyText"/>
        <w:spacing w:line="249" w:lineRule="auto" w:before="184"/>
        <w:ind w:left="199" w:right="628"/>
      </w:pPr>
      <w:r>
        <w:rPr>
          <w:b/>
          <w:color w:val="0B0B0B"/>
        </w:rPr>
        <w:t>Munson, Carlton</w:t>
      </w:r>
      <w:r>
        <w:rPr>
          <w:color w:val="0B0B0B"/>
        </w:rPr>
        <w:t>, (R), Professor, School of Social Work. PhD, University of Maryland, 1975; MSW, University of Maryland, 1969; BA, Shepherd College, 1964.</w:t>
      </w:r>
    </w:p>
    <w:p>
      <w:pPr>
        <w:pStyle w:val="BodyText"/>
        <w:spacing w:line="249" w:lineRule="auto" w:before="180"/>
        <w:ind w:left="199" w:right="815"/>
      </w:pPr>
      <w:r>
        <w:rPr>
          <w:b/>
          <w:color w:val="0B0B0B"/>
        </w:rPr>
        <w:t>Murphy, Lyn</w:t>
      </w:r>
      <w:r>
        <w:rPr>
          <w:color w:val="0B0B0B"/>
        </w:rPr>
        <w:t>, (R), Associate Professor, Organizational Systems and Adult Health, School of Nursing. PhD, University of Maryland, Baltimore County, 2006; MBA, University of Baltimore, 2001; MS, University of Maryland, Baltimore, 2001.</w:t>
      </w:r>
    </w:p>
    <w:p>
      <w:pPr>
        <w:pStyle w:val="BodyText"/>
        <w:spacing w:line="249" w:lineRule="auto" w:before="186"/>
        <w:ind w:left="199" w:right="804"/>
      </w:pPr>
      <w:r>
        <w:rPr>
          <w:b/>
          <w:color w:val="0B0B0B"/>
        </w:rPr>
        <w:t>Murray, Linda</w:t>
      </w:r>
      <w:r>
        <w:rPr>
          <w:color w:val="0B0B0B"/>
        </w:rPr>
        <w:t>, (A), Assistant Professor, Family and Community Health, School of Nursing. DNP, University of Maryland School of Nursing, 2016; MS, 1984; BS, Syracuse University, 1977.</w:t>
      </w:r>
    </w:p>
    <w:p>
      <w:pPr>
        <w:pStyle w:val="BodyText"/>
        <w:spacing w:line="249" w:lineRule="auto" w:before="181"/>
        <w:ind w:right="858"/>
      </w:pPr>
      <w:r>
        <w:rPr>
          <w:b/>
          <w:color w:val="0B0B0B"/>
        </w:rPr>
        <w:t>Myslinski, Norbert</w:t>
      </w:r>
      <w:r>
        <w:rPr>
          <w:color w:val="0B0B0B"/>
        </w:rPr>
        <w:t>, (R), Associate Professor, Oral and Craniofacial Biological Sciences, School of Dentistry. PhD, University of Illinois, 1973; BS, Canisius College, 1969.</w:t>
      </w:r>
    </w:p>
    <w:p>
      <w:pPr>
        <w:pStyle w:val="BodyText"/>
        <w:spacing w:line="249" w:lineRule="auto"/>
        <w:ind w:right="598"/>
      </w:pPr>
      <w:r>
        <w:rPr>
          <w:b/>
          <w:color w:val="0B0B0B"/>
        </w:rPr>
        <w:t>Nahm, Eun-Shim</w:t>
      </w:r>
      <w:r>
        <w:rPr>
          <w:color w:val="0B0B0B"/>
        </w:rPr>
        <w:t>, (R), Professor, Organizational Systems and Adult Health, School of Nursing. PhD, University of Maryland School of Nursing, 2003; MS, University of Hawaii at Manoa, Honolulu, 1995; BSN, EWHA Woman’s</w:t>
      </w:r>
    </w:p>
    <w:p>
      <w:pPr>
        <w:spacing w:after="0" w:line="249" w:lineRule="auto"/>
        <w:sectPr>
          <w:pgSz w:w="12240" w:h="15840"/>
          <w:pgMar w:header="746" w:footer="0" w:top="1320" w:bottom="280" w:left="880" w:right="300"/>
          <w:cols w:num="2" w:equalWidth="0">
            <w:col w:w="4981" w:space="506"/>
            <w:col w:w="5573"/>
          </w:cols>
        </w:sectPr>
      </w:pPr>
    </w:p>
    <w:p>
      <w:pPr>
        <w:pStyle w:val="BodyText"/>
        <w:spacing w:before="100"/>
      </w:pPr>
      <w:r>
        <w:rPr>
          <w:color w:val="0B0B0B"/>
        </w:rPr>
        <w:t>University, Seoul, Korea, 1989.</w:t>
      </w:r>
    </w:p>
    <w:p>
      <w:pPr>
        <w:pStyle w:val="BodyText"/>
        <w:spacing w:line="249" w:lineRule="auto" w:before="187"/>
        <w:ind w:right="253"/>
      </w:pPr>
      <w:r>
        <w:rPr>
          <w:b/>
          <w:color w:val="0B0B0B"/>
        </w:rPr>
        <w:t>Nataro, James</w:t>
      </w:r>
      <w:r>
        <w:rPr>
          <w:color w:val="0B0B0B"/>
        </w:rPr>
        <w:t>, (R), Professor, Pediatrics, School of Medicine. MD, PhD, University of Maryland, 1987; BS, University of Notre Dame, 1981.</w:t>
      </w:r>
    </w:p>
    <w:p>
      <w:pPr>
        <w:pStyle w:val="BodyText"/>
        <w:spacing w:line="249" w:lineRule="auto"/>
        <w:ind w:left="199" w:right="215"/>
      </w:pPr>
      <w:r>
        <w:rPr>
          <w:b/>
          <w:color w:val="0B0B0B"/>
        </w:rPr>
        <w:t>Nauman, Robert</w:t>
      </w:r>
      <w:r>
        <w:rPr>
          <w:color w:val="0B0B0B"/>
        </w:rPr>
        <w:t>, (R), Professor Emeritus, Oral and Craniofacial Biological Sciences, School of Dentistry. PhD, University of Massachusetts, 1968; MS, University of Massachusetts, 1965; BS, Pennsylvania State University, 1963.</w:t>
      </w:r>
    </w:p>
    <w:p>
      <w:pPr>
        <w:pStyle w:val="BodyText"/>
        <w:spacing w:line="249" w:lineRule="auto" w:before="181"/>
        <w:ind w:left="199" w:right="42"/>
      </w:pPr>
      <w:r>
        <w:rPr>
          <w:b/>
          <w:color w:val="0B0B0B"/>
        </w:rPr>
        <w:t>Neapolitan, Jane, </w:t>
      </w:r>
      <w:r>
        <w:rPr>
          <w:color w:val="0B0B0B"/>
        </w:rPr>
        <w:t>(A), Professor, Towson University. BA, Sacred Heart University; MS, University of Bridgeport; EdD, Columbia University.</w:t>
      </w:r>
    </w:p>
    <w:p>
      <w:pPr>
        <w:pStyle w:val="BodyText"/>
        <w:spacing w:line="249" w:lineRule="auto"/>
        <w:ind w:left="199" w:right="33"/>
      </w:pPr>
      <w:r>
        <w:rPr>
          <w:b/>
          <w:color w:val="0B0B0B"/>
        </w:rPr>
        <w:t>Negi, Nalini</w:t>
      </w:r>
      <w:r>
        <w:rPr>
          <w:color w:val="0B0B0B"/>
        </w:rPr>
        <w:t>, (A), Assistant Professor, </w:t>
      </w:r>
      <w:r>
        <w:rPr>
          <w:color w:val="0B0B0B"/>
          <w:spacing w:val="-2"/>
        </w:rPr>
        <w:t>School </w:t>
      </w:r>
      <w:r>
        <w:rPr>
          <w:color w:val="0B0B0B"/>
          <w:spacing w:val="-3"/>
        </w:rPr>
        <w:t>of </w:t>
      </w:r>
      <w:r>
        <w:rPr>
          <w:color w:val="0B0B0B"/>
        </w:rPr>
        <w:t>Social Work. </w:t>
      </w:r>
      <w:r>
        <w:rPr>
          <w:color w:val="0B0B0B"/>
          <w:spacing w:val="-3"/>
        </w:rPr>
        <w:t>PhD, </w:t>
      </w:r>
      <w:r>
        <w:rPr>
          <w:color w:val="0B0B0B"/>
        </w:rPr>
        <w:t>University of Texas, 2008; MSW, University of Southern California, 2003; </w:t>
      </w:r>
      <w:r>
        <w:rPr>
          <w:color w:val="0B0B0B"/>
          <w:spacing w:val="-3"/>
        </w:rPr>
        <w:t>BA, </w:t>
      </w:r>
      <w:r>
        <w:rPr>
          <w:color w:val="0B0B0B"/>
        </w:rPr>
        <w:t>University of California, 2000.</w:t>
      </w:r>
    </w:p>
    <w:p>
      <w:pPr>
        <w:pStyle w:val="BodyText"/>
        <w:spacing w:line="249" w:lineRule="auto" w:before="180"/>
        <w:ind w:hanging="1"/>
      </w:pPr>
      <w:r>
        <w:rPr>
          <w:b/>
          <w:color w:val="0B0B0B"/>
        </w:rPr>
        <w:t>Netzel-Arnett, Sarah</w:t>
      </w:r>
      <w:r>
        <w:rPr>
          <w:color w:val="0B0B0B"/>
        </w:rPr>
        <w:t>, (A), Assistant Professor,</w:t>
      </w:r>
      <w:r>
        <w:rPr>
          <w:color w:val="0B0B0B"/>
          <w:spacing w:val="-22"/>
        </w:rPr>
        <w:t> </w:t>
      </w:r>
      <w:r>
        <w:rPr>
          <w:color w:val="0B0B0B"/>
        </w:rPr>
        <w:t>Molecular Medicine, School </w:t>
      </w:r>
      <w:r>
        <w:rPr>
          <w:color w:val="0B0B0B"/>
          <w:spacing w:val="-3"/>
        </w:rPr>
        <w:t>of </w:t>
      </w:r>
      <w:r>
        <w:rPr>
          <w:color w:val="0B0B0B"/>
        </w:rPr>
        <w:t>Medicine. </w:t>
      </w:r>
      <w:r>
        <w:rPr>
          <w:color w:val="0B0B0B"/>
          <w:spacing w:val="-3"/>
        </w:rPr>
        <w:t>PhD, </w:t>
      </w:r>
      <w:r>
        <w:rPr>
          <w:color w:val="0B0B0B"/>
        </w:rPr>
        <w:t>Florida State University, 1994; </w:t>
      </w:r>
      <w:r>
        <w:rPr>
          <w:color w:val="0B0B0B"/>
          <w:spacing w:val="-3"/>
        </w:rPr>
        <w:t>BS, </w:t>
      </w:r>
      <w:r>
        <w:rPr>
          <w:color w:val="0B0B0B"/>
        </w:rPr>
        <w:t>University of Alaska Anchorage, 1988.</w:t>
      </w:r>
    </w:p>
    <w:p>
      <w:pPr>
        <w:pStyle w:val="BodyText"/>
        <w:spacing w:line="249" w:lineRule="auto" w:before="186"/>
        <w:ind w:right="272"/>
        <w:jc w:val="both"/>
      </w:pPr>
      <w:r>
        <w:rPr>
          <w:b/>
          <w:color w:val="0B0B0B"/>
        </w:rPr>
        <w:t>Neumann, Theresa, </w:t>
      </w:r>
      <w:r>
        <w:rPr>
          <w:color w:val="0B0B0B"/>
        </w:rPr>
        <w:t>(A), Associate Professor, Graduate School. BA, College of Notre Dame of Maryland, 1987; PA-C, University of Nebraska Medical Center, 2014.</w:t>
      </w:r>
    </w:p>
    <w:p>
      <w:pPr>
        <w:pStyle w:val="BodyText"/>
        <w:spacing w:line="249" w:lineRule="auto" w:before="179"/>
        <w:ind w:right="80"/>
      </w:pPr>
      <w:r>
        <w:rPr>
          <w:b/>
          <w:color w:val="0B0B0B"/>
        </w:rPr>
        <w:t>Neuwald, Andrew F.</w:t>
      </w:r>
      <w:r>
        <w:rPr>
          <w:color w:val="0B0B0B"/>
        </w:rPr>
        <w:t>, (R), Professor, Biochemistry and Molecular Biology, School of Medicine. PhD, Iowa University, 1987; MS, University of Wisconsin, 1983; BS, University of Wisconsin, 1978.</w:t>
      </w:r>
    </w:p>
    <w:p>
      <w:pPr>
        <w:pStyle w:val="BodyText"/>
        <w:spacing w:line="249" w:lineRule="auto" w:before="186"/>
        <w:ind w:hanging="1"/>
      </w:pPr>
      <w:r>
        <w:rPr>
          <w:b/>
          <w:color w:val="0B0B0B"/>
        </w:rPr>
        <w:t>Nicholson, Ebony</w:t>
      </w:r>
      <w:r>
        <w:rPr>
          <w:color w:val="0B0B0B"/>
        </w:rPr>
        <w:t>, (A), Graduate School. BA, American University, 2011; MSW, University of Maryland, Baltimore, 2016.</w:t>
      </w:r>
    </w:p>
    <w:p>
      <w:pPr>
        <w:pStyle w:val="BodyText"/>
        <w:spacing w:line="249" w:lineRule="auto" w:before="180"/>
        <w:ind w:right="262"/>
        <w:jc w:val="both"/>
      </w:pPr>
      <w:r>
        <w:rPr>
          <w:b/>
          <w:color w:val="0B0B0B"/>
        </w:rPr>
        <w:t>Ning, Yi</w:t>
      </w:r>
      <w:r>
        <w:rPr>
          <w:color w:val="0B0B0B"/>
        </w:rPr>
        <w:t>, (R), Assistant Professor, Pathology, School of Medicine. PhD, Baylor College of Medicine, 1991; MD, Shanghai First Medical College, 1984.</w:t>
      </w:r>
    </w:p>
    <w:p>
      <w:pPr>
        <w:pStyle w:val="BodyText"/>
        <w:spacing w:line="249" w:lineRule="auto" w:before="184"/>
        <w:ind w:right="347"/>
      </w:pPr>
      <w:r>
        <w:rPr>
          <w:b/>
          <w:color w:val="0B0B0B"/>
        </w:rPr>
        <w:t>Njar, Vincent</w:t>
      </w:r>
      <w:r>
        <w:rPr>
          <w:color w:val="0B0B0B"/>
        </w:rPr>
        <w:t>, (R), Assistant Professor, Pharmacology and Experimental Therapeutics, School of Medicine.</w:t>
      </w:r>
    </w:p>
    <w:p>
      <w:pPr>
        <w:pStyle w:val="BodyText"/>
        <w:spacing w:line="249" w:lineRule="auto" w:before="2"/>
        <w:ind w:right="536"/>
      </w:pPr>
      <w:r>
        <w:rPr>
          <w:color w:val="0B0B0B"/>
        </w:rPr>
        <w:t>PhD,University of London, 1980; BSc, University of Ibadan, 1976.</w:t>
      </w:r>
    </w:p>
    <w:p>
      <w:pPr>
        <w:pStyle w:val="BodyText"/>
        <w:spacing w:line="249" w:lineRule="auto" w:before="179"/>
        <w:ind w:right="492"/>
      </w:pPr>
      <w:r>
        <w:rPr>
          <w:b/>
          <w:color w:val="0B0B0B"/>
        </w:rPr>
        <w:t>Njie-Carr, Veronica</w:t>
      </w:r>
      <w:r>
        <w:rPr>
          <w:color w:val="0B0B0B"/>
        </w:rPr>
        <w:t>, (A), Assistant Professor, Organizational Systems and Adult Health, School of Nursing. PhD, Catholic University of America, 2007; MSN, Catholic University of America, 1996; BSN, Howard University, 1992.</w:t>
      </w:r>
    </w:p>
    <w:p>
      <w:pPr>
        <w:pStyle w:val="BodyText"/>
        <w:spacing w:line="249" w:lineRule="auto" w:before="186"/>
        <w:ind w:right="192"/>
      </w:pPr>
      <w:r>
        <w:rPr>
          <w:b/>
          <w:color w:val="0B0B0B"/>
        </w:rPr>
        <w:t>Noel, Jason</w:t>
      </w:r>
      <w:r>
        <w:rPr>
          <w:color w:val="0B0B0B"/>
        </w:rPr>
        <w:t>, (A), Assistant Professor, Pharmaceutical Health Services Research, School of Pharmacy. PharmD,</w:t>
      </w:r>
    </w:p>
    <w:p>
      <w:pPr>
        <w:pStyle w:val="BodyText"/>
        <w:spacing w:line="249" w:lineRule="auto" w:before="96"/>
        <w:ind w:left="199" w:right="1198"/>
      </w:pPr>
      <w:r>
        <w:rPr/>
        <w:br w:type="column"/>
      </w:r>
      <w:r>
        <w:rPr>
          <w:color w:val="0B0B0B"/>
        </w:rPr>
        <w:t>Rutgers University College of Pharmacy, 1999; BS, Rutgers University College of Pharmacy, 1999.</w:t>
      </w:r>
    </w:p>
    <w:p>
      <w:pPr>
        <w:pStyle w:val="BodyText"/>
        <w:spacing w:line="249" w:lineRule="auto" w:before="179"/>
        <w:ind w:right="628"/>
      </w:pPr>
      <w:r>
        <w:rPr>
          <w:b/>
          <w:color w:val="0B0B0B"/>
        </w:rPr>
        <w:t>Nurminskaya, Maria</w:t>
      </w:r>
      <w:r>
        <w:rPr>
          <w:color w:val="0B0B0B"/>
        </w:rPr>
        <w:t>, (R), Associate Professor, Biochemistry and Molecular </w:t>
      </w:r>
      <w:r>
        <w:rPr>
          <w:color w:val="0B0B0B"/>
          <w:spacing w:val="-3"/>
        </w:rPr>
        <w:t>Biology, </w:t>
      </w:r>
      <w:r>
        <w:rPr>
          <w:color w:val="0B0B0B"/>
          <w:spacing w:val="-2"/>
        </w:rPr>
        <w:t>School </w:t>
      </w:r>
      <w:r>
        <w:rPr>
          <w:color w:val="0B0B0B"/>
        </w:rPr>
        <w:t>of Medicine. PhD, </w:t>
      </w:r>
      <w:r>
        <w:rPr>
          <w:color w:val="0B0B0B"/>
          <w:spacing w:val="-3"/>
        </w:rPr>
        <w:t>Moscow </w:t>
      </w:r>
      <w:r>
        <w:rPr>
          <w:color w:val="0B0B0B"/>
        </w:rPr>
        <w:t>State University, 1993; </w:t>
      </w:r>
      <w:r>
        <w:rPr>
          <w:color w:val="0B0B0B"/>
          <w:spacing w:val="-3"/>
        </w:rPr>
        <w:t>BSc, Moscow </w:t>
      </w:r>
      <w:r>
        <w:rPr>
          <w:color w:val="0B0B0B"/>
        </w:rPr>
        <w:t>State University,</w:t>
      </w:r>
      <w:r>
        <w:rPr>
          <w:color w:val="0B0B0B"/>
          <w:spacing w:val="4"/>
        </w:rPr>
        <w:t> </w:t>
      </w:r>
      <w:r>
        <w:rPr>
          <w:color w:val="0B0B0B"/>
        </w:rPr>
        <w:t>1987.</w:t>
      </w:r>
    </w:p>
    <w:p>
      <w:pPr>
        <w:pStyle w:val="BodyText"/>
        <w:spacing w:line="249" w:lineRule="auto"/>
        <w:ind w:right="869"/>
      </w:pPr>
      <w:r>
        <w:rPr>
          <w:b/>
          <w:color w:val="0B0B0B"/>
        </w:rPr>
        <w:t>O’Connor, Timothy</w:t>
      </w:r>
      <w:r>
        <w:rPr>
          <w:color w:val="0B0B0B"/>
        </w:rPr>
        <w:t>, (A), Assistant Professor, Institute for Genome Sciences, School </w:t>
      </w:r>
      <w:r>
        <w:rPr>
          <w:color w:val="0B0B0B"/>
          <w:spacing w:val="-3"/>
        </w:rPr>
        <w:t>of </w:t>
      </w:r>
      <w:r>
        <w:rPr>
          <w:color w:val="0B0B0B"/>
        </w:rPr>
        <w:t>Medicine. </w:t>
      </w:r>
      <w:r>
        <w:rPr>
          <w:color w:val="0B0B0B"/>
          <w:spacing w:val="-3"/>
        </w:rPr>
        <w:t>PhD, </w:t>
      </w:r>
      <w:r>
        <w:rPr>
          <w:color w:val="0B0B0B"/>
        </w:rPr>
        <w:t>University of Cambridge, 2011; </w:t>
      </w:r>
      <w:r>
        <w:rPr>
          <w:color w:val="0B0B0B"/>
          <w:spacing w:val="-3"/>
        </w:rPr>
        <w:t>BS, </w:t>
      </w:r>
      <w:r>
        <w:rPr>
          <w:color w:val="0B0B0B"/>
        </w:rPr>
        <w:t>Brigham Young University,</w:t>
      </w:r>
      <w:r>
        <w:rPr>
          <w:color w:val="0B0B0B"/>
          <w:spacing w:val="4"/>
        </w:rPr>
        <w:t> </w:t>
      </w:r>
      <w:r>
        <w:rPr>
          <w:color w:val="0B0B0B"/>
        </w:rPr>
        <w:t>2007.</w:t>
      </w:r>
    </w:p>
    <w:p>
      <w:pPr>
        <w:pStyle w:val="BodyText"/>
        <w:spacing w:line="249" w:lineRule="auto" w:before="181"/>
        <w:ind w:right="1125"/>
        <w:jc w:val="both"/>
      </w:pPr>
      <w:r>
        <w:rPr>
          <w:b/>
          <w:color w:val="0B0B0B"/>
        </w:rPr>
        <w:t>Odessky, Larisa, </w:t>
      </w:r>
      <w:r>
        <w:rPr>
          <w:color w:val="0B0B0B"/>
        </w:rPr>
        <w:t>(A), Assistant Professor, Graduate School. BHS, Florida International University, 2010; PharmD, Nova Southeastern University, 2014.</w:t>
      </w:r>
    </w:p>
    <w:p>
      <w:pPr>
        <w:pStyle w:val="BodyText"/>
        <w:spacing w:line="249" w:lineRule="auto" w:before="184"/>
        <w:ind w:right="644"/>
        <w:jc w:val="both"/>
      </w:pPr>
      <w:r>
        <w:rPr>
          <w:b/>
          <w:color w:val="0B0B0B"/>
        </w:rPr>
        <w:t>O’Donnell, Patricio</w:t>
      </w:r>
      <w:r>
        <w:rPr>
          <w:color w:val="0B0B0B"/>
        </w:rPr>
        <w:t>, (R), Professor, Neuroscience, </w:t>
      </w:r>
      <w:r>
        <w:rPr>
          <w:color w:val="0B0B0B"/>
          <w:spacing w:val="-3"/>
        </w:rPr>
        <w:t>School </w:t>
      </w:r>
      <w:r>
        <w:rPr>
          <w:color w:val="0B0B0B"/>
        </w:rPr>
        <w:t>of Medicine. PhD, University of Buenos Aires, 1990; </w:t>
      </w:r>
      <w:r>
        <w:rPr>
          <w:color w:val="0B0B0B"/>
          <w:spacing w:val="-2"/>
        </w:rPr>
        <w:t>MD, </w:t>
      </w:r>
      <w:r>
        <w:rPr>
          <w:color w:val="0B0B0B"/>
        </w:rPr>
        <w:t>University of Buenos Aires, 1989.</w:t>
      </w:r>
    </w:p>
    <w:p>
      <w:pPr>
        <w:pStyle w:val="BodyText"/>
        <w:spacing w:line="249" w:lineRule="auto" w:before="180"/>
        <w:ind w:right="649" w:hanging="1"/>
      </w:pPr>
      <w:r>
        <w:rPr>
          <w:b/>
          <w:color w:val="0B0B0B"/>
        </w:rPr>
        <w:t>Ofonedu, Mirian, </w:t>
      </w:r>
      <w:r>
        <w:rPr>
          <w:color w:val="0B0B0B"/>
        </w:rPr>
        <w:t>(A), Adjunct Faculty, Graduate School. BA, University of Nigeria, 1995; MSW, University of Maryland, Baltimore, 1991; PhD, Cappella University, 2011.</w:t>
      </w:r>
    </w:p>
    <w:p>
      <w:pPr>
        <w:pStyle w:val="BodyText"/>
        <w:spacing w:line="249" w:lineRule="auto" w:before="186"/>
        <w:ind w:right="741"/>
      </w:pPr>
      <w:r>
        <w:rPr>
          <w:b/>
          <w:color w:val="0B0B0B"/>
        </w:rPr>
        <w:t>Ogbolu, Yolanda</w:t>
      </w:r>
      <w:r>
        <w:rPr>
          <w:color w:val="0B0B0B"/>
        </w:rPr>
        <w:t>, (A), Assistant Professor, Partnerships, Professional Education, and Practice, School of Nursing. PhD, University of Maryland, Baltimore, 2010; MS, University of Maryland, Baltimore, 2006; BS, University of Maryland, Baltimore, 2004.</w:t>
      </w:r>
    </w:p>
    <w:p>
      <w:pPr>
        <w:pStyle w:val="BodyText"/>
        <w:spacing w:line="249" w:lineRule="auto" w:before="181"/>
        <w:ind w:right="675"/>
      </w:pPr>
      <w:r>
        <w:rPr>
          <w:b/>
          <w:color w:val="0B0B0B"/>
        </w:rPr>
        <w:t>Oglesby-Sherrouse, Amanda</w:t>
      </w:r>
      <w:r>
        <w:rPr>
          <w:color w:val="0B0B0B"/>
        </w:rPr>
        <w:t>, (R), Assistant Professor, Pharmaceutical Sciences, School of Pharmacy. PhD, University of Texas, 2005; BS, University of Texas, 2000.</w:t>
      </w:r>
    </w:p>
    <w:p>
      <w:pPr>
        <w:pStyle w:val="BodyText"/>
        <w:spacing w:line="249" w:lineRule="auto" w:before="184"/>
        <w:ind w:right="986"/>
      </w:pPr>
      <w:r>
        <w:rPr>
          <w:b/>
          <w:color w:val="0B0B0B"/>
        </w:rPr>
        <w:t>Oh, Se-Lim</w:t>
      </w:r>
      <w:r>
        <w:rPr>
          <w:color w:val="0B0B0B"/>
        </w:rPr>
        <w:t>, (A), Assistant Professor, Biomedical Sciences, School of Dentistry. DMD, Kyung Hee University, Korea, 1995; MS, University of Maryland, Baltimore, 2006.</w:t>
      </w:r>
    </w:p>
    <w:p>
      <w:pPr>
        <w:pStyle w:val="BodyText"/>
        <w:spacing w:line="249" w:lineRule="auto" w:before="181"/>
        <w:ind w:right="688"/>
        <w:jc w:val="both"/>
      </w:pPr>
      <w:r>
        <w:rPr>
          <w:b/>
          <w:color w:val="0B0B0B"/>
        </w:rPr>
        <w:t>Ohm, Colleen, (A), </w:t>
      </w:r>
      <w:r>
        <w:rPr>
          <w:color w:val="0B0B0B"/>
        </w:rPr>
        <w:t>Assistant Professor, Graduate School. BS, Towson University, 2002; MS, St. Francis University, 2007; PA-C, AACC, 2007.</w:t>
      </w:r>
    </w:p>
    <w:p>
      <w:pPr>
        <w:pStyle w:val="BodyText"/>
        <w:spacing w:line="249" w:lineRule="auto"/>
        <w:ind w:right="770"/>
      </w:pPr>
      <w:r>
        <w:rPr>
          <w:b/>
          <w:color w:val="0B0B0B"/>
        </w:rPr>
        <w:t>Olsen, Josephine</w:t>
      </w:r>
      <w:r>
        <w:rPr>
          <w:color w:val="0B0B0B"/>
        </w:rPr>
        <w:t>, (A), Visiting Professor, </w:t>
      </w:r>
      <w:r>
        <w:rPr>
          <w:color w:val="0B0B0B"/>
          <w:spacing w:val="-3"/>
        </w:rPr>
        <w:t>School </w:t>
      </w:r>
      <w:r>
        <w:rPr>
          <w:color w:val="0B0B0B"/>
        </w:rPr>
        <w:t>of Social Work. PhD, University of Maryland, 1979; MSW, University of Maryland, 1972; </w:t>
      </w:r>
      <w:r>
        <w:rPr>
          <w:color w:val="0B0B0B"/>
          <w:spacing w:val="-3"/>
        </w:rPr>
        <w:t>BS, </w:t>
      </w:r>
      <w:r>
        <w:rPr>
          <w:color w:val="0B0B0B"/>
        </w:rPr>
        <w:t>University of Utah, 1965.</w:t>
      </w:r>
    </w:p>
    <w:p>
      <w:pPr>
        <w:pStyle w:val="BodyText"/>
        <w:spacing w:line="249" w:lineRule="auto" w:before="180"/>
        <w:ind w:right="798"/>
      </w:pPr>
      <w:r>
        <w:rPr>
          <w:b/>
          <w:color w:val="0B0B0B"/>
        </w:rPr>
        <w:t>Olson Jr., John A.</w:t>
      </w:r>
      <w:r>
        <w:rPr>
          <w:color w:val="0B0B0B"/>
        </w:rPr>
        <w:t>, (A), Professor, </w:t>
      </w:r>
      <w:r>
        <w:rPr>
          <w:color w:val="0B0B0B"/>
          <w:spacing w:val="-3"/>
        </w:rPr>
        <w:t>Surgery, </w:t>
      </w:r>
      <w:r>
        <w:rPr>
          <w:color w:val="0B0B0B"/>
          <w:spacing w:val="-2"/>
        </w:rPr>
        <w:t>School </w:t>
      </w:r>
      <w:r>
        <w:rPr>
          <w:color w:val="0B0B0B"/>
          <w:spacing w:val="-5"/>
        </w:rPr>
        <w:t>of </w:t>
      </w:r>
      <w:r>
        <w:rPr>
          <w:color w:val="0B0B0B"/>
        </w:rPr>
        <w:t>Medicine. MD, University of Florida, 1992; PhD, University of Florida, 1990; </w:t>
      </w:r>
      <w:r>
        <w:rPr>
          <w:color w:val="0B0B0B"/>
          <w:spacing w:val="-3"/>
        </w:rPr>
        <w:t>BS, </w:t>
      </w:r>
      <w:r>
        <w:rPr>
          <w:color w:val="0B0B0B"/>
        </w:rPr>
        <w:t>University of Michigan, 1986.</w:t>
      </w:r>
    </w:p>
    <w:p>
      <w:pPr>
        <w:spacing w:before="185"/>
        <w:ind w:left="200" w:right="0" w:firstLine="0"/>
        <w:jc w:val="left"/>
        <w:rPr>
          <w:sz w:val="20"/>
        </w:rPr>
      </w:pPr>
      <w:r>
        <w:rPr>
          <w:b/>
          <w:color w:val="0B0B0B"/>
          <w:sz w:val="20"/>
        </w:rPr>
        <w:t>O’Neil, Carol</w:t>
      </w:r>
      <w:r>
        <w:rPr>
          <w:color w:val="0B0B0B"/>
          <w:sz w:val="20"/>
        </w:rPr>
        <w:t>, (A), Assistant Professor, Partnerships,</w:t>
      </w:r>
    </w:p>
    <w:p>
      <w:pPr>
        <w:spacing w:after="0"/>
        <w:jc w:val="left"/>
        <w:rPr>
          <w:sz w:val="20"/>
        </w:rPr>
        <w:sectPr>
          <w:headerReference w:type="even" r:id="rId134"/>
          <w:headerReference w:type="default" r:id="rId135"/>
          <w:pgSz w:w="12240" w:h="15840"/>
          <w:pgMar w:header="746" w:footer="0" w:top="1320" w:bottom="280" w:left="880" w:right="300"/>
          <w:pgNumType w:start="232"/>
          <w:cols w:num="2" w:equalWidth="0">
            <w:col w:w="4995" w:space="492"/>
            <w:col w:w="5573"/>
          </w:cols>
        </w:sectPr>
      </w:pPr>
    </w:p>
    <w:p>
      <w:pPr>
        <w:pStyle w:val="BodyText"/>
        <w:spacing w:line="249" w:lineRule="auto" w:before="100"/>
        <w:ind w:right="229"/>
        <w:jc w:val="both"/>
      </w:pPr>
      <w:r>
        <w:rPr>
          <w:color w:val="0B0B0B"/>
        </w:rPr>
        <w:t>Professional Education, and Practice, School of Nursing. PhD, University of South Florida, 1988; MEd, Columbia University, 1978; MA, Columbia University, 1976.</w:t>
      </w:r>
    </w:p>
    <w:p>
      <w:pPr>
        <w:pStyle w:val="BodyText"/>
        <w:spacing w:line="249" w:lineRule="auto" w:before="180"/>
        <w:ind w:right="153"/>
      </w:pPr>
      <w:r>
        <w:rPr>
          <w:b/>
          <w:color w:val="0B0B0B"/>
        </w:rPr>
        <w:t>Onukwugha, Eberechukwu</w:t>
      </w:r>
      <w:r>
        <w:rPr>
          <w:color w:val="0B0B0B"/>
        </w:rPr>
        <w:t>, (R), Research Assistant Professor, Pharmaceutical Health Services Research, School of Pharmacy. PhD, Virginia Polytechnic Institute and State University, 2004; MSc, Virginia Polytechnic Institute and State University, 1997; BA, State University of New York, 1995.</w:t>
      </w:r>
    </w:p>
    <w:p>
      <w:pPr>
        <w:pStyle w:val="BodyText"/>
        <w:spacing w:line="249" w:lineRule="auto" w:before="186"/>
        <w:ind w:left="199"/>
      </w:pPr>
      <w:r>
        <w:rPr>
          <w:b/>
          <w:color w:val="0B0B0B"/>
        </w:rPr>
        <w:t>Oram, Diana</w:t>
      </w:r>
      <w:r>
        <w:rPr>
          <w:color w:val="0B0B0B"/>
        </w:rPr>
        <w:t>, (A), Assistant Professor, Biomedical Sciences, School of Dentistry. PhD, Emory University, 1999; BS, Georgia Institute of Technology, 1992.</w:t>
      </w:r>
    </w:p>
    <w:p>
      <w:pPr>
        <w:pStyle w:val="BodyText"/>
        <w:spacing w:line="249" w:lineRule="auto" w:before="180"/>
        <w:ind w:right="37"/>
      </w:pPr>
      <w:r>
        <w:rPr>
          <w:b/>
          <w:color w:val="0B0B0B"/>
        </w:rPr>
        <w:t>Orwig, Denise</w:t>
      </w:r>
      <w:r>
        <w:rPr>
          <w:color w:val="0B0B0B"/>
        </w:rPr>
        <w:t>, (R), Associate Professor, Epidemiology and Public Health, School of Medicine. PhD, Pennsylvania State University, 1998; MS, Johns Hopkins University, 1993; BS, University of Pittsburgh, 1989.</w:t>
      </w:r>
    </w:p>
    <w:p>
      <w:pPr>
        <w:spacing w:line="249" w:lineRule="auto" w:before="185"/>
        <w:ind w:left="200" w:right="470" w:firstLine="0"/>
        <w:jc w:val="left"/>
        <w:rPr>
          <w:sz w:val="20"/>
        </w:rPr>
      </w:pPr>
      <w:r>
        <w:rPr>
          <w:b/>
          <w:color w:val="0B0B0B"/>
          <w:sz w:val="20"/>
        </w:rPr>
        <w:t>Ostrand-Rosenberg, Suzanne</w:t>
      </w:r>
      <w:r>
        <w:rPr>
          <w:color w:val="0B0B0B"/>
          <w:sz w:val="20"/>
        </w:rPr>
        <w:t>, Professor, Biological Sciences, School of Medicine.</w:t>
      </w:r>
    </w:p>
    <w:p>
      <w:pPr>
        <w:pStyle w:val="BodyText"/>
        <w:spacing w:line="249" w:lineRule="auto" w:before="180"/>
        <w:ind w:right="48"/>
      </w:pPr>
      <w:r>
        <w:rPr>
          <w:b/>
          <w:color w:val="0B0B0B"/>
        </w:rPr>
        <w:t>Oswald, Lynn M.</w:t>
      </w:r>
      <w:r>
        <w:rPr>
          <w:color w:val="0B0B0B"/>
        </w:rPr>
        <w:t>, (A), Associate Professor, Family and Community Health, School of Nursing. PhD, University of Texas, 2001; MSN, University of Texas, 1990; BS, University of Wisconsin, 1971.</w:t>
      </w:r>
    </w:p>
    <w:p>
      <w:pPr>
        <w:pStyle w:val="BodyText"/>
        <w:spacing w:line="249" w:lineRule="auto"/>
        <w:ind w:right="365" w:hanging="1"/>
      </w:pPr>
      <w:r>
        <w:rPr>
          <w:b/>
          <w:color w:val="0B0B0B"/>
        </w:rPr>
        <w:t>Otis, Linda</w:t>
      </w:r>
      <w:r>
        <w:rPr>
          <w:color w:val="0B0B0B"/>
        </w:rPr>
        <w:t>, (R), Professor, School of Dentistry. DDS, University of Nebraska, 1984; MS, University of Nebraska, 1979; BS, University of Nebraska, 1976.</w:t>
      </w:r>
    </w:p>
    <w:p>
      <w:pPr>
        <w:pStyle w:val="BodyText"/>
        <w:spacing w:line="249" w:lineRule="auto" w:before="180"/>
        <w:ind w:right="254"/>
      </w:pPr>
      <w:r>
        <w:rPr>
          <w:b/>
          <w:color w:val="0B0B0B"/>
        </w:rPr>
        <w:t>Ouattara, Ahmed</w:t>
      </w:r>
      <w:r>
        <w:rPr>
          <w:color w:val="0B0B0B"/>
        </w:rPr>
        <w:t>, (A), Research Associate, Global Health. PhD, University of Maryland, Baltimore, 2012; PharmD, School of Medicine and Pharmacy Mali, 1998; BS, Lycee Modern Sya, 1989.</w:t>
      </w:r>
    </w:p>
    <w:p>
      <w:pPr>
        <w:pStyle w:val="BodyText"/>
        <w:spacing w:line="249" w:lineRule="auto"/>
        <w:ind w:right="414"/>
      </w:pPr>
      <w:r>
        <w:rPr>
          <w:b/>
          <w:color w:val="0B0B0B"/>
        </w:rPr>
        <w:t>Overby, Casey</w:t>
      </w:r>
      <w:r>
        <w:rPr>
          <w:color w:val="0B0B0B"/>
        </w:rPr>
        <w:t>, (A), Assistant Professor, School of Medicine. PhD, University of Washington, 2011; MB, University of Pennsylvania, 2006; BS, University of Michigan, 2004.</w:t>
      </w:r>
    </w:p>
    <w:p>
      <w:pPr>
        <w:pStyle w:val="BodyText"/>
        <w:spacing w:line="249" w:lineRule="auto" w:before="180"/>
        <w:ind w:right="20"/>
      </w:pPr>
      <w:r>
        <w:rPr>
          <w:b/>
          <w:color w:val="0B0B0B"/>
        </w:rPr>
        <w:t>Overholser, C. Daniel</w:t>
      </w:r>
      <w:r>
        <w:rPr>
          <w:color w:val="0B0B0B"/>
        </w:rPr>
        <w:t>, (R), Professor, Oral Medicine, School of Dentistry. MSD, Indiana University, 1972; DDS, Indiana University, 1970; BS, University of Notre Dame, 1966.</w:t>
      </w:r>
    </w:p>
    <w:p>
      <w:pPr>
        <w:pStyle w:val="BodyText"/>
        <w:spacing w:line="249" w:lineRule="auto" w:before="186"/>
        <w:ind w:right="86"/>
      </w:pPr>
      <w:r>
        <w:rPr>
          <w:b/>
          <w:color w:val="0B0B0B"/>
        </w:rPr>
        <w:t>Owens, Jennifer, </w:t>
      </w:r>
      <w:r>
        <w:rPr>
          <w:color w:val="0B0B0B"/>
        </w:rPr>
        <w:t>(A), Associate Professor, Graduate School. BA, University of North Carolina, Chapel Hill, 2007; MS, East Stroudsburg University; DS, University of Baltimore, 2016.</w:t>
      </w:r>
    </w:p>
    <w:p>
      <w:pPr>
        <w:pStyle w:val="BodyText"/>
        <w:spacing w:line="249" w:lineRule="auto" w:before="180"/>
        <w:ind w:right="120"/>
      </w:pPr>
      <w:r>
        <w:rPr>
          <w:b/>
          <w:color w:val="0B0B0B"/>
        </w:rPr>
        <w:t>Pae, Eung-Kwon</w:t>
      </w:r>
      <w:r>
        <w:rPr>
          <w:color w:val="0B0B0B"/>
        </w:rPr>
        <w:t>, (A), Associate Professor, Orthodontics and Pediatric Dentistry, School of Dentistry. PhD, University of British Columbia, Vancouver, 1993; MSc,</w:t>
      </w:r>
    </w:p>
    <w:p>
      <w:pPr>
        <w:pStyle w:val="BodyText"/>
        <w:spacing w:line="249" w:lineRule="auto" w:before="96"/>
        <w:ind w:right="826"/>
      </w:pPr>
      <w:r>
        <w:rPr/>
        <w:br w:type="column"/>
      </w:r>
      <w:r>
        <w:rPr>
          <w:color w:val="0B0B0B"/>
        </w:rPr>
        <w:t>University of British Columbia, Vancouver; 1989, DDS, Yonsei University, 1980.</w:t>
      </w:r>
    </w:p>
    <w:p>
      <w:pPr>
        <w:pStyle w:val="BodyText"/>
        <w:spacing w:line="249" w:lineRule="auto" w:before="179"/>
        <w:ind w:right="1138"/>
      </w:pPr>
      <w:r>
        <w:rPr>
          <w:b/>
          <w:color w:val="0B0B0B"/>
        </w:rPr>
        <w:t>Paffrath, Dennis J., </w:t>
      </w:r>
      <w:r>
        <w:rPr>
          <w:color w:val="0B0B0B"/>
        </w:rPr>
        <w:t>(A), Adjunct Faculty, Graduate School. BS, Arizona State University, 1989; MBA, University of Maryland University College, 2014.</w:t>
      </w:r>
    </w:p>
    <w:p>
      <w:pPr>
        <w:pStyle w:val="BodyText"/>
        <w:spacing w:line="249" w:lineRule="auto"/>
        <w:ind w:right="687"/>
      </w:pPr>
      <w:r>
        <w:rPr>
          <w:b/>
          <w:color w:val="0B0B0B"/>
        </w:rPr>
        <w:t>Palley, Howard</w:t>
      </w:r>
      <w:r>
        <w:rPr>
          <w:color w:val="0B0B0B"/>
        </w:rPr>
        <w:t>, (R), Professor, School of Social Work. PhD, Syracuse University, 1963; MS, Yeshiva University, 1950; BA, Brooklyn College, 1957.</w:t>
      </w:r>
    </w:p>
    <w:p>
      <w:pPr>
        <w:pStyle w:val="BodyText"/>
        <w:spacing w:line="249" w:lineRule="auto" w:before="179"/>
        <w:ind w:right="669"/>
        <w:jc w:val="both"/>
      </w:pPr>
      <w:r>
        <w:rPr>
          <w:b/>
          <w:color w:val="0B0B0B"/>
        </w:rPr>
        <w:t>Palumbo, Francis</w:t>
      </w:r>
      <w:r>
        <w:rPr>
          <w:color w:val="0B0B0B"/>
        </w:rPr>
        <w:t>, (R), Professor, Pharmaceutical Health Services Research, School of Pharmacy. PhD, University of Mississippi, 1974; MS, University of Mississippi, 1973; BSP, Medical College of South Carolina, 1968.</w:t>
      </w:r>
    </w:p>
    <w:p>
      <w:pPr>
        <w:pStyle w:val="BodyText"/>
        <w:spacing w:line="249" w:lineRule="auto" w:before="186"/>
        <w:ind w:right="993"/>
      </w:pPr>
      <w:r>
        <w:rPr>
          <w:b/>
          <w:color w:val="0B0B0B"/>
        </w:rPr>
        <w:t>Papadimitriou, John</w:t>
      </w:r>
      <w:r>
        <w:rPr>
          <w:color w:val="0B0B0B"/>
        </w:rPr>
        <w:t>, (A), Associate Professor, Pathology, School of Medicine. PhD, University of Maryland, 1991; MD, University of Heidelberg, 1978; MD, University of Athens, 1975.</w:t>
      </w:r>
    </w:p>
    <w:p>
      <w:pPr>
        <w:pStyle w:val="BodyText"/>
        <w:spacing w:line="249" w:lineRule="auto" w:before="180"/>
        <w:ind w:right="648"/>
      </w:pPr>
      <w:r>
        <w:rPr>
          <w:b/>
          <w:color w:val="0B0B0B"/>
        </w:rPr>
        <w:t>Parente, Frederick</w:t>
      </w:r>
      <w:r>
        <w:rPr>
          <w:color w:val="0B0B0B"/>
        </w:rPr>
        <w:t>, (A), Assistant Professor, Oral and Craniofacial Biological Sciences, </w:t>
      </w:r>
      <w:r>
        <w:rPr>
          <w:color w:val="0B0B0B"/>
          <w:spacing w:val="-3"/>
        </w:rPr>
        <w:t>School </w:t>
      </w:r>
      <w:r>
        <w:rPr>
          <w:color w:val="0B0B0B"/>
        </w:rPr>
        <w:t>of Dentistry. PhD, University of New Mexico, 1975; </w:t>
      </w:r>
      <w:r>
        <w:rPr>
          <w:color w:val="0B0B0B"/>
          <w:spacing w:val="-3"/>
        </w:rPr>
        <w:t>MS, </w:t>
      </w:r>
      <w:r>
        <w:rPr>
          <w:color w:val="0B0B0B"/>
        </w:rPr>
        <w:t>University of New Mexico, 1974; </w:t>
      </w:r>
      <w:r>
        <w:rPr>
          <w:color w:val="0B0B0B"/>
          <w:spacing w:val="-3"/>
        </w:rPr>
        <w:t>BA, </w:t>
      </w:r>
      <w:r>
        <w:rPr>
          <w:color w:val="0B0B0B"/>
        </w:rPr>
        <w:t>California State University at </w:t>
      </w:r>
      <w:r>
        <w:rPr>
          <w:color w:val="0B0B0B"/>
          <w:spacing w:val="-2"/>
        </w:rPr>
        <w:t>San </w:t>
      </w:r>
      <w:r>
        <w:rPr>
          <w:color w:val="0B0B0B"/>
          <w:spacing w:val="-3"/>
        </w:rPr>
        <w:t>Diego.</w:t>
      </w:r>
    </w:p>
    <w:p>
      <w:pPr>
        <w:pStyle w:val="BodyText"/>
        <w:spacing w:line="249" w:lineRule="auto" w:before="186"/>
        <w:ind w:right="621"/>
      </w:pPr>
      <w:r>
        <w:rPr>
          <w:b/>
          <w:color w:val="0B0B0B"/>
        </w:rPr>
        <w:t>Parker, M. Elaine</w:t>
      </w:r>
      <w:r>
        <w:rPr>
          <w:color w:val="0B0B0B"/>
        </w:rPr>
        <w:t>, (A), Associate Professor, Dental Hygiene, School of Dentistry. PhD, University of Maryland, 1994; BS, University of Maryland, 1978; RDH, University of Detroit, 1964.</w:t>
      </w:r>
    </w:p>
    <w:p>
      <w:pPr>
        <w:pStyle w:val="BodyText"/>
        <w:spacing w:line="249" w:lineRule="auto" w:before="181"/>
        <w:ind w:right="732"/>
      </w:pPr>
      <w:r>
        <w:rPr>
          <w:b/>
          <w:color w:val="0B0B0B"/>
        </w:rPr>
        <w:t>Parsons, Molly</w:t>
      </w:r>
      <w:r>
        <w:rPr>
          <w:color w:val="0B0B0B"/>
        </w:rPr>
        <w:t>, (R ), Assistant Professor, Organizational Systems and Adult Health, School of Nursing. EdD, University of Delaware, 2008; MS, Salisbury State University, 1998; BSN, Salisbury State University, 1995.</w:t>
      </w:r>
    </w:p>
    <w:p>
      <w:pPr>
        <w:pStyle w:val="BodyText"/>
        <w:spacing w:line="249" w:lineRule="auto"/>
        <w:ind w:right="698"/>
        <w:jc w:val="both"/>
      </w:pPr>
      <w:r>
        <w:rPr>
          <w:b/>
          <w:color w:val="0B0B0B"/>
        </w:rPr>
        <w:t>Pasetti, Marcela F.</w:t>
      </w:r>
      <w:r>
        <w:rPr>
          <w:color w:val="0B0B0B"/>
        </w:rPr>
        <w:t>, (A), Assistant Professor, Department of Pediatrics and Chief. PhD, University of Buenos Aires, 1994; MS, University of Buenos Aires, 1990.</w:t>
      </w:r>
    </w:p>
    <w:p>
      <w:pPr>
        <w:pStyle w:val="BodyText"/>
        <w:spacing w:line="249" w:lineRule="auto" w:before="180"/>
        <w:ind w:right="604"/>
      </w:pPr>
      <w:r>
        <w:rPr>
          <w:b/>
          <w:color w:val="0B0B0B"/>
        </w:rPr>
        <w:t>Passaniti, Antonino</w:t>
      </w:r>
      <w:r>
        <w:rPr>
          <w:color w:val="0B0B0B"/>
        </w:rPr>
        <w:t>, (R), Professor, Pathology, School of Medicine. PhD, University of Virginia, 1982; BA, Catholic University, 1976.</w:t>
      </w:r>
    </w:p>
    <w:p>
      <w:pPr>
        <w:pStyle w:val="BodyText"/>
        <w:spacing w:line="249" w:lineRule="auto"/>
        <w:ind w:right="971"/>
      </w:pPr>
      <w:r>
        <w:rPr>
          <w:b/>
          <w:color w:val="0B0B0B"/>
        </w:rPr>
        <w:t>Pauza, David C.</w:t>
      </w:r>
      <w:r>
        <w:rPr>
          <w:color w:val="0B0B0B"/>
        </w:rPr>
        <w:t>, (R), Professor, Microbiology and Immunology, School of Medicine. PhD, University of California, 1981; BA, San Jose State University, 1975.</w:t>
      </w:r>
    </w:p>
    <w:p>
      <w:pPr>
        <w:pStyle w:val="BodyText"/>
        <w:spacing w:line="249" w:lineRule="auto" w:before="179"/>
        <w:ind w:right="649"/>
      </w:pPr>
      <w:r>
        <w:rPr>
          <w:b/>
          <w:color w:val="0B0B0B"/>
        </w:rPr>
        <w:t>Pazgier, Marzena</w:t>
      </w:r>
      <w:r>
        <w:rPr>
          <w:color w:val="0B0B0B"/>
        </w:rPr>
        <w:t>, (A), Assistant Professor, Biochemistry and Molecular Biology, School of Medicine. PhD, Technical University of Lodz, Poland, 2001; MS, Technical University of Lodz, Poland, 1996.</w:t>
      </w:r>
    </w:p>
    <w:p>
      <w:pPr>
        <w:pStyle w:val="BodyText"/>
        <w:spacing w:line="249" w:lineRule="auto" w:before="186"/>
        <w:ind w:right="676"/>
      </w:pPr>
      <w:r>
        <w:rPr>
          <w:b/>
          <w:color w:val="0B0B0B"/>
        </w:rPr>
        <w:t>Pearce, Michelle</w:t>
      </w:r>
      <w:r>
        <w:rPr>
          <w:color w:val="303030"/>
        </w:rPr>
        <w:t>, </w:t>
      </w:r>
      <w:r>
        <w:rPr>
          <w:color w:val="0B0B0B"/>
        </w:rPr>
        <w:t>(A), Professor, Graduate School. BA, University of Waterloo, 2000; MS, Yale University, 2002;</w:t>
      </w:r>
    </w:p>
    <w:p>
      <w:pPr>
        <w:spacing w:after="0" w:line="249" w:lineRule="auto"/>
        <w:sectPr>
          <w:pgSz w:w="12240" w:h="15840"/>
          <w:pgMar w:header="746" w:footer="0" w:top="1320" w:bottom="280" w:left="880" w:right="300"/>
          <w:cols w:num="2" w:equalWidth="0">
            <w:col w:w="4990" w:space="496"/>
            <w:col w:w="5574"/>
          </w:cols>
        </w:sectPr>
      </w:pPr>
    </w:p>
    <w:p>
      <w:pPr>
        <w:pStyle w:val="BodyText"/>
        <w:spacing w:before="100"/>
      </w:pPr>
      <w:r>
        <w:rPr>
          <w:color w:val="0B0B0B"/>
        </w:rPr>
        <w:t>M.Phil, Yale University, 2003; PhD, Yale University 2007.</w:t>
      </w:r>
    </w:p>
    <w:p>
      <w:pPr>
        <w:pStyle w:val="BodyText"/>
        <w:spacing w:line="249" w:lineRule="auto" w:before="187"/>
        <w:ind w:right="113"/>
      </w:pPr>
      <w:r>
        <w:rPr>
          <w:b/>
          <w:color w:val="0B0B0B"/>
        </w:rPr>
        <w:t>Pecukonis, Edward </w:t>
      </w:r>
      <w:r>
        <w:rPr>
          <w:color w:val="0B0B0B"/>
        </w:rPr>
        <w:t>, (R), Associate Professor, Center for Social Work Education in Maternal and Child Health, School of Social Work. PhD, University of Maryland, 1993; MSW, Smith College, 1982; BS, Towson University, 1978.</w:t>
      </w:r>
    </w:p>
    <w:p>
      <w:pPr>
        <w:pStyle w:val="BodyText"/>
        <w:spacing w:line="249" w:lineRule="auto" w:before="186"/>
        <w:ind w:right="229"/>
      </w:pPr>
      <w:r>
        <w:rPr>
          <w:b/>
          <w:color w:val="0B0B0B"/>
        </w:rPr>
        <w:t>Pedra, Joao</w:t>
      </w:r>
      <w:r>
        <w:rPr>
          <w:color w:val="0B0B0B"/>
        </w:rPr>
        <w:t>, (R), Assistant Professor, Microbiology and Immunology, School of Medicine. PhD, Purdue University, 2004; MSc, Universidade Federal de Vicosa, 2000; BSc, Universidade Federal de Vicosa, 1998.</w:t>
      </w:r>
    </w:p>
    <w:p>
      <w:pPr>
        <w:pStyle w:val="BodyText"/>
        <w:spacing w:line="249" w:lineRule="auto" w:before="181"/>
        <w:ind w:right="101"/>
      </w:pPr>
      <w:r>
        <w:rPr>
          <w:b/>
          <w:color w:val="0B0B0B"/>
        </w:rPr>
        <w:t>Pellegrini, Joseph</w:t>
      </w:r>
      <w:r>
        <w:rPr>
          <w:color w:val="0B0B0B"/>
        </w:rPr>
        <w:t>, (R), Associate Professor, Nurse Anesthesia Program, School of Nursing. DNP, Rush University, 1996; MS, Rush University, 1995; BS, George Washington University, 1990.</w:t>
      </w:r>
    </w:p>
    <w:p>
      <w:pPr>
        <w:pStyle w:val="BodyText"/>
        <w:spacing w:line="249" w:lineRule="auto"/>
        <w:ind w:right="502"/>
      </w:pPr>
      <w:r>
        <w:rPr>
          <w:b/>
          <w:color w:val="0B0B0B"/>
        </w:rPr>
        <w:t>Pellegrini, Vincent</w:t>
      </w:r>
      <w:r>
        <w:rPr>
          <w:color w:val="0B0B0B"/>
        </w:rPr>
        <w:t>, (R), Professor, Orthopedics and James Lawrence Kernan Professor and Chair in the Department of Orthopedics. MD, Dartmouth Medical School, 1979; BA, Dartmouth College, 1976.</w:t>
      </w:r>
    </w:p>
    <w:p>
      <w:pPr>
        <w:pStyle w:val="BodyText"/>
        <w:spacing w:line="249" w:lineRule="auto" w:before="181"/>
        <w:ind w:right="141"/>
      </w:pPr>
      <w:r>
        <w:rPr>
          <w:b/>
          <w:color w:val="0B0B0B"/>
        </w:rPr>
        <w:t>Penn, Raymond B.</w:t>
      </w:r>
      <w:r>
        <w:rPr>
          <w:color w:val="0B0B0B"/>
        </w:rPr>
        <w:t>, (R), Professor, Medicine, School of Medicine. PhD, Temple University, 1988; BA, University of Pennsylvania, 1980.</w:t>
      </w:r>
    </w:p>
    <w:p>
      <w:pPr>
        <w:pStyle w:val="BodyText"/>
        <w:spacing w:line="249" w:lineRule="auto" w:before="184"/>
        <w:ind w:right="47"/>
      </w:pPr>
      <w:r>
        <w:rPr>
          <w:b/>
          <w:color w:val="0B0B0B"/>
        </w:rPr>
        <w:t>Pennington, Dixie, </w:t>
      </w:r>
      <w:r>
        <w:rPr>
          <w:color w:val="0B0B0B"/>
        </w:rPr>
        <w:t>(A), Senior Lecturer, Graduate School. BS, Pennsylvania State University, 2013; MS, Drexel University, 2017.</w:t>
      </w:r>
    </w:p>
    <w:p>
      <w:pPr>
        <w:pStyle w:val="BodyText"/>
        <w:spacing w:line="249" w:lineRule="auto" w:before="180"/>
        <w:ind w:right="130"/>
      </w:pPr>
      <w:r>
        <w:rPr>
          <w:b/>
          <w:color w:val="0B0B0B"/>
        </w:rPr>
        <w:t>Pereira, Edna</w:t>
      </w:r>
      <w:r>
        <w:rPr>
          <w:color w:val="0B0B0B"/>
        </w:rPr>
        <w:t>, (R), Associate Professor, Epidemiology and Public Health, School of Medicine. MS, Federal University of Rio de Janeiro, 1989; PharmD, Federal University of Rio de Janeiro, 1987; BS, Federal Technical School of Chemistry, 1982.</w:t>
      </w:r>
    </w:p>
    <w:p>
      <w:pPr>
        <w:pStyle w:val="BodyText"/>
        <w:spacing w:line="249" w:lineRule="auto" w:before="186"/>
      </w:pPr>
      <w:r>
        <w:rPr>
          <w:b/>
          <w:color w:val="0B0B0B"/>
        </w:rPr>
        <w:t>Perencevich, Eli</w:t>
      </w:r>
      <w:r>
        <w:rPr>
          <w:color w:val="0B0B0B"/>
        </w:rPr>
        <w:t>, (R), Adjunct Associate, Epidemiology and Public Health, School of Medicine. MS, Harvard University, 2001; MD, Case Western Reserve University, 1994; BS, University of Michigan, 1990.</w:t>
      </w:r>
    </w:p>
    <w:p>
      <w:pPr>
        <w:pStyle w:val="BodyText"/>
        <w:spacing w:line="249" w:lineRule="auto" w:before="181"/>
        <w:ind w:right="67"/>
        <w:jc w:val="both"/>
      </w:pPr>
      <w:r>
        <w:rPr>
          <w:b/>
          <w:color w:val="0B0B0B"/>
        </w:rPr>
        <w:t>Perfetto, Eleanor</w:t>
      </w:r>
      <w:r>
        <w:rPr>
          <w:color w:val="0B0B0B"/>
        </w:rPr>
        <w:t>, (R), Professor, Pharmaceutical Health Services Research, School of Pharmacy. PhD, University of North Carolina at Chapel Hill, 1992; MS, University of Rhode Island, 1988; BS, University of Rhode Island, 1980.</w:t>
      </w:r>
    </w:p>
    <w:p>
      <w:pPr>
        <w:pStyle w:val="BodyText"/>
        <w:spacing w:line="249" w:lineRule="auto"/>
        <w:ind w:right="135"/>
      </w:pPr>
      <w:r>
        <w:rPr>
          <w:b/>
          <w:color w:val="0B0B0B"/>
        </w:rPr>
        <w:t>Phillips, Regina</w:t>
      </w:r>
      <w:r>
        <w:rPr>
          <w:color w:val="0B0B0B"/>
        </w:rPr>
        <w:t>, (A), Assistant Professor, Organizational Systems and Adult Health. PhD, University of Maryland, College Park, 2006; MS, University of Maryland, Baltimore, 1979; BSN, Villanova University, 1976.</w:t>
      </w:r>
    </w:p>
    <w:p>
      <w:pPr>
        <w:pStyle w:val="BodyText"/>
        <w:spacing w:line="249" w:lineRule="auto" w:before="181"/>
        <w:ind w:right="24"/>
      </w:pPr>
      <w:r>
        <w:rPr>
          <w:b/>
          <w:color w:val="0B0B0B"/>
        </w:rPr>
        <w:t>Phipps, Rebecca, </w:t>
      </w:r>
      <w:r>
        <w:rPr>
          <w:color w:val="0B0B0B"/>
        </w:rPr>
        <w:t>(A), Chief Toxicologist, Pathology, School of Medicine. BS, University of Maryland Baltimore County, 1994; PhD, University of Maryland Baltimore,</w:t>
      </w:r>
    </w:p>
    <w:p>
      <w:pPr>
        <w:pStyle w:val="BodyText"/>
        <w:spacing w:before="96"/>
      </w:pPr>
      <w:r>
        <w:rPr/>
        <w:br w:type="column"/>
      </w:r>
      <w:r>
        <w:rPr>
          <w:color w:val="0B0B0B"/>
        </w:rPr>
        <w:t>1999</w:t>
      </w:r>
    </w:p>
    <w:p>
      <w:pPr>
        <w:pStyle w:val="BodyText"/>
        <w:spacing w:line="249" w:lineRule="auto" w:before="187"/>
        <w:ind w:right="1032"/>
      </w:pPr>
      <w:r>
        <w:rPr>
          <w:b/>
          <w:color w:val="0B0B0B"/>
        </w:rPr>
        <w:t>Piscotty, Ron</w:t>
      </w:r>
      <w:r>
        <w:rPr>
          <w:color w:val="0B0B0B"/>
        </w:rPr>
        <w:t>, (A), Assistant Professor, Organization Systems and Adult Health, School of Nursing. PhD, University of Michigan, 2013; MS, University of Michigan, 2006; BSN, Wayne State University, 1998.</w:t>
      </w:r>
    </w:p>
    <w:p>
      <w:pPr>
        <w:pStyle w:val="BodyText"/>
        <w:spacing w:line="249" w:lineRule="auto" w:before="186"/>
        <w:ind w:right="610"/>
      </w:pPr>
      <w:r>
        <w:rPr>
          <w:b/>
          <w:color w:val="0B0B0B"/>
        </w:rPr>
        <w:t>Plachez, Celine</w:t>
      </w:r>
      <w:r>
        <w:rPr>
          <w:color w:val="0B0B0B"/>
        </w:rPr>
        <w:t>, (A), Assistant Professor, Pharmacology, School of Medicine. PhD, University of Montpellier, 2000; MSc, University of Montpellier, 1996; BSc, University of Montpellier, 1995.</w:t>
      </w:r>
    </w:p>
    <w:p>
      <w:pPr>
        <w:pStyle w:val="BodyText"/>
        <w:spacing w:line="249" w:lineRule="auto" w:before="180"/>
        <w:ind w:right="754"/>
      </w:pPr>
      <w:r>
        <w:rPr>
          <w:b/>
          <w:color w:val="0B0B0B"/>
        </w:rPr>
        <w:t>Plaut, Michael S.</w:t>
      </w:r>
      <w:r>
        <w:rPr>
          <w:color w:val="0B0B0B"/>
        </w:rPr>
        <w:t>, (R), Associate Professor, Psychiatry, School of Medicine. PhD, University of Rochester, 1969; BA, Adelphi University, 1965.</w:t>
      </w:r>
    </w:p>
    <w:p>
      <w:pPr>
        <w:pStyle w:val="BodyText"/>
        <w:spacing w:line="249" w:lineRule="auto"/>
        <w:ind w:right="593"/>
      </w:pPr>
      <w:r>
        <w:rPr>
          <w:b/>
          <w:color w:val="0B0B0B"/>
        </w:rPr>
        <w:t>Plowe, Christopher</w:t>
      </w:r>
      <w:r>
        <w:rPr>
          <w:color w:val="0B0B0B"/>
        </w:rPr>
        <w:t>, (R), Associate Professor, Center for Vaccine Development, School of Medicine. MPH, Columbia University, 1991; MD, Cornell University, 1986; BA, Cornell University, 1982.</w:t>
      </w:r>
    </w:p>
    <w:p>
      <w:pPr>
        <w:pStyle w:val="BodyText"/>
        <w:spacing w:line="249" w:lineRule="auto" w:before="180"/>
        <w:ind w:right="782"/>
      </w:pPr>
      <w:r>
        <w:rPr>
          <w:b/>
          <w:color w:val="0B0B0B"/>
        </w:rPr>
        <w:t>Pocivavsek, Ana</w:t>
      </w:r>
      <w:r>
        <w:rPr>
          <w:color w:val="0B0B0B"/>
        </w:rPr>
        <w:t>, (A), Assistant Professor, Psychiatry, School of Medicine. PhD, Georgetown University, 2009; BS, Duke University, 2003.</w:t>
      </w:r>
    </w:p>
    <w:p>
      <w:pPr>
        <w:pStyle w:val="BodyText"/>
        <w:spacing w:line="249" w:lineRule="auto"/>
        <w:ind w:right="743"/>
      </w:pPr>
      <w:r>
        <w:rPr>
          <w:b/>
          <w:color w:val="0B0B0B"/>
        </w:rPr>
        <w:t>Poedel, Robin</w:t>
      </w:r>
      <w:r>
        <w:rPr>
          <w:color w:val="0B0B0B"/>
        </w:rPr>
        <w:t>, (A), Assistant Professor, Family and Community Health; PhD, University of Wisconsin, 2010; BSN, 2003.</w:t>
      </w:r>
    </w:p>
    <w:p>
      <w:pPr>
        <w:pStyle w:val="BodyText"/>
        <w:spacing w:line="249" w:lineRule="auto" w:before="180"/>
        <w:ind w:right="743"/>
      </w:pPr>
      <w:r>
        <w:rPr>
          <w:b/>
          <w:color w:val="0B0B0B"/>
        </w:rPr>
        <w:t>Polli, James</w:t>
      </w:r>
      <w:r>
        <w:rPr>
          <w:color w:val="0B0B0B"/>
        </w:rPr>
        <w:t>, (R), Professor, Pharmaceutical Sciences, School of Pharmacy. PhD, University of Michigan, 1993; BS, Philadelphia College, 1989.</w:t>
      </w:r>
    </w:p>
    <w:p>
      <w:pPr>
        <w:pStyle w:val="BodyText"/>
        <w:spacing w:line="249" w:lineRule="auto" w:before="184"/>
        <w:ind w:right="637"/>
      </w:pPr>
      <w:r>
        <w:rPr>
          <w:b/>
          <w:color w:val="0B0B0B"/>
        </w:rPr>
        <w:t>Pollin, Toni I.</w:t>
      </w:r>
      <w:r>
        <w:rPr>
          <w:color w:val="0B0B0B"/>
        </w:rPr>
        <w:t>, (R), Associate Professor, Human Genetics, School of Medicine. PhD, University of Maryland, Baltimore, 2004; MS, University of Minnesota, 1997; BS, George Washington University, 1993.</w:t>
      </w:r>
    </w:p>
    <w:p>
      <w:pPr>
        <w:pStyle w:val="BodyText"/>
        <w:spacing w:line="249" w:lineRule="auto" w:before="181"/>
        <w:ind w:left="199" w:right="605"/>
      </w:pPr>
      <w:r>
        <w:rPr>
          <w:b/>
          <w:color w:val="0B0B0B"/>
        </w:rPr>
        <w:t>Polster, Brian</w:t>
      </w:r>
      <w:r>
        <w:rPr>
          <w:color w:val="0B0B0B"/>
        </w:rPr>
        <w:t>, (A), Associate Professor, Anesthesiology, School of Medicine, PhD, University of Maryland, 2002, BA, Cornell University, 1996.</w:t>
      </w:r>
    </w:p>
    <w:p>
      <w:pPr>
        <w:pStyle w:val="BodyText"/>
        <w:spacing w:line="249" w:lineRule="auto"/>
        <w:ind w:left="199" w:right="599"/>
      </w:pPr>
      <w:r>
        <w:rPr>
          <w:b/>
          <w:color w:val="0B0B0B"/>
        </w:rPr>
        <w:t>Porter, Judith</w:t>
      </w:r>
      <w:r>
        <w:rPr>
          <w:color w:val="0B0B0B"/>
        </w:rPr>
        <w:t>, (A), Assistant Professor, Health Promotion and Policy, School of Dentistry. MS, Marshall University, 1999; BA, West Virginia University, 1978; DDS, West Virginia University, 1976.</w:t>
      </w:r>
    </w:p>
    <w:p>
      <w:pPr>
        <w:pStyle w:val="BodyText"/>
        <w:spacing w:line="249" w:lineRule="auto" w:before="180"/>
        <w:ind w:left="199" w:right="944"/>
      </w:pPr>
      <w:r>
        <w:rPr>
          <w:b/>
          <w:color w:val="0B0B0B"/>
        </w:rPr>
        <w:t>Poulopoulos, Alexandros</w:t>
      </w:r>
      <w:r>
        <w:rPr>
          <w:color w:val="0B0B0B"/>
        </w:rPr>
        <w:t>, (A), Assistant Professor, Pharmacology. PhD, University of Gottingen and International Max Planck Research School, 2008; BSc, University of Athens, 2003.</w:t>
      </w:r>
    </w:p>
    <w:p>
      <w:pPr>
        <w:pStyle w:val="BodyText"/>
        <w:spacing w:line="249" w:lineRule="auto"/>
        <w:ind w:right="592" w:hanging="1"/>
      </w:pPr>
      <w:r>
        <w:rPr>
          <w:b/>
          <w:color w:val="0B0B0B"/>
        </w:rPr>
        <w:t>Powell, Elizabeth</w:t>
      </w:r>
      <w:r>
        <w:rPr>
          <w:color w:val="0B0B0B"/>
        </w:rPr>
        <w:t>, (R), Assistant Professor, Anatomy and Neurobiology, School of Medicine. PhD, Rutgers University, 1997; MS, Rutgers University, 1993; BS, Johns Hopkins University, 1990.</w:t>
      </w:r>
    </w:p>
    <w:p>
      <w:pPr>
        <w:spacing w:after="0" w:line="249" w:lineRule="auto"/>
        <w:sectPr>
          <w:pgSz w:w="12240" w:h="15840"/>
          <w:pgMar w:header="746" w:footer="0" w:top="1320" w:bottom="280" w:left="880" w:right="300"/>
          <w:cols w:num="2" w:equalWidth="0">
            <w:col w:w="5005" w:space="481"/>
            <w:col w:w="5574"/>
          </w:cols>
        </w:sectPr>
      </w:pPr>
    </w:p>
    <w:p>
      <w:pPr>
        <w:pStyle w:val="BodyText"/>
        <w:spacing w:line="249" w:lineRule="auto" w:before="100"/>
        <w:ind w:right="25"/>
      </w:pPr>
      <w:r>
        <w:rPr>
          <w:b/>
          <w:color w:val="0B0B0B"/>
        </w:rPr>
        <w:t>Pozharskiy, Edvin</w:t>
      </w:r>
      <w:r>
        <w:rPr>
          <w:color w:val="0B0B0B"/>
        </w:rPr>
        <w:t>, (A), Assistant Professor, Biochemistry and Molecular Biology, School of Medicine. PhD, Institute of Theoretical and Experimental Biophysics, 1998; BSc, Moscow Institute of Physics and Technology, 1993.</w:t>
      </w:r>
    </w:p>
    <w:p>
      <w:pPr>
        <w:pStyle w:val="BodyText"/>
        <w:spacing w:line="249" w:lineRule="auto" w:before="180"/>
        <w:ind w:right="181"/>
      </w:pPr>
      <w:r>
        <w:rPr>
          <w:b/>
          <w:color w:val="0B0B0B"/>
        </w:rPr>
        <w:t>Preis, Frederick</w:t>
      </w:r>
      <w:r>
        <w:rPr>
          <w:color w:val="0B0B0B"/>
        </w:rPr>
        <w:t>, (A), Clinical Professor, Orthodontics, School of Dentistry. DDS, Georgetown University, 1966; BS, Loyola College, 1959.</w:t>
      </w:r>
    </w:p>
    <w:p>
      <w:pPr>
        <w:pStyle w:val="BodyText"/>
        <w:spacing w:line="249" w:lineRule="auto"/>
        <w:ind w:right="59" w:hanging="1"/>
      </w:pPr>
      <w:r>
        <w:rPr>
          <w:b/>
          <w:color w:val="0B0B0B"/>
        </w:rPr>
        <w:t>Price, Jeffrey, </w:t>
      </w:r>
      <w:r>
        <w:rPr>
          <w:color w:val="0B0B0B"/>
        </w:rPr>
        <w:t>(A), Associate Professor, Oncology and Diagnostic Sciences, School of Dentistry. DDS, University of North Carolina, 1982.</w:t>
      </w:r>
    </w:p>
    <w:p>
      <w:pPr>
        <w:pStyle w:val="BodyText"/>
        <w:spacing w:line="249" w:lineRule="auto" w:before="180"/>
        <w:ind w:right="332"/>
      </w:pPr>
      <w:r>
        <w:rPr>
          <w:b/>
          <w:color w:val="0B0B0B"/>
        </w:rPr>
        <w:t>Puche, Adam</w:t>
      </w:r>
      <w:r>
        <w:rPr>
          <w:color w:val="0B0B0B"/>
        </w:rPr>
        <w:t>, (R), Assistant Professor, Anatomy and Neurobiology, School of Medicine. PhD, University of Melbourne, 1996; BSc, University of Melbourne, 1992.</w:t>
      </w:r>
    </w:p>
    <w:p>
      <w:pPr>
        <w:pStyle w:val="BodyText"/>
        <w:spacing w:line="249" w:lineRule="auto" w:before="184"/>
        <w:ind w:right="382"/>
      </w:pPr>
      <w:r>
        <w:rPr>
          <w:b/>
          <w:color w:val="0B0B0B"/>
        </w:rPr>
        <w:t>Pumplin, David</w:t>
      </w:r>
      <w:r>
        <w:rPr>
          <w:color w:val="0B0B0B"/>
        </w:rPr>
        <w:t>, (R), Professor, Anatomy and Neurobiology, School of Medicine. PhD, University of Illinois, 1973; BS, Michigan State University, 1963.</w:t>
      </w:r>
    </w:p>
    <w:p>
      <w:pPr>
        <w:pStyle w:val="BodyText"/>
        <w:spacing w:line="249" w:lineRule="auto" w:before="180"/>
        <w:ind w:right="259" w:hanging="1"/>
      </w:pPr>
      <w:r>
        <w:rPr>
          <w:b/>
          <w:color w:val="0B0B0B"/>
        </w:rPr>
        <w:t>Qi, Jianfei</w:t>
      </w:r>
      <w:r>
        <w:rPr>
          <w:color w:val="0B0B0B"/>
        </w:rPr>
        <w:t>, (A), Assistant Professor, Biochemistry and Molecular Biology, School of Medicine. PhD, Toronto University, 2006; MS, China Medicial University, 2000; BSc, China Medicial University, 1997.</w:t>
      </w:r>
    </w:p>
    <w:p>
      <w:pPr>
        <w:pStyle w:val="BodyText"/>
        <w:spacing w:line="249" w:lineRule="auto"/>
        <w:ind w:right="204"/>
      </w:pPr>
      <w:r>
        <w:rPr>
          <w:b/>
          <w:color w:val="0B0B0B"/>
        </w:rPr>
        <w:t>Qian, Feng</w:t>
      </w:r>
      <w:r>
        <w:rPr>
          <w:color w:val="0B0B0B"/>
        </w:rPr>
        <w:t>, (A), Assistant Professor, Division of Nephrology, School of Medicine. PhD, University of Heidelberg, 1993; MS, University of Freiburg, 1986; BS, Fudan University, 1981.</w:t>
      </w:r>
    </w:p>
    <w:p>
      <w:pPr>
        <w:pStyle w:val="BodyText"/>
        <w:spacing w:line="249" w:lineRule="auto" w:before="181"/>
        <w:ind w:right="120"/>
      </w:pPr>
      <w:r>
        <w:rPr>
          <w:b/>
          <w:color w:val="0B0B0B"/>
        </w:rPr>
        <w:t>Qiu, Yun</w:t>
      </w:r>
      <w:r>
        <w:rPr>
          <w:color w:val="0B0B0B"/>
        </w:rPr>
        <w:t>, (R), Professor, Molecular Medicine, School of Medicine. PhD, Rutgers University, 1995; BS, Zhongshan University, 1988.</w:t>
      </w:r>
    </w:p>
    <w:p>
      <w:pPr>
        <w:pStyle w:val="BodyText"/>
        <w:spacing w:line="249" w:lineRule="auto"/>
        <w:ind w:right="78"/>
      </w:pPr>
      <w:r>
        <w:rPr>
          <w:b/>
          <w:color w:val="0B0B0B"/>
        </w:rPr>
        <w:t>Quinn, Charlene C.</w:t>
      </w:r>
      <w:r>
        <w:rPr>
          <w:color w:val="0B0B0B"/>
        </w:rPr>
        <w:t>, (R), Associate Professor, Epidemiology and Public Health, </w:t>
      </w:r>
      <w:r>
        <w:rPr>
          <w:color w:val="0B0B0B"/>
          <w:spacing w:val="-3"/>
        </w:rPr>
        <w:t>School </w:t>
      </w:r>
      <w:r>
        <w:rPr>
          <w:color w:val="0B0B0B"/>
        </w:rPr>
        <w:t>of Medicine. PhD, Johns Hopkins </w:t>
      </w:r>
      <w:r>
        <w:rPr>
          <w:color w:val="0B0B0B"/>
          <w:spacing w:val="-3"/>
        </w:rPr>
        <w:t>School </w:t>
      </w:r>
      <w:r>
        <w:rPr>
          <w:color w:val="0B0B0B"/>
        </w:rPr>
        <w:t>of Hygiene and Public Health, 1998; MS, University of Maryland, Baltimore, 1981; </w:t>
      </w:r>
      <w:r>
        <w:rPr>
          <w:color w:val="0B0B0B"/>
          <w:spacing w:val="-3"/>
        </w:rPr>
        <w:t>BSN, </w:t>
      </w:r>
      <w:r>
        <w:rPr>
          <w:color w:val="0B0B0B"/>
        </w:rPr>
        <w:t>Duke University,</w:t>
      </w:r>
      <w:r>
        <w:rPr>
          <w:color w:val="0B0B0B"/>
          <w:spacing w:val="3"/>
        </w:rPr>
        <w:t> </w:t>
      </w:r>
      <w:r>
        <w:rPr>
          <w:color w:val="0B0B0B"/>
        </w:rPr>
        <w:t>1976.</w:t>
      </w:r>
    </w:p>
    <w:p>
      <w:pPr>
        <w:pStyle w:val="BodyText"/>
        <w:spacing w:line="249" w:lineRule="auto" w:before="181"/>
        <w:ind w:right="65"/>
      </w:pPr>
      <w:r>
        <w:rPr>
          <w:b/>
          <w:color w:val="0B0B0B"/>
        </w:rPr>
        <w:t>Quon, Michael</w:t>
      </w:r>
      <w:r>
        <w:rPr>
          <w:color w:val="0B0B0B"/>
        </w:rPr>
        <w:t>, (R), Professor, Medicine, School of Medicine. MD 1984, PhD, Northwestern University, 1987; BS, Northwestern University, 1982.</w:t>
      </w:r>
    </w:p>
    <w:p>
      <w:pPr>
        <w:pStyle w:val="BodyText"/>
        <w:spacing w:line="249" w:lineRule="auto" w:before="184"/>
        <w:ind w:right="87"/>
      </w:pPr>
      <w:r>
        <w:rPr>
          <w:b/>
          <w:color w:val="0B0B0B"/>
        </w:rPr>
        <w:t>Rabinowicz, Pablo</w:t>
      </w:r>
      <w:r>
        <w:rPr>
          <w:color w:val="0B0B0B"/>
        </w:rPr>
        <w:t>, (A), Assistant Professor, Biochemistry and Molecular Biology, School of Medicine.PhD, University of Buenos Aires, 1996; BS/MS, University of Buenos Aires, 1990.</w:t>
      </w:r>
    </w:p>
    <w:p>
      <w:pPr>
        <w:pStyle w:val="BodyText"/>
        <w:spacing w:line="249" w:lineRule="auto" w:before="181"/>
        <w:ind w:right="210"/>
      </w:pPr>
      <w:r>
        <w:rPr>
          <w:b/>
          <w:color w:val="0B0B0B"/>
        </w:rPr>
        <w:t>Randall, William</w:t>
      </w:r>
      <w:r>
        <w:rPr>
          <w:color w:val="0B0B0B"/>
        </w:rPr>
        <w:t>, (R), Associate Professor, Pharmacology and Experimental Therapeutics, School of Medicine. PhD, University of California, 1983; MS, University of California, 1978; BS, University of California, 1975.</w:t>
      </w:r>
    </w:p>
    <w:p>
      <w:pPr>
        <w:pStyle w:val="BodyText"/>
        <w:spacing w:line="249" w:lineRule="auto" w:before="96"/>
        <w:ind w:right="664"/>
      </w:pPr>
      <w:r>
        <w:rPr/>
        <w:br w:type="column"/>
      </w:r>
      <w:r>
        <w:rPr>
          <w:b/>
          <w:color w:val="0B0B0B"/>
        </w:rPr>
        <w:t>Rasko, David</w:t>
      </w:r>
      <w:r>
        <w:rPr>
          <w:color w:val="0B0B0B"/>
        </w:rPr>
        <w:t>, (R), Assistant Professor, Microbiology and Immunology, School of Medicine. PhD, University of Alberta, 2000; BSc, University of Alberta, 1995.</w:t>
      </w:r>
    </w:p>
    <w:p>
      <w:pPr>
        <w:pStyle w:val="BodyText"/>
        <w:spacing w:line="249" w:lineRule="auto" w:before="180"/>
        <w:ind w:right="903"/>
      </w:pPr>
      <w:r>
        <w:rPr>
          <w:b/>
          <w:color w:val="0B0B0B"/>
        </w:rPr>
        <w:t>Rassool, Feyruz</w:t>
      </w:r>
      <w:r>
        <w:rPr>
          <w:color w:val="0B0B0B"/>
        </w:rPr>
        <w:t>, (R), Associate Professor, Molecular Medicine, School of Medicine. PhD, University of London, 1990; BSc, University of London, 1983.</w:t>
      </w:r>
    </w:p>
    <w:p>
      <w:pPr>
        <w:pStyle w:val="BodyText"/>
        <w:spacing w:line="249" w:lineRule="auto" w:before="184"/>
        <w:ind w:right="682"/>
      </w:pPr>
      <w:r>
        <w:rPr>
          <w:b/>
          <w:color w:val="0B0B0B"/>
        </w:rPr>
        <w:t>Raufman, Jean-Pierre</w:t>
      </w:r>
      <w:r>
        <w:rPr>
          <w:color w:val="0B0B0B"/>
        </w:rPr>
        <w:t>, (R), Professor, Medicine, School of Medicine. MD, Einstein College of Medicine, 1975; BA, New York University, 1972.</w:t>
      </w:r>
    </w:p>
    <w:p>
      <w:pPr>
        <w:pStyle w:val="BodyText"/>
        <w:spacing w:line="249" w:lineRule="auto" w:before="180"/>
        <w:ind w:right="686"/>
      </w:pPr>
      <w:r>
        <w:rPr>
          <w:b/>
          <w:color w:val="0B0B0B"/>
        </w:rPr>
        <w:t>Ravel, Jacques</w:t>
      </w:r>
      <w:r>
        <w:rPr>
          <w:color w:val="0B0B0B"/>
        </w:rPr>
        <w:t>, (R), Associate Professor, Microbiology and Immunology, School of Medicine. PhD, University of Maryland, 1999; MSc, University of Nancy I, 1992; BSc, University of Nancy I, 1990.</w:t>
      </w:r>
    </w:p>
    <w:p>
      <w:pPr>
        <w:pStyle w:val="BodyText"/>
        <w:spacing w:line="249" w:lineRule="auto"/>
        <w:ind w:right="631"/>
      </w:pPr>
      <w:r>
        <w:rPr>
          <w:b/>
          <w:color w:val="0B0B0B"/>
        </w:rPr>
        <w:t>Rawlett, Kristen</w:t>
      </w:r>
      <w:r>
        <w:rPr>
          <w:color w:val="0B0B0B"/>
        </w:rPr>
        <w:t>, (A), Assistant Professor, Family and Community Health, School of Nursing. PhD, University of Maryland Baltimore, 2014; MSN, University of South Carolina, 1999; BSN, Virginia Commonwealth University, 1996.</w:t>
      </w:r>
    </w:p>
    <w:p>
      <w:pPr>
        <w:pStyle w:val="BodyText"/>
        <w:spacing w:line="249" w:lineRule="auto" w:before="182"/>
        <w:ind w:right="753"/>
      </w:pPr>
      <w:r>
        <w:rPr>
          <w:b/>
          <w:color w:val="0B0B0B"/>
        </w:rPr>
        <w:t>Ray, Krishanu</w:t>
      </w:r>
      <w:r>
        <w:rPr>
          <w:color w:val="0B0B0B"/>
        </w:rPr>
        <w:t>, (A), Associate Professor, Biochemistry and Molecular Biology, School of Medicine. PhD, Indian Association for the Cultivation of Science, 1998; MSc, Indian Institute of Technology, 1993; BSc, University of Calcutta, 1990.</w:t>
      </w:r>
    </w:p>
    <w:p>
      <w:pPr>
        <w:pStyle w:val="BodyText"/>
        <w:spacing w:line="249" w:lineRule="auto" w:before="186"/>
        <w:ind w:right="809"/>
      </w:pPr>
      <w:r>
        <w:rPr>
          <w:b/>
          <w:color w:val="0B0B0B"/>
        </w:rPr>
        <w:t>Reece, E. Albert</w:t>
      </w:r>
      <w:r>
        <w:rPr>
          <w:color w:val="0B0B0B"/>
        </w:rPr>
        <w:t>, (R), Vice President, Medical Affairs, School of Medicine. PhD, University of the West Indies; MBA, Temple University; BS, Long Island University.</w:t>
      </w:r>
    </w:p>
    <w:p>
      <w:pPr>
        <w:pStyle w:val="BodyText"/>
        <w:spacing w:line="249" w:lineRule="auto" w:before="180"/>
        <w:ind w:right="628"/>
      </w:pPr>
      <w:r>
        <w:rPr>
          <w:b/>
          <w:color w:val="0B0B0B"/>
        </w:rPr>
        <w:t>Regan, Mary Jess</w:t>
      </w:r>
      <w:r>
        <w:rPr>
          <w:color w:val="0B0B0B"/>
        </w:rPr>
        <w:t>, (R), Associate Professor, School of Nursing. PhD, University of Minnesota, 2005; MS, University of Minnesota, 2002; BSN, York University, 1998.</w:t>
      </w:r>
    </w:p>
    <w:p>
      <w:pPr>
        <w:pStyle w:val="BodyText"/>
        <w:spacing w:line="249" w:lineRule="auto"/>
        <w:ind w:right="664"/>
      </w:pPr>
      <w:r>
        <w:rPr>
          <w:b/>
          <w:color w:val="0B0B0B"/>
        </w:rPr>
        <w:t>Reicherter, Elizabeth A.</w:t>
      </w:r>
      <w:r>
        <w:rPr>
          <w:color w:val="0B0B0B"/>
        </w:rPr>
        <w:t>, (A), Associate Professor, Physical Therapy and Rehabilitation Sciences, School of Medicine. MS, Pennsylvania State University, 1995; DPT, Massachusetts General Hospital Institute of Health Professions, 2005; BS, University of Pittsburgh, 1985.</w:t>
      </w:r>
    </w:p>
    <w:p>
      <w:pPr>
        <w:pStyle w:val="BodyText"/>
        <w:spacing w:line="249" w:lineRule="auto" w:before="181"/>
        <w:ind w:right="609"/>
      </w:pPr>
      <w:r>
        <w:rPr>
          <w:b/>
          <w:color w:val="0B0B0B"/>
        </w:rPr>
        <w:t>Reisch, Michael</w:t>
      </w:r>
      <w:r>
        <w:rPr>
          <w:color w:val="0B0B0B"/>
        </w:rPr>
        <w:t>, (R), Professor, School of Social Work. PhD, State University of New York, 1975; MA, State University of New York, 1971, BA, New York University, 1968.</w:t>
      </w:r>
    </w:p>
    <w:p>
      <w:pPr>
        <w:pStyle w:val="BodyText"/>
        <w:spacing w:line="249" w:lineRule="auto"/>
        <w:ind w:right="626"/>
      </w:pPr>
      <w:r>
        <w:rPr>
          <w:b/>
          <w:color w:val="0B0B0B"/>
        </w:rPr>
        <w:t>Reitz Jr., Marvin</w:t>
      </w:r>
      <w:r>
        <w:rPr>
          <w:color w:val="0B0B0B"/>
        </w:rPr>
        <w:t>, (R), Associate Professor, Microbiology and Immunology, School of Medicine. PhD, Purdue University, 1970; BS, Western Maryland College, 1965.</w:t>
      </w:r>
    </w:p>
    <w:p>
      <w:pPr>
        <w:pStyle w:val="BodyText"/>
        <w:spacing w:line="249" w:lineRule="auto" w:before="180"/>
        <w:ind w:right="1242"/>
      </w:pPr>
      <w:r>
        <w:rPr>
          <w:b/>
          <w:color w:val="0B0B0B"/>
        </w:rPr>
        <w:t>Ren, Hening</w:t>
      </w:r>
      <w:r>
        <w:rPr>
          <w:color w:val="0B0B0B"/>
        </w:rPr>
        <w:t>, (A), Assistant Professor, Oral and Experimental Pathology, School of Dentistry. PhD,</w:t>
      </w:r>
    </w:p>
    <w:p>
      <w:pPr>
        <w:spacing w:after="0" w:line="249" w:lineRule="auto"/>
        <w:sectPr>
          <w:pgSz w:w="12240" w:h="15840"/>
          <w:pgMar w:header="746" w:footer="0" w:top="1320" w:bottom="280" w:left="880" w:right="300"/>
          <w:cols w:num="2" w:equalWidth="0">
            <w:col w:w="5007" w:space="480"/>
            <w:col w:w="5573"/>
          </w:cols>
        </w:sectPr>
      </w:pPr>
    </w:p>
    <w:p>
      <w:pPr>
        <w:pStyle w:val="BodyText"/>
        <w:spacing w:before="100"/>
      </w:pPr>
      <w:r>
        <w:rPr>
          <w:color w:val="0B0B0B"/>
        </w:rPr>
        <w:t>University of Hawaii, 1995; BS, Peking University, 1983.</w:t>
      </w:r>
    </w:p>
    <w:p>
      <w:pPr>
        <w:pStyle w:val="BodyText"/>
        <w:spacing w:line="249" w:lineRule="auto" w:before="187"/>
        <w:ind w:right="160"/>
        <w:jc w:val="both"/>
      </w:pPr>
      <w:r>
        <w:rPr>
          <w:b/>
          <w:color w:val="0B0B0B"/>
        </w:rPr>
        <w:t>Ren, Ke</w:t>
      </w:r>
      <w:r>
        <w:rPr>
          <w:color w:val="0B0B0B"/>
        </w:rPr>
        <w:t>, (R), Assistant Professor, Oral and Experimental Pathology, School of Dentistry. PhD, University of Iowa, 1990; MD, Hubei Medical University, 1981.</w:t>
      </w:r>
    </w:p>
    <w:p>
      <w:pPr>
        <w:pStyle w:val="BodyText"/>
        <w:spacing w:line="249" w:lineRule="auto"/>
        <w:ind w:right="280" w:hanging="1"/>
      </w:pPr>
      <w:r>
        <w:rPr>
          <w:b/>
          <w:color w:val="0B0B0B"/>
        </w:rPr>
        <w:t>Renn, Cynthia L.</w:t>
      </w:r>
      <w:r>
        <w:rPr>
          <w:color w:val="0B0B0B"/>
        </w:rPr>
        <w:t>, (R), Associate Professor, Organizational Systems and Adult Health, School of Nursing. MS, University of Maryland, Baltimore, 1997; BS, York College, 1991; BS, Indiana University of Pennsylvania, 1983.</w:t>
      </w:r>
    </w:p>
    <w:p>
      <w:pPr>
        <w:pStyle w:val="BodyText"/>
        <w:spacing w:line="249" w:lineRule="auto" w:before="181"/>
      </w:pPr>
      <w:r>
        <w:rPr>
          <w:b/>
          <w:color w:val="0B0B0B"/>
        </w:rPr>
        <w:t>Resnick, Barbara</w:t>
      </w:r>
      <w:r>
        <w:rPr>
          <w:color w:val="0B0B0B"/>
        </w:rPr>
        <w:t>, (R), Professor, Adult Health, School of Nursing. PhD, University of Maryland, 1996; MSN, University of Pennsylvania, 1982; BSN, University of Connecticut, 1978.</w:t>
      </w:r>
    </w:p>
    <w:p>
      <w:pPr>
        <w:pStyle w:val="BodyText"/>
        <w:spacing w:line="249" w:lineRule="auto"/>
        <w:ind w:right="147"/>
      </w:pPr>
      <w:r>
        <w:rPr>
          <w:b/>
          <w:color w:val="0B0B0B"/>
        </w:rPr>
        <w:t>Reynolds, Mark</w:t>
      </w:r>
      <w:r>
        <w:rPr>
          <w:color w:val="0B0B0B"/>
        </w:rPr>
        <w:t>, (R), Associate Professor, Periodontics, School of Dentistry. DDS, University of Maryland, 1986; MA, University of Maryland, 1982; BA, University of Maryland, 1978.</w:t>
      </w:r>
    </w:p>
    <w:p>
      <w:pPr>
        <w:pStyle w:val="BodyText"/>
        <w:spacing w:line="249" w:lineRule="auto" w:before="181"/>
        <w:ind w:right="274"/>
      </w:pPr>
      <w:r>
        <w:rPr>
          <w:b/>
          <w:color w:val="0B0B0B"/>
        </w:rPr>
        <w:t>Rhee, Juong</w:t>
      </w:r>
      <w:r>
        <w:rPr>
          <w:color w:val="0B0B0B"/>
        </w:rPr>
        <w:t>, (R), Associate Professor, Radiation Oncology, School of Medicine. PhD, University of Minnesota, 1983; MS, Seoul National University, 1975; BS, Seoul National University, 1970.</w:t>
      </w:r>
    </w:p>
    <w:p>
      <w:pPr>
        <w:pStyle w:val="BodyText"/>
        <w:spacing w:line="249" w:lineRule="auto"/>
        <w:ind w:right="47"/>
      </w:pPr>
      <w:r>
        <w:rPr>
          <w:b/>
          <w:color w:val="0B0B0B"/>
        </w:rPr>
        <w:t>Riazuddin, Saimia</w:t>
      </w:r>
      <w:r>
        <w:rPr>
          <w:color w:val="0B0B0B"/>
        </w:rPr>
        <w:t>, Professor, Otorhinolaryngology-Head and Neck Surgery, School of Medicine.</w:t>
      </w:r>
    </w:p>
    <w:p>
      <w:pPr>
        <w:pStyle w:val="BodyText"/>
        <w:spacing w:line="249" w:lineRule="auto" w:before="179"/>
        <w:ind w:right="103"/>
      </w:pPr>
      <w:r>
        <w:rPr>
          <w:b/>
          <w:color w:val="0B0B0B"/>
        </w:rPr>
        <w:t>Riedel, David</w:t>
      </w:r>
      <w:r>
        <w:rPr>
          <w:color w:val="0B0B0B"/>
        </w:rPr>
        <w:t>, (A), Assistant Professor, Institute of Human Virology and Division of Infectious Diseases, School of Medicine. MPH, University of Maryland, 2014; MD, Pennsylvania State University College of Medicine, 2002; BA, Middlebury College, 1998.</w:t>
      </w:r>
    </w:p>
    <w:p>
      <w:pPr>
        <w:pStyle w:val="BodyText"/>
        <w:spacing w:line="249" w:lineRule="auto" w:before="186"/>
        <w:ind w:right="308"/>
      </w:pPr>
      <w:r>
        <w:rPr>
          <w:b/>
          <w:color w:val="0B0B0B"/>
        </w:rPr>
        <w:t>Ringel, Shoshana</w:t>
      </w:r>
      <w:r>
        <w:rPr>
          <w:color w:val="0B0B0B"/>
        </w:rPr>
        <w:t>, (A), Assistant Professor, School of Social Work. PhD, Smith College, 2001; MSW, Hunter College, 1984; BA, Hunter College, 1982.</w:t>
      </w:r>
    </w:p>
    <w:p>
      <w:pPr>
        <w:pStyle w:val="BodyText"/>
        <w:spacing w:line="249" w:lineRule="auto" w:before="180"/>
        <w:ind w:left="199" w:right="215"/>
      </w:pPr>
      <w:r>
        <w:rPr>
          <w:b/>
          <w:color w:val="0B0B0B"/>
        </w:rPr>
        <w:t>Ripple, Mary</w:t>
      </w:r>
      <w:r>
        <w:rPr>
          <w:color w:val="0B0B0B"/>
        </w:rPr>
        <w:t>, (S), Deputy Chief Medical Examiner, School of Medicine. MD, University of Maryland, 1996; MS, University of Maryland, 1992; BS, Philadelphia College of Pharmacy and Science, 1985.</w:t>
      </w:r>
    </w:p>
    <w:p>
      <w:pPr>
        <w:pStyle w:val="BodyText"/>
        <w:spacing w:line="249" w:lineRule="auto" w:before="186"/>
        <w:ind w:left="199" w:right="20"/>
      </w:pPr>
      <w:r>
        <w:rPr>
          <w:b/>
          <w:color w:val="0B0B0B"/>
        </w:rPr>
        <w:t>Rizk, Mary Ann</w:t>
      </w:r>
      <w:r>
        <w:rPr>
          <w:color w:val="0B0B0B"/>
        </w:rPr>
        <w:t>, (R), Associate Professor, School of Dentistry. PhD, University of Maryland, 2002; BS, University of Maryland, 1989; BS, American University of Beirut, 1986.</w:t>
      </w:r>
    </w:p>
    <w:p>
      <w:pPr>
        <w:pStyle w:val="BodyText"/>
        <w:spacing w:line="249" w:lineRule="auto" w:before="180"/>
        <w:ind w:left="199"/>
      </w:pPr>
      <w:r>
        <w:rPr>
          <w:b/>
          <w:color w:val="0B0B0B"/>
        </w:rPr>
        <w:t>Rizzo, Mark</w:t>
      </w:r>
      <w:r>
        <w:rPr>
          <w:color w:val="0B0B0B"/>
        </w:rPr>
        <w:t>, (A), Assistant Professor, Physiology, School of Medicine. PhD, Molecular Pharmacology, 2000; BA, Biochemistry, 1996.</w:t>
      </w:r>
    </w:p>
    <w:p>
      <w:pPr>
        <w:pStyle w:val="BodyText"/>
        <w:spacing w:line="249" w:lineRule="auto"/>
        <w:ind w:right="191" w:hanging="1"/>
      </w:pPr>
      <w:r>
        <w:rPr>
          <w:b/>
          <w:color w:val="0B0B0B"/>
        </w:rPr>
        <w:t>Ro, Jin</w:t>
      </w:r>
      <w:r>
        <w:rPr>
          <w:color w:val="0B0B0B"/>
        </w:rPr>
        <w:t>, (R), Assistant Professor, Biomedical Sciences, School of Dentistry. PhD, University of Maryland, 1994;</w:t>
      </w:r>
    </w:p>
    <w:p>
      <w:pPr>
        <w:pStyle w:val="BodyText"/>
        <w:spacing w:line="249" w:lineRule="auto" w:before="96"/>
        <w:ind w:right="807"/>
      </w:pPr>
      <w:r>
        <w:rPr/>
        <w:br w:type="column"/>
      </w:r>
      <w:r>
        <w:rPr>
          <w:color w:val="0B0B0B"/>
        </w:rPr>
        <w:t>MA, Towson University, 1989; BS, Towson University, 1984.</w:t>
      </w:r>
    </w:p>
    <w:p>
      <w:pPr>
        <w:pStyle w:val="BodyText"/>
        <w:spacing w:line="249" w:lineRule="auto" w:before="179"/>
        <w:ind w:right="605"/>
      </w:pPr>
      <w:r>
        <w:rPr>
          <w:b/>
          <w:color w:val="0B0B0B"/>
        </w:rPr>
        <w:t>Roberts, Rosalinda</w:t>
      </w:r>
      <w:r>
        <w:rPr>
          <w:color w:val="0B0B0B"/>
        </w:rPr>
        <w:t>, (A), Professor, Psychiatry, School of Medicine. PhD, University of California, 1986; BS, University of California, 1979.</w:t>
      </w:r>
    </w:p>
    <w:p>
      <w:pPr>
        <w:pStyle w:val="BodyText"/>
        <w:spacing w:line="249" w:lineRule="auto"/>
        <w:ind w:right="794"/>
        <w:jc w:val="both"/>
      </w:pPr>
      <w:r>
        <w:rPr>
          <w:b/>
          <w:color w:val="0B0B0B"/>
        </w:rPr>
        <w:t>Roca III, Henri, </w:t>
      </w:r>
      <w:r>
        <w:rPr>
          <w:color w:val="0B0B0B"/>
        </w:rPr>
        <w:t>(A), Adjunct Faculty, Graduate School. MA, Washington University, 1982; MD, Louisiana State University School of Medicine, 1997.</w:t>
      </w:r>
    </w:p>
    <w:p>
      <w:pPr>
        <w:pStyle w:val="BodyText"/>
        <w:spacing w:line="249" w:lineRule="auto" w:before="179"/>
        <w:ind w:right="610"/>
      </w:pPr>
      <w:r>
        <w:rPr>
          <w:b/>
          <w:color w:val="0B0B0B"/>
        </w:rPr>
        <w:t>Rodgers, Mary</w:t>
      </w:r>
      <w:r>
        <w:rPr>
          <w:color w:val="0B0B0B"/>
        </w:rPr>
        <w:t>, (R), Professor Emiritus, Physical Therapy and Rehabilitation Science, School of Medicine, PhD, Pennsylvania State University, 1985, MS, University of North Carolina, 1981, BS, University of North Carolina, 1976.</w:t>
      </w:r>
    </w:p>
    <w:p>
      <w:pPr>
        <w:pStyle w:val="BodyText"/>
        <w:spacing w:line="249" w:lineRule="auto" w:before="186"/>
        <w:ind w:right="621"/>
      </w:pPr>
      <w:r>
        <w:rPr>
          <w:b/>
          <w:color w:val="0B0B0B"/>
        </w:rPr>
        <w:t>Rogers, Mark</w:t>
      </w:r>
      <w:r>
        <w:rPr>
          <w:color w:val="0B0B0B"/>
        </w:rPr>
        <w:t>, (R), Professor, Physical Therapy and Rehabilitation Science, School of Medicine. PhD, University of Iowa, 1985; MS, University of Massachusetts, 1977; BS, University of Connecticut, 1973.</w:t>
      </w:r>
    </w:p>
    <w:p>
      <w:pPr>
        <w:pStyle w:val="BodyText"/>
        <w:spacing w:line="249" w:lineRule="auto" w:before="181"/>
        <w:ind w:right="760"/>
      </w:pPr>
      <w:r>
        <w:rPr>
          <w:b/>
          <w:color w:val="0B0B0B"/>
        </w:rPr>
        <w:t>Rogers, Terry</w:t>
      </w:r>
      <w:r>
        <w:rPr>
          <w:color w:val="0B0B0B"/>
        </w:rPr>
        <w:t>, (R), Professor, Biochemistry and Molecular Biology, School of Medicine. PhD, University of California, 1977; MS, University of California, 1974; BA, Cornell University, 1970.</w:t>
      </w:r>
    </w:p>
    <w:p>
      <w:pPr>
        <w:pStyle w:val="BodyText"/>
        <w:spacing w:line="249" w:lineRule="auto"/>
        <w:ind w:right="632"/>
      </w:pPr>
      <w:r>
        <w:rPr>
          <w:b/>
          <w:color w:val="0B0B0B"/>
        </w:rPr>
        <w:t>Rogers, Valerie</w:t>
      </w:r>
      <w:r>
        <w:rPr>
          <w:color w:val="0B0B0B"/>
        </w:rPr>
        <w:t>, (A), Assistant Professor, Family and Community Health, School of Nursing. PhD, University of Maryland, Baltimore, 2009; MS, University of Maryland, Baltimore, 1997; BSN, Michigan State University, 1975.</w:t>
      </w:r>
    </w:p>
    <w:p>
      <w:pPr>
        <w:pStyle w:val="BodyText"/>
        <w:spacing w:line="249" w:lineRule="auto" w:before="181"/>
        <w:ind w:right="621"/>
      </w:pPr>
      <w:r>
        <w:rPr>
          <w:b/>
          <w:color w:val="0B0B0B"/>
        </w:rPr>
        <w:t>Roghmann, Mary-Claire</w:t>
      </w:r>
      <w:r>
        <w:rPr>
          <w:color w:val="0B0B0B"/>
        </w:rPr>
        <w:t>, (R), Associate Professor, Epidemiology and Public Health, School of Medicine. MS, University of Maryland, 1997; MD, Johns Hopkins University, 1990; BS, University of Rochester, 1986.</w:t>
      </w:r>
    </w:p>
    <w:p>
      <w:pPr>
        <w:pStyle w:val="BodyText"/>
        <w:spacing w:line="249" w:lineRule="auto"/>
        <w:ind w:left="199" w:right="807"/>
      </w:pPr>
      <w:r>
        <w:rPr>
          <w:b/>
          <w:color w:val="0B0B0B"/>
        </w:rPr>
        <w:t>Romberg, Elaine</w:t>
      </w:r>
      <w:r>
        <w:rPr>
          <w:color w:val="0B0B0B"/>
        </w:rPr>
        <w:t>, (A), Professor, Oral </w:t>
      </w:r>
      <w:r>
        <w:rPr>
          <w:color w:val="0B0B0B"/>
          <w:spacing w:val="-3"/>
        </w:rPr>
        <w:t>Health </w:t>
      </w:r>
      <w:r>
        <w:rPr>
          <w:color w:val="0B0B0B"/>
        </w:rPr>
        <w:t>Care Delivery, </w:t>
      </w:r>
      <w:r>
        <w:rPr>
          <w:color w:val="0B0B0B"/>
          <w:spacing w:val="-2"/>
        </w:rPr>
        <w:t>School </w:t>
      </w:r>
      <w:r>
        <w:rPr>
          <w:color w:val="0B0B0B"/>
          <w:spacing w:val="-3"/>
        </w:rPr>
        <w:t>of </w:t>
      </w:r>
      <w:r>
        <w:rPr>
          <w:color w:val="0B0B0B"/>
        </w:rPr>
        <w:t>Dentistry. PhD, University of Maryland, 1977; </w:t>
      </w:r>
      <w:r>
        <w:rPr>
          <w:color w:val="0B0B0B"/>
          <w:spacing w:val="-3"/>
        </w:rPr>
        <w:t>BA, Vassar </w:t>
      </w:r>
      <w:r>
        <w:rPr>
          <w:color w:val="0B0B0B"/>
        </w:rPr>
        <w:t>College,</w:t>
      </w:r>
      <w:r>
        <w:rPr>
          <w:color w:val="0B0B0B"/>
          <w:spacing w:val="22"/>
        </w:rPr>
        <w:t> </w:t>
      </w:r>
      <w:r>
        <w:rPr>
          <w:color w:val="0B0B0B"/>
        </w:rPr>
        <w:t>1960.</w:t>
      </w:r>
    </w:p>
    <w:p>
      <w:pPr>
        <w:pStyle w:val="BodyText"/>
        <w:spacing w:line="249" w:lineRule="auto" w:before="180"/>
        <w:ind w:left="199" w:right="643"/>
      </w:pPr>
      <w:r>
        <w:rPr>
          <w:b/>
          <w:color w:val="0B0B0B"/>
        </w:rPr>
        <w:t>Rose, Theda</w:t>
      </w:r>
      <w:r>
        <w:rPr>
          <w:color w:val="0B0B0B"/>
        </w:rPr>
        <w:t>, (A), Research Assistant Professor, </w:t>
      </w:r>
      <w:r>
        <w:rPr>
          <w:color w:val="0B0B0B"/>
          <w:spacing w:val="-3"/>
        </w:rPr>
        <w:t>School </w:t>
      </w:r>
      <w:r>
        <w:rPr>
          <w:color w:val="0B0B0B"/>
        </w:rPr>
        <w:t>of Social Work. PhD, Catholic University of America, 2010; MSW, State University of New York at Stony Brook, 1994; </w:t>
      </w:r>
      <w:r>
        <w:rPr>
          <w:color w:val="0B0B0B"/>
          <w:spacing w:val="-3"/>
        </w:rPr>
        <w:t>BA, </w:t>
      </w:r>
      <w:r>
        <w:rPr>
          <w:color w:val="0B0B0B"/>
        </w:rPr>
        <w:t>Johns Hopkins University,</w:t>
      </w:r>
      <w:r>
        <w:rPr>
          <w:color w:val="0B0B0B"/>
          <w:spacing w:val="7"/>
        </w:rPr>
        <w:t> </w:t>
      </w:r>
      <w:r>
        <w:rPr>
          <w:color w:val="0B0B0B"/>
        </w:rPr>
        <w:t>1990.</w:t>
      </w:r>
    </w:p>
    <w:p>
      <w:pPr>
        <w:pStyle w:val="BodyText"/>
        <w:spacing w:line="249" w:lineRule="auto"/>
        <w:ind w:left="199" w:right="778"/>
      </w:pPr>
      <w:r>
        <w:rPr>
          <w:b/>
          <w:color w:val="0B0B0B"/>
        </w:rPr>
        <w:t>Rosen, Gerald</w:t>
      </w:r>
      <w:r>
        <w:rPr>
          <w:color w:val="0B0B0B"/>
        </w:rPr>
        <w:t>, (R), Professor, Pharmaceutical Sciences, School of Pharmacy. JD, Duke University, 1979; PhD, Clarkson College of Technology, 1969; BS, Lowell Technological Institute, 1965.</w:t>
      </w:r>
    </w:p>
    <w:p>
      <w:pPr>
        <w:pStyle w:val="BodyText"/>
        <w:spacing w:line="249" w:lineRule="auto" w:before="181"/>
        <w:ind w:left="199" w:right="1033"/>
      </w:pPr>
      <w:r>
        <w:rPr>
          <w:b/>
          <w:color w:val="0B0B0B"/>
        </w:rPr>
        <w:t>Ross, Douglas</w:t>
      </w:r>
      <w:r>
        <w:rPr>
          <w:color w:val="0B0B0B"/>
        </w:rPr>
        <w:t>, (R), Professor, Medicine, School of Medicine. MD, Emory University, 1974; PhD, Emory University, 1972; BS, McGill University, 1968.</w:t>
      </w:r>
    </w:p>
    <w:p>
      <w:pPr>
        <w:pStyle w:val="BodyText"/>
        <w:spacing w:before="184"/>
        <w:ind w:left="199"/>
      </w:pPr>
      <w:r>
        <w:rPr>
          <w:b/>
          <w:color w:val="0B0B0B"/>
        </w:rPr>
        <w:t>Rowe, Gina</w:t>
      </w:r>
      <w:r>
        <w:rPr>
          <w:color w:val="0B0B0B"/>
        </w:rPr>
        <w:t>, (A), Assistant Professor, Universities at</w:t>
      </w:r>
    </w:p>
    <w:p>
      <w:pPr>
        <w:spacing w:after="0"/>
        <w:sectPr>
          <w:pgSz w:w="12240" w:h="15840"/>
          <w:pgMar w:header="746" w:footer="0" w:top="1320" w:bottom="280" w:left="880" w:right="300"/>
          <w:cols w:num="2" w:equalWidth="0">
            <w:col w:w="4978" w:space="508"/>
            <w:col w:w="5574"/>
          </w:cols>
        </w:sectPr>
      </w:pPr>
    </w:p>
    <w:p>
      <w:pPr>
        <w:pStyle w:val="BodyText"/>
        <w:spacing w:line="249" w:lineRule="auto" w:before="100"/>
        <w:ind w:right="206"/>
      </w:pPr>
      <w:r>
        <w:rPr>
          <w:color w:val="0B0B0B"/>
        </w:rPr>
        <w:t>Shady Grove, School of Nursing. PhD, University of Maryland, 2013; MPH, Johns Hopkins University, 2002; BA, University of Nebraska at Ohama, 1988.</w:t>
      </w:r>
    </w:p>
    <w:p>
      <w:pPr>
        <w:pStyle w:val="BodyText"/>
        <w:spacing w:line="249" w:lineRule="auto" w:before="180"/>
        <w:ind w:right="323"/>
      </w:pPr>
      <w:r>
        <w:rPr>
          <w:b/>
          <w:color w:val="0B0B0B"/>
        </w:rPr>
        <w:t>Rowe, Jessica, </w:t>
      </w:r>
      <w:r>
        <w:rPr>
          <w:color w:val="0B0B0B"/>
        </w:rPr>
        <w:t>(A), Adjunct Faculty, Graduate School. BA, State University of New York College at Potsdam, 2004; MA, Pennsylvania State University Harrisburg, 2009; MS, University of Maryland, Baltimore, 2016.</w:t>
      </w:r>
    </w:p>
    <w:p>
      <w:pPr>
        <w:pStyle w:val="BodyText"/>
        <w:spacing w:line="249" w:lineRule="auto"/>
        <w:ind w:right="114" w:hanging="1"/>
        <w:jc w:val="both"/>
      </w:pPr>
      <w:r>
        <w:rPr>
          <w:b/>
          <w:color w:val="0B0B0B"/>
        </w:rPr>
        <w:t>Rowthorn, Virginia, </w:t>
      </w:r>
      <w:r>
        <w:rPr>
          <w:color w:val="0B0B0B"/>
        </w:rPr>
        <w:t>(A), Graduate School. </w:t>
      </w:r>
      <w:r>
        <w:rPr>
          <w:color w:val="0B0B0B"/>
          <w:spacing w:val="-3"/>
        </w:rPr>
        <w:t>BA, </w:t>
      </w:r>
      <w:r>
        <w:rPr>
          <w:color w:val="0B0B0B"/>
        </w:rPr>
        <w:t>Carleton College, 1986; JD University </w:t>
      </w:r>
      <w:r>
        <w:rPr>
          <w:color w:val="0B0B0B"/>
          <w:spacing w:val="-3"/>
        </w:rPr>
        <w:t>of </w:t>
      </w:r>
      <w:r>
        <w:rPr>
          <w:color w:val="0B0B0B"/>
        </w:rPr>
        <w:t>Maryland </w:t>
      </w:r>
      <w:r>
        <w:rPr>
          <w:color w:val="0B0B0B"/>
          <w:spacing w:val="-2"/>
        </w:rPr>
        <w:t>School </w:t>
      </w:r>
      <w:r>
        <w:rPr>
          <w:color w:val="0B0B0B"/>
          <w:spacing w:val="-3"/>
        </w:rPr>
        <w:t>of Law, </w:t>
      </w:r>
      <w:r>
        <w:rPr>
          <w:color w:val="0B0B0B"/>
        </w:rPr>
        <w:t>1997; </w:t>
      </w:r>
      <w:r>
        <w:rPr>
          <w:color w:val="0B0B0B"/>
          <w:spacing w:val="-3"/>
        </w:rPr>
        <w:t>LLM, Georgetown </w:t>
      </w:r>
      <w:r>
        <w:rPr>
          <w:color w:val="0B0B0B"/>
        </w:rPr>
        <w:t>University, 2016.</w:t>
      </w:r>
    </w:p>
    <w:p>
      <w:pPr>
        <w:pStyle w:val="BodyText"/>
        <w:spacing w:line="249" w:lineRule="auto" w:before="180"/>
        <w:ind w:right="17"/>
      </w:pPr>
      <w:r>
        <w:rPr>
          <w:b/>
          <w:color w:val="0B0B0B"/>
        </w:rPr>
        <w:t>Roy, Anindo</w:t>
      </w:r>
      <w:r>
        <w:rPr>
          <w:color w:val="0B0B0B"/>
        </w:rPr>
        <w:t>, (R), Associate Professor, Neurology, School of Medicine. PhD, University of Arkansas at Little Rock; 2005, M Phil, University of Sussex, 2000; Btech, JMI University, 1998.</w:t>
      </w:r>
    </w:p>
    <w:p>
      <w:pPr>
        <w:pStyle w:val="BodyText"/>
        <w:spacing w:line="249" w:lineRule="auto"/>
        <w:ind w:right="601"/>
      </w:pPr>
      <w:r>
        <w:rPr>
          <w:b/>
          <w:color w:val="0B0B0B"/>
        </w:rPr>
        <w:t>Royal III, Walter</w:t>
      </w:r>
      <w:r>
        <w:rPr>
          <w:color w:val="0B0B0B"/>
        </w:rPr>
        <w:t>, (A), Associate Professor, Neuroscience, School of Medicine. MD, Dartmouth Medical School, 1980; AB, Harvard College, 1977.</w:t>
      </w:r>
    </w:p>
    <w:p>
      <w:pPr>
        <w:pStyle w:val="BodyText"/>
        <w:spacing w:line="249" w:lineRule="auto" w:before="180"/>
        <w:ind w:right="300"/>
      </w:pPr>
      <w:r>
        <w:rPr>
          <w:b/>
          <w:color w:val="0B0B0B"/>
        </w:rPr>
        <w:t>Rubler, Constance</w:t>
      </w:r>
      <w:r>
        <w:rPr>
          <w:color w:val="0B0B0B"/>
        </w:rPr>
        <w:t>, (A), Assistant Clinical Professor, Orthodontics, School of Dentistry. MS, Rensselaer University, 1975; BS, Rensselaer University, 1974; BS, Rensselaer University, 1973.</w:t>
      </w:r>
    </w:p>
    <w:p>
      <w:pPr>
        <w:pStyle w:val="BodyText"/>
        <w:spacing w:line="249" w:lineRule="auto"/>
        <w:ind w:right="723"/>
      </w:pPr>
      <w:r>
        <w:rPr>
          <w:b/>
          <w:color w:val="0B0B0B"/>
        </w:rPr>
        <w:t>Rus, Horea</w:t>
      </w:r>
      <w:r>
        <w:rPr>
          <w:color w:val="0B0B0B"/>
        </w:rPr>
        <w:t>, (R), Assistant Professor, Neurology/Toxicology, School of Medicine. PhD, University of Medicine and Pharmacy, 1992; MD, University of Medicine and Pharmacy, 1980.</w:t>
      </w:r>
    </w:p>
    <w:p>
      <w:pPr>
        <w:pStyle w:val="BodyText"/>
        <w:spacing w:line="249" w:lineRule="auto" w:before="181"/>
        <w:ind w:right="300"/>
      </w:pPr>
      <w:r>
        <w:rPr>
          <w:b/>
          <w:color w:val="0B0B0B"/>
        </w:rPr>
        <w:t>Ryan, Alice</w:t>
      </w:r>
      <w:r>
        <w:rPr>
          <w:color w:val="0B0B0B"/>
        </w:rPr>
        <w:t>, (R), Professor, Gerontology, School of Medicine. PhD, University of Maryland, 1992; MS, Pennsylvania State University, 1990; BA, University of Arizona, 1985.</w:t>
      </w:r>
    </w:p>
    <w:p>
      <w:pPr>
        <w:pStyle w:val="BodyText"/>
        <w:spacing w:line="249" w:lineRule="auto"/>
        <w:ind w:right="73"/>
      </w:pPr>
      <w:r>
        <w:rPr>
          <w:b/>
          <w:color w:val="0B0B0B"/>
        </w:rPr>
        <w:t>Sabnis, Gauri</w:t>
      </w:r>
      <w:r>
        <w:rPr>
          <w:color w:val="0B0B0B"/>
        </w:rPr>
        <w:t>, (A), Assistant Professor, Pharmacology and Experimental Therapeutics, School of Medicine. PhD, University of Maryland, 2005; BP, Univerisity of Prune, 2001.</w:t>
      </w:r>
    </w:p>
    <w:p>
      <w:pPr>
        <w:pStyle w:val="BodyText"/>
        <w:spacing w:line="249" w:lineRule="auto" w:before="180"/>
        <w:ind w:right="89"/>
      </w:pPr>
      <w:r>
        <w:rPr>
          <w:b/>
          <w:color w:val="0B0B0B"/>
        </w:rPr>
        <w:t>Sacci, John Jr.</w:t>
      </w:r>
      <w:r>
        <w:rPr>
          <w:color w:val="0B0B0B"/>
        </w:rPr>
        <w:t>, (R), Assistant Professor, Microbiology and Immunology, School of Medicine. PhD, University of Maryland, 1989; BA, Bates College, 1978.</w:t>
      </w:r>
    </w:p>
    <w:p>
      <w:pPr>
        <w:pStyle w:val="BodyText"/>
        <w:spacing w:line="249" w:lineRule="auto"/>
        <w:ind w:right="38"/>
      </w:pPr>
      <w:r>
        <w:rPr>
          <w:b/>
          <w:color w:val="0B0B0B"/>
        </w:rPr>
        <w:t>Sacco, Paul</w:t>
      </w:r>
      <w:r>
        <w:rPr>
          <w:color w:val="0B0B0B"/>
        </w:rPr>
        <w:t>, (R), Assistant Professor, Social Work, </w:t>
      </w:r>
      <w:r>
        <w:rPr>
          <w:color w:val="0B0B0B"/>
          <w:spacing w:val="-3"/>
        </w:rPr>
        <w:t>School </w:t>
      </w:r>
      <w:r>
        <w:rPr>
          <w:color w:val="0B0B0B"/>
        </w:rPr>
        <w:t>of Social Work. PhD, Washington University in </w:t>
      </w:r>
      <w:r>
        <w:rPr>
          <w:color w:val="0B0B0B"/>
          <w:spacing w:val="-2"/>
        </w:rPr>
        <w:t>St. </w:t>
      </w:r>
      <w:r>
        <w:rPr>
          <w:color w:val="0B0B0B"/>
        </w:rPr>
        <w:t>Louis, 2009; MSW, Arizona State University; 1995, </w:t>
      </w:r>
      <w:r>
        <w:rPr>
          <w:color w:val="0B0B0B"/>
          <w:spacing w:val="-3"/>
        </w:rPr>
        <w:t>BA, </w:t>
      </w:r>
      <w:r>
        <w:rPr>
          <w:color w:val="0B0B0B"/>
        </w:rPr>
        <w:t>Fordham University,</w:t>
      </w:r>
      <w:r>
        <w:rPr>
          <w:color w:val="0B0B0B"/>
          <w:spacing w:val="8"/>
        </w:rPr>
        <w:t> </w:t>
      </w:r>
      <w:r>
        <w:rPr>
          <w:color w:val="0B0B0B"/>
        </w:rPr>
        <w:t>1989.</w:t>
      </w:r>
    </w:p>
    <w:p>
      <w:pPr>
        <w:spacing w:line="249" w:lineRule="auto" w:before="181"/>
        <w:ind w:left="200" w:right="79" w:firstLine="0"/>
        <w:jc w:val="left"/>
        <w:rPr>
          <w:sz w:val="20"/>
        </w:rPr>
      </w:pPr>
      <w:r>
        <w:rPr>
          <w:b/>
          <w:color w:val="0B0B0B"/>
          <w:sz w:val="20"/>
        </w:rPr>
        <w:t>Saint George, Diane Marie M.</w:t>
      </w:r>
      <w:r>
        <w:rPr>
          <w:color w:val="0B0B0B"/>
          <w:sz w:val="20"/>
        </w:rPr>
        <w:t>, (R), Associate Professor, Epidemiology and Public Health, School of Medicine.</w:t>
      </w:r>
    </w:p>
    <w:p>
      <w:pPr>
        <w:pStyle w:val="BodyText"/>
        <w:spacing w:line="249" w:lineRule="auto" w:before="1"/>
        <w:ind w:right="434"/>
      </w:pPr>
      <w:r>
        <w:rPr>
          <w:color w:val="0B0B0B"/>
        </w:rPr>
        <w:t>MA, University of Maryland, 1994; BS, University of Maryland, 1990; BS, University of Maryland, 1988.</w:t>
      </w:r>
    </w:p>
    <w:p>
      <w:pPr>
        <w:pStyle w:val="BodyText"/>
        <w:spacing w:line="249" w:lineRule="auto" w:before="96"/>
        <w:ind w:right="1020"/>
      </w:pPr>
      <w:r>
        <w:rPr/>
        <w:br w:type="column"/>
      </w:r>
      <w:r>
        <w:rPr>
          <w:b/>
          <w:color w:val="0B0B0B"/>
        </w:rPr>
        <w:t>Salvato, Maria</w:t>
      </w:r>
      <w:r>
        <w:rPr>
          <w:color w:val="0B0B0B"/>
        </w:rPr>
        <w:t>, (R), Professor, Microbiology and Immunology, School of Medicine; PhD, University of California, Berkeley, 1977.</w:t>
      </w:r>
    </w:p>
    <w:p>
      <w:pPr>
        <w:pStyle w:val="BodyText"/>
        <w:spacing w:line="249" w:lineRule="auto" w:before="180"/>
        <w:ind w:right="719"/>
      </w:pPr>
      <w:r>
        <w:rPr>
          <w:b/>
          <w:color w:val="0B0B0B"/>
        </w:rPr>
        <w:t>Sam-Agudu, Nadia, </w:t>
      </w:r>
      <w:r>
        <w:rPr>
          <w:color w:val="0B0B0B"/>
        </w:rPr>
        <w:t>(A), Associate Professor, Pediatrics, School of Medicine. BA, University of Virginia, 1998; MD, Mayo Medical School, 2002.</w:t>
      </w:r>
    </w:p>
    <w:p>
      <w:pPr>
        <w:pStyle w:val="BodyText"/>
        <w:spacing w:line="249" w:lineRule="auto" w:before="184"/>
        <w:ind w:right="814"/>
      </w:pPr>
      <w:r>
        <w:rPr>
          <w:b/>
          <w:color w:val="0B0B0B"/>
        </w:rPr>
        <w:t>Sampaio de Melo, Mary Ann</w:t>
      </w:r>
      <w:r>
        <w:rPr>
          <w:color w:val="0B0B0B"/>
        </w:rPr>
        <w:t>, (A), Assistant Professor, Department of Endodontics, School of Dentistry. PhD, Federal University of Dentistry, 2012; MSD, Federal University of Dentistry, 2009; DDS, University of Fortaleza, 2000.</w:t>
      </w:r>
    </w:p>
    <w:p>
      <w:pPr>
        <w:pStyle w:val="BodyText"/>
        <w:spacing w:line="249" w:lineRule="auto" w:before="182"/>
        <w:ind w:right="831"/>
      </w:pPr>
      <w:r>
        <w:rPr>
          <w:b/>
          <w:color w:val="0B0B0B"/>
        </w:rPr>
        <w:t>Satyshur, Rosemarie</w:t>
      </w:r>
      <w:r>
        <w:rPr>
          <w:color w:val="0B0B0B"/>
        </w:rPr>
        <w:t>, (A), Assistant Professor, Child, Women’s and Family Health, School of Nursing. DNSc, Catholic University of America, 1991; MSN, Catholic University of America, 1984; BSN, Thomas Jefferson University, 1982.</w:t>
      </w:r>
    </w:p>
    <w:p>
      <w:pPr>
        <w:pStyle w:val="BodyText"/>
        <w:spacing w:line="249" w:lineRule="auto" w:before="186"/>
        <w:ind w:right="1231"/>
      </w:pPr>
      <w:r>
        <w:rPr>
          <w:b/>
          <w:color w:val="0B0B0B"/>
        </w:rPr>
        <w:t>Sauk, John</w:t>
      </w:r>
      <w:r>
        <w:rPr>
          <w:color w:val="0B0B0B"/>
        </w:rPr>
        <w:t>, (R), Professor and Chair, Oral and Experimental Pathology, School of Dentistry. MS, University of Minnesota, 1971; DDS, University of Detroit, 1967; BS, University of Detroit, 1963.</w:t>
      </w:r>
    </w:p>
    <w:p>
      <w:pPr>
        <w:pStyle w:val="BodyText"/>
        <w:spacing w:line="249" w:lineRule="auto" w:before="180"/>
        <w:ind w:right="609"/>
      </w:pPr>
      <w:r>
        <w:rPr>
          <w:b/>
          <w:color w:val="0B0B0B"/>
        </w:rPr>
        <w:t>Sausville, Edward A.</w:t>
      </w:r>
      <w:r>
        <w:rPr>
          <w:color w:val="0B0B0B"/>
        </w:rPr>
        <w:t>, (R), Adjunct Professor, Pharmacology and Experimental Therapeutics, School of Medicine. MD, Albert Einstein College of Medicine, 1979; PhD, Albert Einstein College of Medicine, 1978; BS, Manhattan College, 1973.</w:t>
      </w:r>
    </w:p>
    <w:p>
      <w:pPr>
        <w:pStyle w:val="BodyText"/>
        <w:spacing w:line="249" w:lineRule="auto" w:before="186"/>
        <w:ind w:right="628"/>
      </w:pPr>
      <w:r>
        <w:rPr>
          <w:b/>
          <w:color w:val="0B0B0B"/>
        </w:rPr>
        <w:t>Savin Jr., Douglas N.</w:t>
      </w:r>
      <w:r>
        <w:rPr>
          <w:color w:val="0B0B0B"/>
        </w:rPr>
        <w:t>, (A), Assistant Professor, Physical Therapy and Rehabilitation Science, School of Medicine. PhD, University of Maryland, 2011; MPT, University of Maryland, 1997; BS, University of Maryland, 1995.</w:t>
      </w:r>
    </w:p>
    <w:p>
      <w:pPr>
        <w:pStyle w:val="BodyText"/>
        <w:spacing w:line="249" w:lineRule="auto" w:before="181"/>
        <w:ind w:right="747"/>
      </w:pPr>
      <w:r>
        <w:rPr>
          <w:b/>
          <w:color w:val="0B0B0B"/>
        </w:rPr>
        <w:t>Sawant, Amit</w:t>
      </w:r>
      <w:r>
        <w:rPr>
          <w:color w:val="0B0B0B"/>
        </w:rPr>
        <w:t>, (R), Associate Professor, Radiation Oncology, School of Medicine. PhD, University of Michigan, 2006; MS, University of Tennessee, 1999; BS, University of Mumbai, 1996.</w:t>
      </w:r>
    </w:p>
    <w:p>
      <w:pPr>
        <w:pStyle w:val="BodyText"/>
        <w:spacing w:line="249" w:lineRule="auto"/>
        <w:ind w:right="742"/>
      </w:pPr>
      <w:r>
        <w:rPr>
          <w:b/>
          <w:color w:val="0B0B0B"/>
        </w:rPr>
        <w:t>Saxena, Neeraj</w:t>
      </w:r>
      <w:r>
        <w:rPr>
          <w:color w:val="0B0B0B"/>
        </w:rPr>
        <w:t>, (A), Assistant Professor, Gastroenterology and Hepatology, School of Medicine. PhD, University of Delhi, 1994; MS, University of Delhi, BS, University of Delhi.</w:t>
      </w:r>
    </w:p>
    <w:p>
      <w:pPr>
        <w:pStyle w:val="BodyText"/>
        <w:spacing w:line="249" w:lineRule="auto" w:before="181"/>
        <w:ind w:right="753"/>
      </w:pPr>
      <w:r>
        <w:rPr>
          <w:b/>
          <w:color w:val="0B0B0B"/>
        </w:rPr>
        <w:t>Scheidweiler, Karl</w:t>
      </w:r>
      <w:r>
        <w:rPr>
          <w:color w:val="0B0B0B"/>
        </w:rPr>
        <w:t>, (S), Staff Scientist, Toxicology, School of Medicine. PhD, University of Rochester, 2002; MS, University of Rochester, 2000; BS, Ohio University, 1997.</w:t>
      </w:r>
    </w:p>
    <w:p>
      <w:pPr>
        <w:pStyle w:val="BodyText"/>
        <w:spacing w:line="249" w:lineRule="auto"/>
        <w:ind w:right="864"/>
      </w:pPr>
      <w:r>
        <w:rPr>
          <w:b/>
          <w:color w:val="0B0B0B"/>
        </w:rPr>
        <w:t>Scherer, Roberta</w:t>
      </w:r>
      <w:r>
        <w:rPr>
          <w:color w:val="0B0B0B"/>
        </w:rPr>
        <w:t>, (A), Adjunct Assistant Professor, Epidemiology and Public Health, School of Medicine. PhD, Johns Hopkins University, 1987; MS, George Washington University, 1970; BA, Thiel College, 1967.</w:t>
      </w:r>
    </w:p>
    <w:p>
      <w:pPr>
        <w:spacing w:after="0" w:line="249" w:lineRule="auto"/>
        <w:sectPr>
          <w:pgSz w:w="12240" w:h="15840"/>
          <w:pgMar w:header="746" w:footer="0" w:top="1320" w:bottom="280" w:left="880" w:right="300"/>
          <w:cols w:num="2" w:equalWidth="0">
            <w:col w:w="4976" w:space="511"/>
            <w:col w:w="5573"/>
          </w:cols>
        </w:sectPr>
      </w:pPr>
    </w:p>
    <w:p>
      <w:pPr>
        <w:pStyle w:val="BodyText"/>
        <w:spacing w:line="249" w:lineRule="auto" w:before="100"/>
        <w:ind w:right="174"/>
      </w:pPr>
      <w:r>
        <w:rPr>
          <w:b/>
          <w:color w:val="0B0B0B"/>
        </w:rPr>
        <w:t>Scheu, Karen</w:t>
      </w:r>
      <w:r>
        <w:rPr>
          <w:color w:val="0B0B0B"/>
        </w:rPr>
        <w:t>, (A), Assistant Professor, Family and Community Health, School of Nursing. DNP, University of Maryland, 2012; MSN, Columbia University, 1999; BSN, Boston College of Nursing, 1996.</w:t>
      </w:r>
    </w:p>
    <w:p>
      <w:pPr>
        <w:pStyle w:val="BodyText"/>
        <w:spacing w:line="249" w:lineRule="auto" w:before="180"/>
        <w:ind w:right="146"/>
      </w:pPr>
      <w:r>
        <w:rPr>
          <w:b/>
          <w:color w:val="0B0B0B"/>
        </w:rPr>
        <w:t>Schneider, Abraham</w:t>
      </w:r>
      <w:r>
        <w:rPr>
          <w:color w:val="0B0B0B"/>
        </w:rPr>
        <w:t>, (R), Assistant Professor, Oral and Experimental Pathology, School of Dentistry. PhD, University of Michigan, 2005; BA, Peruvian University Cayetano Heredia, 1989.</w:t>
      </w:r>
    </w:p>
    <w:p>
      <w:pPr>
        <w:pStyle w:val="BodyText"/>
        <w:spacing w:line="249" w:lineRule="auto" w:before="186"/>
        <w:ind w:right="419"/>
      </w:pPr>
      <w:r>
        <w:rPr>
          <w:b/>
          <w:color w:val="0B0B0B"/>
        </w:rPr>
        <w:t>Schneider, Martin</w:t>
      </w:r>
      <w:r>
        <w:rPr>
          <w:color w:val="0B0B0B"/>
        </w:rPr>
        <w:t>, (R), Professor, Biochemistry and Molecular Biology, School of Medicine. PhD, Duke University, 1969; BS, Yale University, 1963.</w:t>
      </w:r>
    </w:p>
    <w:p>
      <w:pPr>
        <w:pStyle w:val="BodyText"/>
        <w:spacing w:line="249" w:lineRule="auto" w:before="179"/>
        <w:ind w:left="199" w:right="52"/>
      </w:pPr>
      <w:r>
        <w:rPr>
          <w:b/>
          <w:color w:val="0B0B0B"/>
        </w:rPr>
        <w:t>Schneider, Monica</w:t>
      </w:r>
      <w:r>
        <w:rPr>
          <w:color w:val="0B0B0B"/>
        </w:rPr>
        <w:t>, (A), Clinical Assistant Professor, Biomedical Sciences, School of Dentistry. MS, University of Minnesota, 1994; DDS, Peruvian University, 1990; BS, Peruvian University, 1990.</w:t>
      </w:r>
    </w:p>
    <w:p>
      <w:pPr>
        <w:pStyle w:val="BodyText"/>
        <w:spacing w:line="249" w:lineRule="auto" w:before="186"/>
        <w:ind w:left="199" w:right="247"/>
      </w:pPr>
      <w:r>
        <w:rPr>
          <w:b/>
          <w:color w:val="0B0B0B"/>
        </w:rPr>
        <w:t>Schneiderman, MaryAnn</w:t>
      </w:r>
      <w:r>
        <w:rPr>
          <w:color w:val="0B0B0B"/>
        </w:rPr>
        <w:t>, (A), Assistant Professor, Dental Hygiene, School of Dentistry. MS, University of Maryland, 2005; BS, George Washington University, 1983.</w:t>
      </w:r>
    </w:p>
    <w:p>
      <w:pPr>
        <w:pStyle w:val="BodyText"/>
        <w:spacing w:line="249" w:lineRule="auto" w:before="180"/>
        <w:ind w:left="199" w:right="103"/>
      </w:pPr>
      <w:r>
        <w:rPr>
          <w:b/>
          <w:color w:val="0B0B0B"/>
        </w:rPr>
        <w:t>Schoenbaum, Geoffrey</w:t>
      </w:r>
      <w:r>
        <w:rPr>
          <w:color w:val="0B0B0B"/>
        </w:rPr>
        <w:t>, (R) Assistant Professor, Anatomy, School of Medicine. MD, University of North Carolina, 1996; PhD, University of North Carolina, 1994; BS, University of Georgia, 1989.</w:t>
      </w:r>
    </w:p>
    <w:p>
      <w:pPr>
        <w:pStyle w:val="BodyText"/>
        <w:spacing w:line="249" w:lineRule="auto" w:before="186"/>
        <w:ind w:left="199" w:right="381"/>
      </w:pPr>
      <w:r>
        <w:rPr>
          <w:b/>
          <w:color w:val="0B0B0B"/>
        </w:rPr>
        <w:t>Schriml, Lynn M.</w:t>
      </w:r>
      <w:r>
        <w:rPr>
          <w:color w:val="0B0B0B"/>
        </w:rPr>
        <w:t>, (A), Associate Professor, Epidemiology and Public Health, School of Medicine, PhD, University of Ottawa, 1997; BA, Wells College, 1989.</w:t>
      </w:r>
    </w:p>
    <w:p>
      <w:pPr>
        <w:pStyle w:val="BodyText"/>
        <w:spacing w:line="249" w:lineRule="auto" w:before="180"/>
        <w:ind w:left="199" w:right="164"/>
      </w:pPr>
      <w:r>
        <w:rPr>
          <w:b/>
          <w:color w:val="0B0B0B"/>
        </w:rPr>
        <w:t>Schubert, Michael Craig</w:t>
      </w:r>
      <w:r>
        <w:rPr>
          <w:color w:val="0B0B0B"/>
        </w:rPr>
        <w:t>, (S), Associate Professor, Otolaryngology, School of Medicine. PhD, University of Miami, 2001; MS, Old Dominion University, 1991; BS, Old Dominion University, 1989.</w:t>
      </w:r>
    </w:p>
    <w:p>
      <w:pPr>
        <w:pStyle w:val="BodyText"/>
        <w:spacing w:line="249" w:lineRule="auto"/>
        <w:ind w:left="199" w:right="230"/>
      </w:pPr>
      <w:r>
        <w:rPr>
          <w:b/>
          <w:color w:val="0B0B0B"/>
        </w:rPr>
        <w:t>Schuh, Rosemary A.</w:t>
      </w:r>
      <w:r>
        <w:rPr>
          <w:color w:val="0B0B0B"/>
        </w:rPr>
        <w:t>, (A), Assistant Professor, Neurology, School of Medicine. PhD, University of Maryland, 2004; ScM, Johns Hopkins University, 2002; BS, Arizona State University, 1997.</w:t>
      </w:r>
    </w:p>
    <w:p>
      <w:pPr>
        <w:pStyle w:val="BodyText"/>
        <w:spacing w:line="249" w:lineRule="auto" w:before="181"/>
        <w:ind w:left="199" w:right="25"/>
      </w:pPr>
      <w:r>
        <w:rPr>
          <w:b/>
          <w:color w:val="0B0B0B"/>
        </w:rPr>
        <w:t>Schulze, Dan</w:t>
      </w:r>
      <w:r>
        <w:rPr>
          <w:color w:val="0B0B0B"/>
        </w:rPr>
        <w:t>, (R), Associate Professor, Microbiology and Immunology, School of Medicine. PhD, University of Texas, 1978; MA, Miami University, 1972; BS, Indiana University, 1969</w:t>
      </w:r>
    </w:p>
    <w:p>
      <w:pPr>
        <w:pStyle w:val="BodyText"/>
        <w:spacing w:line="249" w:lineRule="auto"/>
        <w:ind w:left="199" w:right="52"/>
      </w:pPr>
      <w:r>
        <w:rPr>
          <w:b/>
          <w:color w:val="0B0B0B"/>
        </w:rPr>
        <w:t>Schwarcz, Robert</w:t>
      </w:r>
      <w:r>
        <w:rPr>
          <w:color w:val="0B0B0B"/>
        </w:rPr>
        <w:t>, (R), Professor, Psychiatry, School of Medicine. PhD, University of Vienna, 1974; BS, University of Vienna, 1968.</w:t>
      </w:r>
    </w:p>
    <w:p>
      <w:pPr>
        <w:pStyle w:val="BodyText"/>
        <w:spacing w:line="249" w:lineRule="auto" w:before="180"/>
        <w:ind w:left="199" w:right="47"/>
      </w:pPr>
      <w:r>
        <w:rPr>
          <w:b/>
          <w:color w:val="0B0B0B"/>
        </w:rPr>
        <w:t>Scrandis, Debra A.</w:t>
      </w:r>
      <w:r>
        <w:rPr>
          <w:color w:val="0B0B0B"/>
        </w:rPr>
        <w:t>, (R), Associate Professor, Family and Community Health, School of Nursing. PhD, Barry</w:t>
      </w:r>
    </w:p>
    <w:p>
      <w:pPr>
        <w:pStyle w:val="BodyText"/>
        <w:spacing w:line="249" w:lineRule="auto" w:before="96"/>
        <w:ind w:left="199" w:right="1376"/>
      </w:pPr>
      <w:r>
        <w:rPr/>
        <w:br w:type="column"/>
      </w:r>
      <w:r>
        <w:rPr>
          <w:color w:val="0B0B0B"/>
        </w:rPr>
        <w:t>University, 2003; MS, Boston College, 1994; BS, Fitchburg State College, 1989.</w:t>
      </w:r>
    </w:p>
    <w:p>
      <w:pPr>
        <w:pStyle w:val="BodyText"/>
        <w:spacing w:line="249" w:lineRule="auto" w:before="179"/>
        <w:ind w:right="712" w:hanging="1"/>
      </w:pPr>
      <w:r>
        <w:rPr>
          <w:b/>
          <w:color w:val="0B0B0B"/>
        </w:rPr>
        <w:t>Seckman, Charlotte </w:t>
      </w:r>
      <w:r>
        <w:rPr>
          <w:color w:val="0B0B0B"/>
        </w:rPr>
        <w:t>, (R), Associate Professor, Organizational Systems and Adult Health, School of Nursing. PhD, University of Maryland, 2008; MSN, University of Pittsburgh, 1992; BSN, Indiana University, 1982.</w:t>
      </w:r>
    </w:p>
    <w:p>
      <w:pPr>
        <w:pStyle w:val="BodyText"/>
        <w:spacing w:line="249" w:lineRule="auto" w:before="186"/>
        <w:ind w:right="898"/>
      </w:pPr>
      <w:r>
        <w:rPr>
          <w:b/>
          <w:color w:val="0B0B0B"/>
        </w:rPr>
        <w:t>Seibel, Werner</w:t>
      </w:r>
      <w:r>
        <w:rPr>
          <w:color w:val="0B0B0B"/>
        </w:rPr>
        <w:t>, (R), Associate Professor, Oral and Craniofacial Biological Sciences, School of Dentistry. PhD, Virginia Commonwealth University, 1972; MA, Hofstra University, 1968; BA, Brooklyn College, 1965.</w:t>
      </w:r>
    </w:p>
    <w:p>
      <w:pPr>
        <w:pStyle w:val="BodyText"/>
        <w:spacing w:line="249" w:lineRule="auto" w:before="181"/>
        <w:ind w:right="699"/>
      </w:pPr>
      <w:r>
        <w:rPr>
          <w:b/>
          <w:color w:val="0B0B0B"/>
        </w:rPr>
        <w:t>Seminowicz, David</w:t>
      </w:r>
      <w:r>
        <w:rPr>
          <w:color w:val="0B0B0B"/>
        </w:rPr>
        <w:t>, (R), Associate Professor, Neural and Pain Sciences, School of Dentistry. PhD, University of Toronto, 2007; MSc, University of Guelph, 2004; BSc, University of Guelph, 2001.</w:t>
      </w:r>
    </w:p>
    <w:p>
      <w:pPr>
        <w:pStyle w:val="BodyText"/>
        <w:spacing w:line="249" w:lineRule="auto"/>
        <w:ind w:right="743"/>
      </w:pPr>
      <w:r>
        <w:rPr>
          <w:b/>
          <w:color w:val="0B0B0B"/>
        </w:rPr>
        <w:t>Sera, Leah, </w:t>
      </w:r>
      <w:r>
        <w:rPr>
          <w:color w:val="0B0B0B"/>
        </w:rPr>
        <w:t>(A), Assistant Professor, Pharmacy Practice and Science, School of Pharmacy. PharmD, University of Maryland School of Pharmacy, 2010; MA, University of Maryland Baltimore County, 2017.</w:t>
      </w:r>
    </w:p>
    <w:p>
      <w:pPr>
        <w:pStyle w:val="BodyText"/>
        <w:spacing w:line="249" w:lineRule="auto" w:before="180"/>
        <w:ind w:right="655"/>
        <w:jc w:val="both"/>
      </w:pPr>
      <w:r>
        <w:rPr>
          <w:b/>
          <w:color w:val="0B0B0B"/>
        </w:rPr>
        <w:t>Serre, David</w:t>
      </w:r>
      <w:r>
        <w:rPr>
          <w:color w:val="0B0B0B"/>
        </w:rPr>
        <w:t>, (R), Associate Professor, Genome Sciences, School of Medicine. PhD, Max-Planck Institute, 2004; BS, Ecole Nationale Superieure de Montpellier, 1999.</w:t>
      </w:r>
    </w:p>
    <w:p>
      <w:pPr>
        <w:pStyle w:val="BodyText"/>
        <w:spacing w:line="249" w:lineRule="auto"/>
        <w:ind w:right="1220"/>
      </w:pPr>
      <w:r>
        <w:rPr>
          <w:b/>
          <w:color w:val="0B0B0B"/>
        </w:rPr>
        <w:t>Shamoo, Adil</w:t>
      </w:r>
      <w:r>
        <w:rPr>
          <w:color w:val="0B0B0B"/>
        </w:rPr>
        <w:t>, (R), Professor, Biochemistry and Molecular Biology, School of Medicine. PhD, City University of New York, 1969; MS, University of Louisville, 1966; BS, University of Baghdad, 1962.</w:t>
      </w:r>
    </w:p>
    <w:p>
      <w:pPr>
        <w:pStyle w:val="BodyText"/>
        <w:spacing w:line="249" w:lineRule="auto" w:before="181"/>
        <w:ind w:right="776"/>
      </w:pPr>
      <w:r>
        <w:rPr>
          <w:b/>
          <w:color w:val="0B0B0B"/>
        </w:rPr>
        <w:t>Shamsuddin, Abulkalam</w:t>
      </w:r>
      <w:r>
        <w:rPr>
          <w:color w:val="0B0B0B"/>
        </w:rPr>
        <w:t>, (R), Professor, Pathology, School of Medicine. PhD, University of Maryland, 1980; MBBS, University of Dhakar, 1972.</w:t>
      </w:r>
    </w:p>
    <w:p>
      <w:pPr>
        <w:pStyle w:val="BodyText"/>
        <w:spacing w:line="249" w:lineRule="auto" w:before="184"/>
        <w:ind w:right="804"/>
      </w:pPr>
      <w:r>
        <w:rPr>
          <w:b/>
          <w:color w:val="0B0B0B"/>
        </w:rPr>
        <w:t>Shapiro, Paul</w:t>
      </w:r>
      <w:r>
        <w:rPr>
          <w:color w:val="0B0B0B"/>
        </w:rPr>
        <w:t>, (R), Associate Professor, Pharmaceutical Sciences, School of Pharmacy. PhD, University of Vermont, 1995; BS, University of Wisconsin, 1987.</w:t>
      </w:r>
    </w:p>
    <w:p>
      <w:pPr>
        <w:pStyle w:val="BodyText"/>
        <w:spacing w:line="249" w:lineRule="auto" w:before="180"/>
        <w:ind w:right="764"/>
      </w:pPr>
      <w:r>
        <w:rPr>
          <w:b/>
          <w:color w:val="0B0B0B"/>
        </w:rPr>
        <w:t>Shardell, Michelle</w:t>
      </w:r>
      <w:r>
        <w:rPr>
          <w:color w:val="0B0B0B"/>
        </w:rPr>
        <w:t>, (R), Adjunct Associate Professor, Epidemiology and Public Health, School of Medicine. PhD, Johns Hopkins University, 2004; MS, University of Michigan, 2000; BS, University of Florida, 1998.</w:t>
      </w:r>
    </w:p>
    <w:p>
      <w:pPr>
        <w:pStyle w:val="BodyText"/>
        <w:spacing w:line="249" w:lineRule="auto"/>
        <w:ind w:right="692"/>
      </w:pPr>
      <w:r>
        <w:rPr>
          <w:b/>
          <w:color w:val="0B0B0B"/>
        </w:rPr>
        <w:t>Sharpe, Tanya L.</w:t>
      </w:r>
      <w:r>
        <w:rPr>
          <w:color w:val="0B0B0B"/>
        </w:rPr>
        <w:t>, (A), Assistant Professor, Social Work, School of Social Work. BA, Hampton University, 1992; MSW, University of Connecticut, 1996; PhD, Boston College, 2007.</w:t>
      </w:r>
    </w:p>
    <w:p>
      <w:pPr>
        <w:pStyle w:val="BodyText"/>
        <w:spacing w:line="249" w:lineRule="auto" w:before="181"/>
        <w:ind w:right="592"/>
      </w:pPr>
      <w:r>
        <w:rPr>
          <w:b/>
          <w:color w:val="0B0B0B"/>
        </w:rPr>
        <w:t>Shaw, Terry</w:t>
      </w:r>
      <w:r>
        <w:rPr>
          <w:color w:val="0B0B0B"/>
        </w:rPr>
        <w:t>, (R), Associate Professor, School of Social Work. PhD, University of California Berkley, 2006; MSW, University of Missouri, 1997; BS, Northeast Missouri State University, 1991.</w:t>
      </w:r>
    </w:p>
    <w:p>
      <w:pPr>
        <w:spacing w:after="0" w:line="249" w:lineRule="auto"/>
        <w:sectPr>
          <w:pgSz w:w="12240" w:h="15840"/>
          <w:pgMar w:header="746" w:footer="0" w:top="1320" w:bottom="280" w:left="880" w:right="300"/>
          <w:cols w:num="2" w:equalWidth="0">
            <w:col w:w="4944" w:space="542"/>
            <w:col w:w="5574"/>
          </w:cols>
        </w:sectPr>
      </w:pPr>
    </w:p>
    <w:p>
      <w:pPr>
        <w:pStyle w:val="BodyText"/>
        <w:spacing w:line="249" w:lineRule="auto" w:before="100"/>
        <w:ind w:left="199" w:right="140"/>
      </w:pPr>
      <w:r>
        <w:rPr>
          <w:b/>
          <w:color w:val="0B0B0B"/>
        </w:rPr>
        <w:t>Shaya, Fadia</w:t>
      </w:r>
      <w:r>
        <w:rPr>
          <w:color w:val="0B0B0B"/>
        </w:rPr>
        <w:t>, (R), Associate Professor, Pharmaceutical Health Services Research, School of Pharmacy. PhD, Johns Hopkins University; MPH, American University of Beirut; BS, American University of Beirut.</w:t>
      </w:r>
    </w:p>
    <w:p>
      <w:pPr>
        <w:pStyle w:val="BodyText"/>
        <w:spacing w:line="249" w:lineRule="auto" w:before="180"/>
        <w:ind w:right="128"/>
      </w:pPr>
      <w:r>
        <w:rPr>
          <w:b/>
          <w:color w:val="0B0B0B"/>
        </w:rPr>
        <w:t>Shelton, Preston</w:t>
      </w:r>
      <w:r>
        <w:rPr>
          <w:color w:val="0B0B0B"/>
        </w:rPr>
        <w:t>, (A), Associate Professor, Pediatric Dentistry, School of Dentistry, MS, University of Nebraska, 1971, DDS, University of Michigan, 1967, BS, John Carroll University, 1963.</w:t>
      </w:r>
    </w:p>
    <w:p>
      <w:pPr>
        <w:pStyle w:val="BodyText"/>
        <w:spacing w:line="249" w:lineRule="auto" w:before="186"/>
        <w:ind w:left="199" w:right="96"/>
      </w:pPr>
      <w:r>
        <w:rPr>
          <w:b/>
          <w:color w:val="0B0B0B"/>
        </w:rPr>
        <w:t>Shen, Jana</w:t>
      </w:r>
      <w:r>
        <w:rPr>
          <w:color w:val="0B0B0B"/>
        </w:rPr>
        <w:t>, (R), Associate Professor, Pharmaceutical Sciences, School of Pharmacy. PhD, University of Minnesota, 2003; MSc, University of Calgary, 1999; BSc, Bergische Universitat, 1995.</w:t>
      </w:r>
    </w:p>
    <w:p>
      <w:pPr>
        <w:pStyle w:val="BodyText"/>
        <w:spacing w:line="249" w:lineRule="auto" w:before="180"/>
        <w:ind w:left="199" w:right="24"/>
      </w:pPr>
      <w:r>
        <w:rPr>
          <w:b/>
          <w:color w:val="0B0B0B"/>
        </w:rPr>
        <w:t>Shepard, Paul</w:t>
      </w:r>
      <w:r>
        <w:rPr>
          <w:color w:val="0B0B0B"/>
        </w:rPr>
        <w:t>, (R), Associate Professor, Neuroscience, School of Medicine, PhD, University of Texas, 1986, MS, North Texas State University, 1978, BS, Baker University, 1975.</w:t>
      </w:r>
    </w:p>
    <w:p>
      <w:pPr>
        <w:pStyle w:val="BodyText"/>
        <w:spacing w:line="249" w:lineRule="auto"/>
        <w:ind w:left="199" w:right="185"/>
      </w:pPr>
      <w:r>
        <w:rPr>
          <w:b/>
          <w:color w:val="0B0B0B"/>
        </w:rPr>
        <w:t>Shiau, Harlan</w:t>
      </w:r>
      <w:r>
        <w:rPr>
          <w:color w:val="0B0B0B"/>
        </w:rPr>
        <w:t>, (R), Associate Professor, Periodontics. DMSc, Harvard University, 2005; DDS, State University at Buffalo, 2000; BS, Cornell University, 1994.</w:t>
      </w:r>
    </w:p>
    <w:p>
      <w:pPr>
        <w:pStyle w:val="BodyText"/>
        <w:spacing w:line="249" w:lineRule="auto" w:before="180"/>
        <w:ind w:left="199" w:right="169"/>
      </w:pPr>
      <w:r>
        <w:rPr>
          <w:b/>
          <w:color w:val="0B0B0B"/>
        </w:rPr>
        <w:t>Shim, Jae Kun</w:t>
      </w:r>
      <w:r>
        <w:rPr>
          <w:color w:val="0B0B0B"/>
        </w:rPr>
        <w:t>, (S), Associate Professor, Physical Therapy and Rehabilitation Science, School of Medicine. PhD, Penn State University, 2005; MS, Ball State University, 2002; BS, Kyung Hee University, 1999.</w:t>
      </w:r>
    </w:p>
    <w:p>
      <w:pPr>
        <w:pStyle w:val="BodyText"/>
        <w:spacing w:line="249" w:lineRule="auto" w:before="186"/>
        <w:ind w:right="23"/>
      </w:pPr>
      <w:r>
        <w:rPr>
          <w:b/>
          <w:color w:val="0B0B0B"/>
        </w:rPr>
        <w:t>Shipley, Michael</w:t>
      </w:r>
      <w:r>
        <w:rPr>
          <w:color w:val="0B0B0B"/>
        </w:rPr>
        <w:t>, (R), Professor and Chair, Anatomy and Neurobiology, School of Medicine. PhD, Massachusetts Institute of Technology, 1972; BA, University of Missouri, 1967.</w:t>
      </w:r>
    </w:p>
    <w:p>
      <w:pPr>
        <w:pStyle w:val="BodyText"/>
        <w:spacing w:line="249" w:lineRule="auto" w:before="180"/>
        <w:ind w:right="46"/>
      </w:pPr>
      <w:r>
        <w:rPr>
          <w:b/>
          <w:color w:val="0B0B0B"/>
        </w:rPr>
        <w:t>Shipley, Steven T.</w:t>
      </w:r>
      <w:r>
        <w:rPr>
          <w:color w:val="0B0B0B"/>
        </w:rPr>
        <w:t>, (A), Veterinary Medicine Chief, Comparative Medicine Program, School of Medicine, VA- MD, Virginia-Maryland Regional College of Veterinary Medicine, 1997, BS, Virginia Polytechnic Institute and State University, 1994.</w:t>
      </w:r>
    </w:p>
    <w:p>
      <w:pPr>
        <w:spacing w:line="249" w:lineRule="auto" w:before="186"/>
        <w:ind w:left="200" w:right="156" w:firstLine="0"/>
        <w:jc w:val="left"/>
        <w:rPr>
          <w:sz w:val="20"/>
        </w:rPr>
      </w:pPr>
      <w:r>
        <w:rPr>
          <w:b/>
          <w:color w:val="0B0B0B"/>
          <w:sz w:val="20"/>
        </w:rPr>
        <w:t>Shipper, Andrea, </w:t>
      </w:r>
      <w:r>
        <w:rPr>
          <w:color w:val="0B0B0B"/>
          <w:sz w:val="20"/>
        </w:rPr>
        <w:t>(A), Librarian. BA, Bryn Mawr, 2008. MS, Drexel University, 2011.</w:t>
      </w:r>
    </w:p>
    <w:p>
      <w:pPr>
        <w:pStyle w:val="BodyText"/>
        <w:spacing w:line="249" w:lineRule="auto" w:before="179"/>
        <w:ind w:right="201"/>
        <w:jc w:val="both"/>
      </w:pPr>
      <w:r>
        <w:rPr>
          <w:b/>
          <w:color w:val="0B0B0B"/>
        </w:rPr>
        <w:t>Shirtliff, Mark E.</w:t>
      </w:r>
      <w:r>
        <w:rPr>
          <w:color w:val="0B0B0B"/>
        </w:rPr>
        <w:t>, (R), Assistant Professor, Biomedical Sciences, School of Dentistry. PhD, University of Texas Medical Branch, 2001; BS, University of Houston, 1993.</w:t>
      </w:r>
    </w:p>
    <w:p>
      <w:pPr>
        <w:pStyle w:val="BodyText"/>
        <w:spacing w:line="249" w:lineRule="auto"/>
        <w:ind w:left="199" w:right="68"/>
      </w:pPr>
      <w:r>
        <w:rPr>
          <w:b/>
          <w:color w:val="0B0B0B"/>
        </w:rPr>
        <w:t>Shroff, Bhavna</w:t>
      </w:r>
      <w:r>
        <w:rPr>
          <w:color w:val="0B0B0B"/>
        </w:rPr>
        <w:t>, (R), Associate Professor, Orthodontics, School of Dentistry. MS, University of Connecticut, 1989; MS, University of Paris, 1983; DDS, University of Paris, 1982.</w:t>
      </w:r>
    </w:p>
    <w:p>
      <w:pPr>
        <w:pStyle w:val="BodyText"/>
        <w:spacing w:line="249" w:lineRule="auto" w:before="180"/>
        <w:ind w:left="199" w:right="229"/>
      </w:pPr>
      <w:r>
        <w:rPr>
          <w:b/>
          <w:color w:val="0B0B0B"/>
        </w:rPr>
        <w:t>Shu, Yan</w:t>
      </w:r>
      <w:r>
        <w:rPr>
          <w:color w:val="0B0B0B"/>
        </w:rPr>
        <w:t>, (A), Assistant Professor, Pharmaceutical Sciences, School of Pharmacy. PhD, University of California, 2006; MD, Hunan Medical University, 2000;</w:t>
      </w:r>
    </w:p>
    <w:p>
      <w:pPr>
        <w:pStyle w:val="BodyText"/>
        <w:spacing w:before="96"/>
        <w:ind w:left="199"/>
      </w:pPr>
      <w:r>
        <w:rPr/>
        <w:br w:type="column"/>
      </w:r>
      <w:r>
        <w:rPr>
          <w:color w:val="0B0B0B"/>
        </w:rPr>
        <w:t>MM, Hunan Medical University, 1997.</w:t>
      </w:r>
    </w:p>
    <w:p>
      <w:pPr>
        <w:pStyle w:val="BodyText"/>
        <w:spacing w:line="249" w:lineRule="auto" w:before="187"/>
        <w:ind w:left="199" w:right="642"/>
      </w:pPr>
      <w:r>
        <w:rPr>
          <w:b/>
          <w:color w:val="0B0B0B"/>
        </w:rPr>
        <w:t>Shuldiner, Alan</w:t>
      </w:r>
      <w:r>
        <w:rPr>
          <w:color w:val="0B0B0B"/>
        </w:rPr>
        <w:t>, (R), Professor, Epidemiology and Public Health, School of Medicine. MD, Harvard University, 1984; BA, Lafayette College, 1979.</w:t>
      </w:r>
    </w:p>
    <w:p>
      <w:pPr>
        <w:pStyle w:val="BodyText"/>
        <w:spacing w:line="249" w:lineRule="auto"/>
        <w:ind w:left="199" w:right="682"/>
      </w:pPr>
      <w:r>
        <w:rPr>
          <w:b/>
          <w:color w:val="0B0B0B"/>
        </w:rPr>
        <w:t>Silver, Kristi</w:t>
      </w:r>
      <w:r>
        <w:rPr>
          <w:color w:val="0B0B0B"/>
        </w:rPr>
        <w:t>, (A), Associate Professor, Medicine, School of Medicine. MD, University of Maryland, 1985; BS, University of Maryland, 1980.</w:t>
      </w:r>
    </w:p>
    <w:p>
      <w:pPr>
        <w:pStyle w:val="BodyText"/>
        <w:spacing w:line="249" w:lineRule="auto" w:before="180"/>
        <w:ind w:left="199" w:right="671"/>
      </w:pPr>
      <w:r>
        <w:rPr>
          <w:b/>
          <w:color w:val="0B0B0B"/>
        </w:rPr>
        <w:t>Silverman, David</w:t>
      </w:r>
      <w:r>
        <w:rPr>
          <w:color w:val="0B0B0B"/>
        </w:rPr>
        <w:t>, (R), Professor, Microbiology and Immunology, School of Medicine. PhD, West Virginia University, 1971; MS, University of Tennessee, 1967; BS, Muhlenberg College, 1965.</w:t>
      </w:r>
    </w:p>
    <w:p>
      <w:pPr>
        <w:pStyle w:val="BodyText"/>
        <w:spacing w:line="249" w:lineRule="auto"/>
        <w:ind w:right="642" w:hanging="1"/>
      </w:pPr>
      <w:r>
        <w:rPr>
          <w:b/>
          <w:color w:val="0B0B0B"/>
        </w:rPr>
        <w:t>Silverman, Henry, </w:t>
      </w:r>
      <w:r>
        <w:rPr>
          <w:color w:val="0B0B0B"/>
        </w:rPr>
        <w:t>(A), Professor, Medicine, School of Medicine. BS, Rensselaer Polytechnic Institute, 1974; MS, 1974; MD, Johns Hopkins University, 1978</w:t>
      </w:r>
    </w:p>
    <w:p>
      <w:pPr>
        <w:pStyle w:val="BodyText"/>
        <w:spacing w:line="249" w:lineRule="auto" w:before="180"/>
        <w:ind w:left="199" w:right="660"/>
      </w:pPr>
      <w:r>
        <w:rPr>
          <w:b/>
          <w:color w:val="0B0B0B"/>
        </w:rPr>
        <w:t>Simard, J. Marc</w:t>
      </w:r>
      <w:r>
        <w:rPr>
          <w:color w:val="0B0B0B"/>
        </w:rPr>
        <w:t>, (R), Professor, Neurosurgery, School of Medicine. MD, PhD, Creighton University, 1981; BA, St. Anselm College, 1972.</w:t>
      </w:r>
    </w:p>
    <w:p>
      <w:pPr>
        <w:pStyle w:val="BodyText"/>
        <w:spacing w:line="249" w:lineRule="auto"/>
        <w:ind w:left="199" w:right="848"/>
      </w:pPr>
      <w:r>
        <w:rPr>
          <w:b/>
          <w:color w:val="0B0B0B"/>
        </w:rPr>
        <w:t>Simoni-Wastila, Linda</w:t>
      </w:r>
      <w:r>
        <w:rPr>
          <w:color w:val="0B0B0B"/>
        </w:rPr>
        <w:t>, (R), Professor, Pharmaceutical Health Services Research, School of Pharmacy. PhD, Brandeis University, 1993; MPH, University of North Carolina, 1987; BS, University of North Carolina, 1985.</w:t>
      </w:r>
    </w:p>
    <w:p>
      <w:pPr>
        <w:pStyle w:val="BodyText"/>
        <w:spacing w:line="249" w:lineRule="auto" w:before="180"/>
        <w:ind w:left="199" w:right="765"/>
      </w:pPr>
      <w:r>
        <w:rPr>
          <w:b/>
          <w:color w:val="0B0B0B"/>
        </w:rPr>
        <w:t>Singh, Nevil</w:t>
      </w:r>
      <w:r>
        <w:rPr>
          <w:color w:val="0B0B0B"/>
        </w:rPr>
        <w:t>, (A), Assistant Professor, Microbiology and Immunology, School of Medicine. PhD, Tata Institute of Fundamental Research (University of Bombay), 1998; MSc, Devi Ahilya VishwaVidyalaya, 1993; BSc, University College, 1991.</w:t>
      </w:r>
    </w:p>
    <w:p>
      <w:pPr>
        <w:pStyle w:val="BodyText"/>
        <w:spacing w:line="249" w:lineRule="auto" w:before="186"/>
        <w:ind w:left="199" w:right="903"/>
      </w:pPr>
      <w:r>
        <w:rPr>
          <w:b/>
          <w:color w:val="0B0B0B"/>
        </w:rPr>
        <w:t>Sjodin, Raymond</w:t>
      </w:r>
      <w:r>
        <w:rPr>
          <w:color w:val="0B0B0B"/>
        </w:rPr>
        <w:t>, (R), Professor Emeritus, School of Medicine. PhD, University of California, 1955; BS, California Institute of Technology, 1951.</w:t>
      </w:r>
    </w:p>
    <w:p>
      <w:pPr>
        <w:pStyle w:val="BodyText"/>
        <w:spacing w:line="249" w:lineRule="auto" w:before="180"/>
        <w:ind w:left="199" w:right="815"/>
      </w:pPr>
      <w:r>
        <w:rPr>
          <w:b/>
          <w:color w:val="0B0B0B"/>
        </w:rPr>
        <w:t>Skinner, Megan</w:t>
      </w:r>
      <w:r>
        <w:rPr>
          <w:color w:val="0B0B0B"/>
        </w:rPr>
        <w:t>, (A), Genetic Counselor, Molecular Medicine, School of Medicine. MS, MGC, University of Maryland, Baltimore, 2006; BS, Colorado State University, 2002.</w:t>
      </w:r>
    </w:p>
    <w:p>
      <w:pPr>
        <w:pStyle w:val="BodyText"/>
        <w:spacing w:line="249" w:lineRule="auto"/>
        <w:ind w:left="199" w:right="710"/>
      </w:pPr>
      <w:r>
        <w:rPr>
          <w:b/>
          <w:color w:val="0B0B0B"/>
        </w:rPr>
        <w:t>Slejko, Julia</w:t>
      </w:r>
      <w:r>
        <w:rPr>
          <w:color w:val="0B0B0B"/>
        </w:rPr>
        <w:t>, (A), Assistant Professor, Pharmaceutical Health Services Research, School of Pharmacy. PhD, University of Colorado, Boulder, 2012; BA, University of Colorado, Boulder, 2000.</w:t>
      </w:r>
    </w:p>
    <w:p>
      <w:pPr>
        <w:pStyle w:val="BodyText"/>
        <w:spacing w:line="249" w:lineRule="auto" w:before="181"/>
        <w:ind w:left="199" w:right="1287"/>
      </w:pPr>
      <w:r>
        <w:rPr>
          <w:b/>
          <w:color w:val="0B0B0B"/>
        </w:rPr>
        <w:t>Smith, Aaron</w:t>
      </w:r>
      <w:r>
        <w:rPr>
          <w:color w:val="0B0B0B"/>
        </w:rPr>
        <w:t>, Assistant Professor, Chemistry and Biochemistry, School of Medicine.</w:t>
      </w:r>
    </w:p>
    <w:p>
      <w:pPr>
        <w:pStyle w:val="BodyText"/>
        <w:spacing w:line="249" w:lineRule="auto" w:before="184"/>
        <w:ind w:left="199" w:right="1149"/>
      </w:pPr>
      <w:r>
        <w:rPr>
          <w:b/>
          <w:color w:val="0B0B0B"/>
        </w:rPr>
        <w:t>Smith, Gary</w:t>
      </w:r>
      <w:r>
        <w:rPr>
          <w:color w:val="0B0B0B"/>
        </w:rPr>
        <w:t>, (A), Professor, Pharmaceutical Health Services Research, School of Pharmacy. PharmD, University of California, 1966.</w:t>
      </w:r>
    </w:p>
    <w:p>
      <w:pPr>
        <w:spacing w:before="179"/>
        <w:ind w:left="199" w:right="0" w:firstLine="0"/>
        <w:jc w:val="left"/>
        <w:rPr>
          <w:sz w:val="20"/>
        </w:rPr>
      </w:pPr>
      <w:r>
        <w:rPr>
          <w:b/>
          <w:color w:val="0B0B0B"/>
          <w:sz w:val="20"/>
        </w:rPr>
        <w:t>Smith, Gordon S.</w:t>
      </w:r>
      <w:r>
        <w:rPr>
          <w:color w:val="0B0B0B"/>
          <w:sz w:val="20"/>
        </w:rPr>
        <w:t>, (R), Adjunct Professor, Epidemiology</w:t>
      </w:r>
    </w:p>
    <w:p>
      <w:pPr>
        <w:spacing w:after="0"/>
        <w:jc w:val="left"/>
        <w:rPr>
          <w:sz w:val="20"/>
        </w:rPr>
        <w:sectPr>
          <w:pgSz w:w="12240" w:h="15840"/>
          <w:pgMar w:header="746" w:footer="0" w:top="1320" w:bottom="280" w:left="880" w:right="300"/>
          <w:cols w:num="2" w:equalWidth="0">
            <w:col w:w="4976" w:space="511"/>
            <w:col w:w="5573"/>
          </w:cols>
        </w:sectPr>
      </w:pPr>
    </w:p>
    <w:p>
      <w:pPr>
        <w:pStyle w:val="BodyText"/>
        <w:spacing w:line="249" w:lineRule="auto" w:before="100"/>
        <w:ind w:right="247"/>
      </w:pPr>
      <w:r>
        <w:rPr>
          <w:color w:val="0B0B0B"/>
        </w:rPr>
        <w:t>and Public Health, School of Medicine. MPH, Harvard School of Public Health, 1981; MB, University of Otago Medical School, 1975.</w:t>
      </w:r>
    </w:p>
    <w:p>
      <w:pPr>
        <w:pStyle w:val="BodyText"/>
        <w:spacing w:line="249" w:lineRule="auto" w:before="180"/>
        <w:ind w:left="199" w:right="487"/>
      </w:pPr>
      <w:r>
        <w:rPr>
          <w:b/>
          <w:color w:val="0B0B0B"/>
        </w:rPr>
        <w:t>Snitker, Soren</w:t>
      </w:r>
      <w:r>
        <w:rPr>
          <w:color w:val="0B0B0B"/>
        </w:rPr>
        <w:t>, (A), Associate Professor, Pediatrics, School of Medicine. PhD, University of Copenhagen, 1998; MD, University of Copenhagen, 1988.</w:t>
      </w:r>
    </w:p>
    <w:p>
      <w:pPr>
        <w:pStyle w:val="BodyText"/>
        <w:spacing w:line="249" w:lineRule="auto" w:before="184"/>
        <w:ind w:left="199" w:right="90"/>
      </w:pPr>
      <w:r>
        <w:rPr>
          <w:b/>
          <w:color w:val="0B0B0B"/>
        </w:rPr>
        <w:t>Sorkin, John D.</w:t>
      </w:r>
      <w:r>
        <w:rPr>
          <w:color w:val="0B0B0B"/>
        </w:rPr>
        <w:t>, (R), Professor, Epidemiology and Public Health, </w:t>
      </w:r>
      <w:r>
        <w:rPr>
          <w:color w:val="0B0B0B"/>
          <w:spacing w:val="-3"/>
        </w:rPr>
        <w:t>School </w:t>
      </w:r>
      <w:r>
        <w:rPr>
          <w:color w:val="0B0B0B"/>
        </w:rPr>
        <w:t>of Medicine, PhD, Johns Hopkins </w:t>
      </w:r>
      <w:r>
        <w:rPr>
          <w:color w:val="0B0B0B"/>
          <w:spacing w:val="-2"/>
        </w:rPr>
        <w:t>School </w:t>
      </w:r>
      <w:r>
        <w:rPr>
          <w:color w:val="0B0B0B"/>
        </w:rPr>
        <w:t>of Hygiene and Public Health, 1999, MD, Universidad Autonoma de Guadalajara, 1984, </w:t>
      </w:r>
      <w:r>
        <w:rPr>
          <w:color w:val="0B0B0B"/>
          <w:spacing w:val="-3"/>
        </w:rPr>
        <w:t>BS, </w:t>
      </w:r>
      <w:r>
        <w:rPr>
          <w:color w:val="0B0B0B"/>
        </w:rPr>
        <w:t>Brooklyn College, 1975.</w:t>
      </w:r>
    </w:p>
    <w:p>
      <w:pPr>
        <w:pStyle w:val="BodyText"/>
        <w:spacing w:line="249" w:lineRule="auto" w:before="181"/>
        <w:ind w:right="261"/>
      </w:pPr>
      <w:r>
        <w:rPr>
          <w:b/>
          <w:color w:val="0B0B0B"/>
        </w:rPr>
        <w:t>Sowers, Kevin</w:t>
      </w:r>
      <w:r>
        <w:rPr>
          <w:color w:val="0B0B0B"/>
        </w:rPr>
        <w:t>, (A), Assistant Professor, Marine- Estuarine- Environmental Sciences, School of Medicine. PhD, Virginia Polytechnic Institute, 1994; MA, State University College of New York, 1979; BA, State University College of New York, 1976.</w:t>
      </w:r>
    </w:p>
    <w:p>
      <w:pPr>
        <w:pStyle w:val="BodyText"/>
        <w:spacing w:line="249" w:lineRule="auto" w:before="186"/>
        <w:ind w:right="63"/>
      </w:pPr>
      <w:r>
        <w:rPr>
          <w:b/>
          <w:color w:val="0B0B0B"/>
        </w:rPr>
        <w:t>Sparta, Dennis</w:t>
      </w:r>
      <w:r>
        <w:rPr>
          <w:color w:val="0B0B0B"/>
        </w:rPr>
        <w:t>, (A), Assistant Professor, Anatomy and Neurobiology, School of Medicine. PhD, University of North Carolina Chapel Hill, 2007; MA, 2004; BA, Rutgers University, 2002.</w:t>
      </w:r>
    </w:p>
    <w:p>
      <w:pPr>
        <w:pStyle w:val="BodyText"/>
        <w:spacing w:line="249" w:lineRule="auto" w:before="181"/>
        <w:ind w:right="68"/>
        <w:jc w:val="both"/>
      </w:pPr>
      <w:r>
        <w:rPr>
          <w:b/>
          <w:color w:val="0B0B0B"/>
        </w:rPr>
        <w:t>Stafford, Kristen</w:t>
      </w:r>
      <w:r>
        <w:rPr>
          <w:color w:val="0B0B0B"/>
        </w:rPr>
        <w:t>, (A), Assistant Professor, Epidemiology and Public Health, School of Medicine. PhD, University of Maryland, 2015; MPH, Johns Hopkins, 2014; BA, College of Notre Dame of Maryland, 1995.</w:t>
      </w:r>
    </w:p>
    <w:p>
      <w:pPr>
        <w:pStyle w:val="BodyText"/>
        <w:spacing w:line="249" w:lineRule="auto"/>
        <w:ind w:right="24"/>
      </w:pPr>
      <w:r>
        <w:rPr>
          <w:b/>
          <w:color w:val="0B0B0B"/>
        </w:rPr>
        <w:t>Stains, Joseph</w:t>
      </w:r>
      <w:r>
        <w:rPr>
          <w:color w:val="0B0B0B"/>
        </w:rPr>
        <w:t>, (R), Assistant Professor, Molecular Medicine, School of Medicine. PhD, Pennsylvania State University, 2000; BS, Pennsylvania State University, 1994.</w:t>
      </w:r>
    </w:p>
    <w:p>
      <w:pPr>
        <w:pStyle w:val="BodyText"/>
        <w:spacing w:line="249" w:lineRule="auto" w:before="180"/>
        <w:ind w:right="63"/>
      </w:pPr>
      <w:r>
        <w:rPr>
          <w:b/>
          <w:color w:val="0B0B0B"/>
        </w:rPr>
        <w:t>Stappert, Dina</w:t>
      </w:r>
      <w:r>
        <w:rPr>
          <w:color w:val="0B0B0B"/>
        </w:rPr>
        <w:t>, (A), Clinical Assistant Professor, Orthodontics and Pediatric Dentistry, School of Dentistry. DDS, Albert-Ludwigs University, 2006; BA, University of California, Irvine, 2001.</w:t>
      </w:r>
    </w:p>
    <w:p>
      <w:pPr>
        <w:pStyle w:val="BodyText"/>
        <w:spacing w:line="249" w:lineRule="auto"/>
      </w:pPr>
      <w:r>
        <w:rPr>
          <w:b/>
          <w:color w:val="0B0B0B"/>
        </w:rPr>
        <w:t>Stass, Sanford</w:t>
      </w:r>
      <w:r>
        <w:rPr>
          <w:color w:val="0B0B0B"/>
        </w:rPr>
        <w:t>, (R), Professor, Medicine, School of Medicine. MD, University of Missouri, 1971; BA, University of California, 1965.</w:t>
      </w:r>
    </w:p>
    <w:p>
      <w:pPr>
        <w:pStyle w:val="BodyText"/>
        <w:spacing w:line="249" w:lineRule="auto" w:before="180"/>
        <w:ind w:right="214"/>
      </w:pPr>
      <w:r>
        <w:rPr>
          <w:b/>
          <w:color w:val="0B0B0B"/>
        </w:rPr>
        <w:t>Steinberg, Lisa Schwartz</w:t>
      </w:r>
      <w:r>
        <w:rPr>
          <w:color w:val="0B0B0B"/>
        </w:rPr>
        <w:t>, (A), Genetic Counselor, Human Genetics, School of Medicine. MS, University of Pittsburgh, 1992; BS, Cornell University, 1990.</w:t>
      </w:r>
    </w:p>
    <w:p>
      <w:pPr>
        <w:pStyle w:val="BodyText"/>
        <w:spacing w:line="249" w:lineRule="auto"/>
        <w:ind w:right="147"/>
      </w:pPr>
      <w:r>
        <w:rPr>
          <w:b/>
          <w:color w:val="0B0B0B"/>
        </w:rPr>
        <w:t>Steinberger, Eileen</w:t>
      </w:r>
      <w:r>
        <w:rPr>
          <w:color w:val="0B0B0B"/>
        </w:rPr>
        <w:t>, (A), Instructor, Epidemiology and Public Health, School of Medicine. MS, University of Maryland, Baltimore, 2001; MD, University of Michigan, 1979; BS, University of Michigan, 1975.</w:t>
      </w:r>
    </w:p>
    <w:p>
      <w:pPr>
        <w:pStyle w:val="BodyText"/>
        <w:spacing w:line="249" w:lineRule="auto" w:before="180"/>
        <w:ind w:right="96"/>
      </w:pPr>
      <w:r>
        <w:rPr>
          <w:b/>
          <w:color w:val="0B0B0B"/>
        </w:rPr>
        <w:t>Stephens, Sarah</w:t>
      </w:r>
      <w:r>
        <w:rPr>
          <w:color w:val="0B0B0B"/>
        </w:rPr>
        <w:t>, (A), Assistant Professor, Endocrinology Diabetes and Nutrition, School of Medicine. PhD, University of Florida, 2000; MS, Texas A&amp;M University,</w:t>
      </w:r>
    </w:p>
    <w:p>
      <w:pPr>
        <w:pStyle w:val="BodyText"/>
        <w:spacing w:before="96"/>
      </w:pPr>
      <w:r>
        <w:rPr/>
        <w:br w:type="column"/>
      </w:r>
      <w:r>
        <w:rPr>
          <w:color w:val="0B0B0B"/>
        </w:rPr>
        <w:t>2003; BS, University of Colorado, 2008.</w:t>
      </w:r>
    </w:p>
    <w:p>
      <w:pPr>
        <w:pStyle w:val="BodyText"/>
        <w:spacing w:line="249" w:lineRule="auto" w:before="187"/>
        <w:ind w:right="903"/>
      </w:pPr>
      <w:r>
        <w:rPr>
          <w:b/>
          <w:color w:val="0B0B0B"/>
        </w:rPr>
        <w:t>Stinchcomb, Audra</w:t>
      </w:r>
      <w:r>
        <w:rPr>
          <w:color w:val="0B0B0B"/>
        </w:rPr>
        <w:t>, (R), Professor, Pharmaceutical Sciences, School of Pharmacy. PhD, University of Michigan, 1995; BS, University of Colorado, 1989.</w:t>
      </w:r>
    </w:p>
    <w:p>
      <w:pPr>
        <w:pStyle w:val="BodyText"/>
        <w:spacing w:line="249" w:lineRule="auto"/>
        <w:ind w:right="755"/>
        <w:jc w:val="both"/>
      </w:pPr>
      <w:r>
        <w:rPr>
          <w:b/>
          <w:color w:val="0B0B0B"/>
        </w:rPr>
        <w:t>Stine, O. Colin</w:t>
      </w:r>
      <w:r>
        <w:rPr>
          <w:color w:val="0B0B0B"/>
        </w:rPr>
        <w:t>, (R), Professor, Epidemiology and Public Health, School of Medicine. PhD, University of Virginia, 1986; MS, University of Virginia, 1983; BA, Kalamazoo College, 1976.</w:t>
      </w:r>
    </w:p>
    <w:p>
      <w:pPr>
        <w:pStyle w:val="BodyText"/>
        <w:spacing w:line="249" w:lineRule="auto" w:before="181"/>
        <w:ind w:right="703"/>
      </w:pPr>
      <w:r>
        <w:rPr>
          <w:b/>
          <w:color w:val="0B0B0B"/>
        </w:rPr>
        <w:t>Stone, Maureen</w:t>
      </w:r>
      <w:r>
        <w:rPr>
          <w:color w:val="0B0B0B"/>
        </w:rPr>
        <w:t>, (R), Professor, Oral and Craniofacial Biological Sciences, School of Dentistry. PhD, University of Maryland, 1979; MS, Boston University, 1971; BA, City University of New York, 1969.</w:t>
      </w:r>
    </w:p>
    <w:p>
      <w:pPr>
        <w:pStyle w:val="BodyText"/>
        <w:spacing w:line="249" w:lineRule="auto"/>
        <w:ind w:right="626"/>
      </w:pPr>
      <w:r>
        <w:rPr>
          <w:b/>
          <w:color w:val="0B0B0B"/>
        </w:rPr>
        <w:t>Storr, Carla, (R)</w:t>
      </w:r>
      <w:r>
        <w:rPr>
          <w:color w:val="0B0B0B"/>
        </w:rPr>
        <w:t>, Professor, Family and Community Health, </w:t>
      </w:r>
      <w:r>
        <w:rPr>
          <w:color w:val="0B0B0B"/>
          <w:spacing w:val="-3"/>
        </w:rPr>
        <w:t>School </w:t>
      </w:r>
      <w:r>
        <w:rPr>
          <w:color w:val="0B0B0B"/>
        </w:rPr>
        <w:t>of Nursing. ScD, Johns Hopkins University, 1998; </w:t>
      </w:r>
      <w:r>
        <w:rPr>
          <w:color w:val="0B0B0B"/>
          <w:spacing w:val="-3"/>
        </w:rPr>
        <w:t>MPH, </w:t>
      </w:r>
      <w:r>
        <w:rPr>
          <w:color w:val="0B0B0B"/>
        </w:rPr>
        <w:t>University of South Florida, 1986; </w:t>
      </w:r>
      <w:r>
        <w:rPr>
          <w:color w:val="0B0B0B"/>
          <w:spacing w:val="-3"/>
        </w:rPr>
        <w:t>BS, </w:t>
      </w:r>
      <w:r>
        <w:rPr>
          <w:color w:val="0B0B0B"/>
        </w:rPr>
        <w:t>University of South Florida,</w:t>
      </w:r>
      <w:r>
        <w:rPr>
          <w:color w:val="0B0B0B"/>
          <w:spacing w:val="5"/>
        </w:rPr>
        <w:t> </w:t>
      </w:r>
      <w:r>
        <w:rPr>
          <w:color w:val="0B0B0B"/>
        </w:rPr>
        <w:t>1980.</w:t>
      </w:r>
    </w:p>
    <w:p>
      <w:pPr>
        <w:pStyle w:val="BodyText"/>
        <w:spacing w:line="249" w:lineRule="auto" w:before="180"/>
        <w:ind w:right="628"/>
      </w:pPr>
      <w:r>
        <w:rPr>
          <w:b/>
          <w:color w:val="0B0B0B"/>
        </w:rPr>
        <w:t>Strassler, Howard</w:t>
      </w:r>
      <w:r>
        <w:rPr>
          <w:color w:val="0B0B0B"/>
        </w:rPr>
        <w:t>, (A), Professor, Restorative Dentistry, School of Dentistry. DMD, University of Pennsylvania, 1975; BS, State University of New York, 1971.</w:t>
      </w:r>
    </w:p>
    <w:p>
      <w:pPr>
        <w:pStyle w:val="BodyText"/>
        <w:spacing w:line="249" w:lineRule="auto"/>
        <w:ind w:right="628"/>
      </w:pPr>
      <w:r>
        <w:rPr>
          <w:b/>
          <w:color w:val="0B0B0B"/>
        </w:rPr>
        <w:t>Streeten, Elizabeth A.</w:t>
      </w:r>
      <w:r>
        <w:rPr>
          <w:color w:val="0B0B0B"/>
        </w:rPr>
        <w:t>, (A), Associate Professor, Epidemiology and Human Genetics, School of Medicine. MD, Albany Medical College, 1982; BA, Mount Holyoke, 1978.</w:t>
      </w:r>
    </w:p>
    <w:p>
      <w:pPr>
        <w:pStyle w:val="BodyText"/>
        <w:spacing w:line="249" w:lineRule="auto" w:before="181"/>
        <w:ind w:right="1131"/>
      </w:pPr>
      <w:r>
        <w:rPr>
          <w:b/>
          <w:color w:val="0B0B0B"/>
        </w:rPr>
        <w:t>Strickland, Dudley</w:t>
      </w:r>
      <w:r>
        <w:rPr>
          <w:color w:val="0B0B0B"/>
        </w:rPr>
        <w:t>, (R), Professor, Department of Physiology, School of Medicine. PhD, University of Kansas, 1978; BS, Bethany Nazarene College, 1973.</w:t>
      </w:r>
    </w:p>
    <w:p>
      <w:pPr>
        <w:pStyle w:val="BodyText"/>
        <w:spacing w:line="249" w:lineRule="auto" w:before="184"/>
        <w:ind w:right="864"/>
      </w:pPr>
      <w:r>
        <w:rPr>
          <w:b/>
          <w:color w:val="0B0B0B"/>
        </w:rPr>
        <w:t>Strieder, Frederick</w:t>
      </w:r>
      <w:r>
        <w:rPr>
          <w:color w:val="0B0B0B"/>
        </w:rPr>
        <w:t>, (A), Clinical Associate Professor, School of Social Work. PhD, University of Maryland, 1990; MS, Case Western Reserve University, 1977; BS, Gannon University, 1971.</w:t>
      </w:r>
    </w:p>
    <w:p>
      <w:pPr>
        <w:pStyle w:val="BodyText"/>
        <w:spacing w:line="249" w:lineRule="auto" w:before="181"/>
        <w:ind w:right="809"/>
      </w:pPr>
      <w:r>
        <w:rPr>
          <w:b/>
          <w:color w:val="0B0B0B"/>
        </w:rPr>
        <w:t>Strome, Scott</w:t>
      </w:r>
      <w:r>
        <w:rPr>
          <w:color w:val="0B0B0B"/>
        </w:rPr>
        <w:t>, (A), Chairman, Department of Otorhinolaryngology, School of Medicine. MD, Harvard Medical School, 1991; BS, Dartmouth College, 1987.</w:t>
      </w:r>
    </w:p>
    <w:p>
      <w:pPr>
        <w:pStyle w:val="BodyText"/>
        <w:spacing w:line="249" w:lineRule="auto" w:before="184"/>
        <w:ind w:right="748"/>
      </w:pPr>
      <w:r>
        <w:rPr>
          <w:b/>
          <w:color w:val="0B0B0B"/>
        </w:rPr>
        <w:t>Strovel, Erin</w:t>
      </w:r>
      <w:r>
        <w:rPr>
          <w:color w:val="0B0B0B"/>
        </w:rPr>
        <w:t>, (A), Assistant Professor, Human Genetics, School of Medicine. PhD, University of Maryland, Baltimore; BS, Western Maryland College, 1993.</w:t>
      </w:r>
    </w:p>
    <w:p>
      <w:pPr>
        <w:pStyle w:val="BodyText"/>
        <w:spacing w:line="249" w:lineRule="auto" w:before="180"/>
        <w:ind w:right="648"/>
      </w:pPr>
      <w:r>
        <w:rPr>
          <w:b/>
          <w:color w:val="0B0B0B"/>
        </w:rPr>
        <w:t>Stuart, Bruce</w:t>
      </w:r>
      <w:r>
        <w:rPr>
          <w:color w:val="0B0B0B"/>
        </w:rPr>
        <w:t>, (R), Professor, Pharmaceutical Health Services Research, School of Pharmacy. PhD, Washington State University, 1970; MA, Washington State University, 1968; BA, Whitman College, 1965.</w:t>
      </w:r>
    </w:p>
    <w:p>
      <w:pPr>
        <w:spacing w:line="249" w:lineRule="auto" w:before="185"/>
        <w:ind w:left="200" w:right="1626" w:hanging="1"/>
        <w:jc w:val="left"/>
        <w:rPr>
          <w:sz w:val="20"/>
        </w:rPr>
      </w:pPr>
      <w:r>
        <w:rPr>
          <w:b/>
          <w:color w:val="0B0B0B"/>
          <w:sz w:val="20"/>
        </w:rPr>
        <w:t>Summers, Michael</w:t>
      </w:r>
      <w:r>
        <w:rPr>
          <w:color w:val="0B0B0B"/>
          <w:sz w:val="20"/>
        </w:rPr>
        <w:t>, Professor, Chemistry and Biochemistry, School of Medicine.</w:t>
      </w:r>
    </w:p>
    <w:p>
      <w:pPr>
        <w:spacing w:before="179"/>
        <w:ind w:left="200" w:right="0" w:firstLine="0"/>
        <w:jc w:val="left"/>
        <w:rPr>
          <w:sz w:val="20"/>
        </w:rPr>
      </w:pPr>
      <w:r>
        <w:rPr>
          <w:b/>
          <w:color w:val="0B0B0B"/>
          <w:sz w:val="20"/>
        </w:rPr>
        <w:t>Sun, Chen-Chih</w:t>
      </w:r>
      <w:r>
        <w:rPr>
          <w:color w:val="0B0B0B"/>
          <w:sz w:val="20"/>
        </w:rPr>
        <w:t>, (R), Professor, Pathology, School of</w:t>
      </w:r>
    </w:p>
    <w:p>
      <w:pPr>
        <w:spacing w:after="0"/>
        <w:jc w:val="left"/>
        <w:rPr>
          <w:sz w:val="20"/>
        </w:rPr>
        <w:sectPr>
          <w:headerReference w:type="default" r:id="rId136"/>
          <w:headerReference w:type="even" r:id="rId137"/>
          <w:pgSz w:w="12240" w:h="15840"/>
          <w:pgMar w:header="746" w:footer="0" w:top="1320" w:bottom="280" w:left="880" w:right="300"/>
          <w:cols w:num="2" w:equalWidth="0">
            <w:col w:w="5000" w:space="487"/>
            <w:col w:w="5573"/>
          </w:cols>
        </w:sectPr>
      </w:pPr>
    </w:p>
    <w:p>
      <w:pPr>
        <w:pStyle w:val="BodyText"/>
        <w:spacing w:before="100"/>
      </w:pPr>
      <w:r>
        <w:rPr>
          <w:color w:val="0B0B0B"/>
        </w:rPr>
        <w:t>Medicine. MD, National Taiwan University, 1970.</w:t>
      </w:r>
    </w:p>
    <w:p>
      <w:pPr>
        <w:pStyle w:val="BodyText"/>
        <w:spacing w:line="249" w:lineRule="auto" w:before="187"/>
        <w:ind w:left="199" w:right="513"/>
      </w:pPr>
      <w:r>
        <w:rPr>
          <w:b/>
          <w:color w:val="0B0B0B"/>
        </w:rPr>
        <w:t>Sundberg, Eric J.</w:t>
      </w:r>
      <w:r>
        <w:rPr>
          <w:color w:val="0B0B0B"/>
        </w:rPr>
        <w:t>, (A), Professor, Microbiology and Virology, School of Medicine. PhD, Northwestern University, 1999; BS, University of Rochester, 1994.</w:t>
      </w:r>
    </w:p>
    <w:p>
      <w:pPr>
        <w:pStyle w:val="BodyText"/>
        <w:spacing w:line="249" w:lineRule="auto"/>
        <w:ind w:left="199" w:right="61"/>
      </w:pPr>
      <w:r>
        <w:rPr>
          <w:b/>
          <w:color w:val="0B0B0B"/>
        </w:rPr>
        <w:t>Swaan, Peter W.</w:t>
      </w:r>
      <w:r>
        <w:rPr>
          <w:color w:val="0B0B0B"/>
        </w:rPr>
        <w:t>, (R), Professor, Pharmaceutical Sciences, School </w:t>
      </w:r>
      <w:r>
        <w:rPr>
          <w:color w:val="0B0B0B"/>
          <w:spacing w:val="-3"/>
        </w:rPr>
        <w:t>of </w:t>
      </w:r>
      <w:r>
        <w:rPr>
          <w:color w:val="0B0B0B"/>
        </w:rPr>
        <w:t>Pharmacy. PhD, University of Utrecht, 1993; MS, University of Utrecht,</w:t>
      </w:r>
      <w:r>
        <w:rPr>
          <w:color w:val="0B0B0B"/>
          <w:spacing w:val="-8"/>
        </w:rPr>
        <w:t> </w:t>
      </w:r>
      <w:r>
        <w:rPr>
          <w:color w:val="0B0B0B"/>
        </w:rPr>
        <w:t>1989.</w:t>
      </w:r>
    </w:p>
    <w:p>
      <w:pPr>
        <w:pStyle w:val="BodyText"/>
        <w:spacing w:line="249" w:lineRule="auto" w:before="180"/>
        <w:ind w:left="199" w:right="24"/>
      </w:pPr>
      <w:r>
        <w:rPr>
          <w:b/>
          <w:color w:val="0B0B0B"/>
        </w:rPr>
        <w:t>Swanberg, Jennifer</w:t>
      </w:r>
      <w:r>
        <w:rPr>
          <w:color w:val="0B0B0B"/>
        </w:rPr>
        <w:t>, (R), Professor, School of Social Work. PhD, Brandeis University, 1997; MMHS, Brandeis University, 1991; BS, University of New Hampshire, 1984.</w:t>
      </w:r>
    </w:p>
    <w:p>
      <w:pPr>
        <w:pStyle w:val="BodyText"/>
        <w:spacing w:line="249" w:lineRule="auto" w:before="184"/>
        <w:ind w:right="134"/>
      </w:pPr>
      <w:r>
        <w:rPr>
          <w:b/>
          <w:color w:val="0B0B0B"/>
        </w:rPr>
        <w:t>Sweet, Michael, </w:t>
      </w:r>
      <w:r>
        <w:rPr>
          <w:color w:val="0B0B0B"/>
        </w:rPr>
        <w:t>(A), Adjunct Assistant Professor, Graduate School. BA, University of Redlands, 1992; MA, University of California, Davis, 1994; PhD, University of Texas, Austin, 2008.</w:t>
      </w:r>
    </w:p>
    <w:p>
      <w:pPr>
        <w:pStyle w:val="BodyText"/>
        <w:spacing w:line="249" w:lineRule="auto" w:before="181"/>
        <w:ind w:right="301"/>
      </w:pPr>
      <w:r>
        <w:rPr>
          <w:b/>
          <w:color w:val="0B0B0B"/>
        </w:rPr>
        <w:t>Sydiskis, Robert</w:t>
      </w:r>
      <w:r>
        <w:rPr>
          <w:color w:val="0B0B0B"/>
        </w:rPr>
        <w:t>, (R), Associate Professor, Oral and Craniofacial Biological Sciences, School of Dentistry. PhD, Northwestern University, 1965; BA, University of Bridgeport, 1961.</w:t>
      </w:r>
    </w:p>
    <w:p>
      <w:pPr>
        <w:pStyle w:val="BodyText"/>
        <w:spacing w:line="249" w:lineRule="auto"/>
        <w:ind w:left="199" w:right="168"/>
      </w:pPr>
      <w:r>
        <w:rPr>
          <w:b/>
          <w:color w:val="0B0B0B"/>
        </w:rPr>
        <w:t>Syme, Sheryl</w:t>
      </w:r>
      <w:r>
        <w:rPr>
          <w:color w:val="0B0B0B"/>
        </w:rPr>
        <w:t>, (A), Associate Professor, Dental Hygiene, School of Dentistry. MS, University of Maryland, 1993; BS, University of Maryland, 1988.</w:t>
      </w:r>
    </w:p>
    <w:p>
      <w:pPr>
        <w:pStyle w:val="BodyText"/>
        <w:spacing w:line="249" w:lineRule="auto" w:before="180"/>
      </w:pPr>
      <w:r>
        <w:rPr>
          <w:b/>
          <w:color w:val="0B0B0B"/>
        </w:rPr>
        <w:t>Sztein, Marcelo</w:t>
      </w:r>
      <w:r>
        <w:rPr>
          <w:color w:val="0B0B0B"/>
        </w:rPr>
        <w:t>, (R), Professor, Pediatrics, School of Medicine. MD, University of Buenos Aires, 1976.</w:t>
      </w:r>
    </w:p>
    <w:p>
      <w:pPr>
        <w:pStyle w:val="BodyText"/>
        <w:spacing w:line="249" w:lineRule="auto" w:before="184"/>
        <w:ind w:left="199" w:right="146"/>
      </w:pPr>
      <w:r>
        <w:rPr>
          <w:b/>
          <w:color w:val="0B0B0B"/>
        </w:rPr>
        <w:t>Tagamets, Malle A.</w:t>
      </w:r>
      <w:r>
        <w:rPr>
          <w:color w:val="0B0B0B"/>
        </w:rPr>
        <w:t>, (A), Assistant Professor, Neuroscience, School of Medicine. PhD, University of Maryland, 1994; MS, University of Maryland, 1988; MA, University of Maryland, 1984.</w:t>
      </w:r>
    </w:p>
    <w:p>
      <w:pPr>
        <w:pStyle w:val="BodyText"/>
        <w:spacing w:line="249" w:lineRule="auto" w:before="180"/>
        <w:ind w:left="199" w:right="107"/>
      </w:pPr>
      <w:r>
        <w:rPr>
          <w:b/>
          <w:color w:val="0B0B0B"/>
        </w:rPr>
        <w:t>Tan, Ming</w:t>
      </w:r>
      <w:r>
        <w:rPr>
          <w:color w:val="0B0B0B"/>
        </w:rPr>
        <w:t>, (A), Adjunct Professor, Epidemiology and Public Health, School of Medicine. PhD, Purdue University, 1990; MS, Central China Norman University, 1986; BS, Wuhan University, 1982.</w:t>
      </w:r>
    </w:p>
    <w:p>
      <w:pPr>
        <w:pStyle w:val="BodyText"/>
        <w:spacing w:line="249" w:lineRule="auto" w:before="186"/>
        <w:ind w:left="199" w:right="107"/>
      </w:pPr>
      <w:r>
        <w:rPr>
          <w:b/>
          <w:color w:val="0B0B0B"/>
        </w:rPr>
        <w:t>Tanaka, Kenichi</w:t>
      </w:r>
      <w:r>
        <w:rPr>
          <w:color w:val="0B0B0B"/>
        </w:rPr>
        <w:t>, (A), Professor, Anesthesiology, School of Medicine. MSc, Emory University, 2006; MD, Keio University, 1992.</w:t>
      </w:r>
    </w:p>
    <w:p>
      <w:pPr>
        <w:pStyle w:val="BodyText"/>
        <w:spacing w:line="249" w:lineRule="auto" w:before="179"/>
        <w:ind w:left="199" w:right="424"/>
      </w:pPr>
      <w:r>
        <w:rPr>
          <w:b/>
          <w:color w:val="0B0B0B"/>
        </w:rPr>
        <w:t>Tang, Cha-Min</w:t>
      </w:r>
      <w:r>
        <w:rPr>
          <w:color w:val="0B0B0B"/>
        </w:rPr>
        <w:t>, (A), Assistant Professor, Neurology, School of Medicine. PhD, University of Pennsylvania, 1982; MD, University of Pennsylvania, 1981; MS, Massachusetts Institute of Technology, 1975.</w:t>
      </w:r>
    </w:p>
    <w:p>
      <w:pPr>
        <w:pStyle w:val="BodyText"/>
        <w:spacing w:line="249" w:lineRule="auto" w:before="186"/>
        <w:ind w:left="199" w:right="35"/>
      </w:pPr>
      <w:r>
        <w:rPr>
          <w:b/>
          <w:color w:val="0B0B0B"/>
        </w:rPr>
        <w:t>Tarzian, Anita, </w:t>
      </w:r>
      <w:r>
        <w:rPr>
          <w:color w:val="0B0B0B"/>
        </w:rPr>
        <w:t>(A), Associate Professor, Family and Community Health, School of Nursing. BA, Knox College, 1984; BSN, Rush University, 1986; MS, University of Maryland Baltimore, 1995; PhD, 1998.</w:t>
      </w:r>
    </w:p>
    <w:p>
      <w:pPr>
        <w:spacing w:before="180"/>
        <w:ind w:left="199" w:right="0" w:firstLine="0"/>
        <w:jc w:val="left"/>
        <w:rPr>
          <w:sz w:val="20"/>
        </w:rPr>
      </w:pPr>
      <w:r>
        <w:rPr>
          <w:b/>
          <w:color w:val="0B0B0B"/>
          <w:sz w:val="20"/>
        </w:rPr>
        <w:t>Taylor, Simeon</w:t>
      </w:r>
      <w:r>
        <w:rPr>
          <w:color w:val="0B0B0B"/>
          <w:sz w:val="20"/>
        </w:rPr>
        <w:t>, (R), Professor, Medicine, School of</w:t>
      </w:r>
    </w:p>
    <w:p>
      <w:pPr>
        <w:pStyle w:val="BodyText"/>
        <w:spacing w:line="249" w:lineRule="auto" w:before="96"/>
        <w:ind w:left="199" w:right="978"/>
      </w:pPr>
      <w:r>
        <w:rPr/>
        <w:br w:type="column"/>
      </w:r>
      <w:r>
        <w:rPr>
          <w:color w:val="0B0B0B"/>
        </w:rPr>
        <w:t>Medicine. MD, Harvard Medical School, 1976; PhD, Harvard University, 1974; BS, Harvard College, 1969.</w:t>
      </w:r>
    </w:p>
    <w:p>
      <w:pPr>
        <w:pStyle w:val="BodyText"/>
        <w:spacing w:line="249" w:lineRule="auto" w:before="179"/>
        <w:ind w:left="199" w:right="605"/>
      </w:pPr>
      <w:r>
        <w:rPr>
          <w:b/>
          <w:color w:val="0B0B0B"/>
        </w:rPr>
        <w:t>Tennant, Sharon</w:t>
      </w:r>
      <w:r>
        <w:rPr>
          <w:color w:val="0B0B0B"/>
        </w:rPr>
        <w:t>, (A), Microbiology, School of Medicine. PhD, University of Melbourne; 2005, BSc, University of Melbourne, 1999.</w:t>
      </w:r>
    </w:p>
    <w:p>
      <w:pPr>
        <w:pStyle w:val="BodyText"/>
        <w:spacing w:line="249" w:lineRule="auto"/>
        <w:ind w:left="199" w:right="672"/>
      </w:pPr>
      <w:r>
        <w:rPr>
          <w:b/>
          <w:color w:val="0B0B0B"/>
        </w:rPr>
        <w:t>Terplan, Mishka</w:t>
      </w:r>
      <w:r>
        <w:rPr>
          <w:color w:val="0B0B0B"/>
        </w:rPr>
        <w:t>, (R), Obstetrics Gynecology, School of Medicine. MPH, University of North Carolina, 2006; MD, University of California, San Francisco, 2000; BA, University of Chicago, 1991.</w:t>
      </w:r>
    </w:p>
    <w:p>
      <w:pPr>
        <w:pStyle w:val="BodyText"/>
        <w:spacing w:line="249" w:lineRule="auto" w:before="180"/>
        <w:ind w:left="199" w:right="644"/>
      </w:pPr>
      <w:r>
        <w:rPr>
          <w:b/>
          <w:color w:val="0B0B0B"/>
        </w:rPr>
        <w:t>Terrin, Michael</w:t>
      </w:r>
      <w:r>
        <w:rPr>
          <w:color w:val="0B0B0B"/>
        </w:rPr>
        <w:t>, (R), Professor, Epidemiology and Public Health, School of Medicine. MPH, Johns Hopkins University, 1980; MD, CM, McGill University, 1974; BA, Brown University, 1970.</w:t>
      </w:r>
    </w:p>
    <w:p>
      <w:pPr>
        <w:pStyle w:val="BodyText"/>
        <w:spacing w:line="249" w:lineRule="auto" w:before="186"/>
        <w:ind w:left="199" w:right="717"/>
      </w:pPr>
      <w:r>
        <w:rPr>
          <w:b/>
          <w:color w:val="0B0B0B"/>
        </w:rPr>
        <w:t>Tettelin, Hervre</w:t>
      </w:r>
      <w:r>
        <w:rPr>
          <w:color w:val="0B0B0B"/>
        </w:rPr>
        <w:t>, (A), Associate Professor, Microbiology and Immunology, School of Medicine. PhD, Catholic University of Louvain, Belgium, 1997; BSc, Catholic University of Louvain, Belgium, 1992.</w:t>
      </w:r>
    </w:p>
    <w:p>
      <w:pPr>
        <w:pStyle w:val="BodyText"/>
        <w:spacing w:line="249" w:lineRule="auto" w:before="180"/>
        <w:ind w:left="199" w:right="722"/>
      </w:pPr>
      <w:r>
        <w:rPr>
          <w:b/>
          <w:color w:val="0B0B0B"/>
        </w:rPr>
        <w:t>Thaker, Gunvant</w:t>
      </w:r>
      <w:r>
        <w:rPr>
          <w:color w:val="0B0B0B"/>
        </w:rPr>
        <w:t>, (A), Associate Professor, Psychiatry, School of Medicine. MD, Baroda University, India, 1978.</w:t>
      </w:r>
    </w:p>
    <w:p>
      <w:pPr>
        <w:pStyle w:val="BodyText"/>
        <w:spacing w:line="249" w:lineRule="auto" w:before="184"/>
        <w:ind w:left="199" w:right="666"/>
      </w:pPr>
      <w:r>
        <w:rPr>
          <w:b/>
          <w:color w:val="0B0B0B"/>
        </w:rPr>
        <w:t>Thompson, Loren</w:t>
      </w:r>
      <w:r>
        <w:rPr>
          <w:color w:val="0B0B0B"/>
        </w:rPr>
        <w:t>, (R), Associate Professor, Obstetrics, School of Medicine. PhD, Michigan State University, 1984; MS, University of Minnesota, 1979; BA, Augustana College, 1977.</w:t>
      </w:r>
    </w:p>
    <w:p>
      <w:pPr>
        <w:pStyle w:val="BodyText"/>
        <w:spacing w:line="249" w:lineRule="auto" w:before="181"/>
        <w:ind w:left="199" w:right="644"/>
      </w:pPr>
      <w:r>
        <w:rPr>
          <w:b/>
          <w:color w:val="0B0B0B"/>
        </w:rPr>
        <w:t>Thompson, Richard</w:t>
      </w:r>
      <w:r>
        <w:rPr>
          <w:color w:val="0B0B0B"/>
        </w:rPr>
        <w:t>, (R), Associate Professor, Biochemistry and Molecular Biology, School of Medicine. PhD, University of Illinois, 1981; BA, Northwestern University, 1975.</w:t>
      </w:r>
    </w:p>
    <w:p>
      <w:pPr>
        <w:pStyle w:val="BodyText"/>
        <w:spacing w:line="249" w:lineRule="auto"/>
        <w:ind w:left="199" w:right="738"/>
      </w:pPr>
      <w:r>
        <w:rPr>
          <w:b/>
          <w:color w:val="0B0B0B"/>
        </w:rPr>
        <w:t>Thompson, Scott</w:t>
      </w:r>
      <w:r>
        <w:rPr>
          <w:color w:val="0B0B0B"/>
        </w:rPr>
        <w:t>, (R), Associate Professor, Physiology, School of Medicine. PhD, Stanford University, 1986; BS, Cornell University, 1979.</w:t>
      </w:r>
    </w:p>
    <w:p>
      <w:pPr>
        <w:pStyle w:val="BodyText"/>
        <w:spacing w:line="249" w:lineRule="auto" w:before="180"/>
        <w:ind w:left="199" w:right="651"/>
        <w:jc w:val="both"/>
      </w:pPr>
      <w:r>
        <w:rPr>
          <w:b/>
          <w:color w:val="0B0B0B"/>
        </w:rPr>
        <w:t>Thrasher, Terry</w:t>
      </w:r>
      <w:r>
        <w:rPr>
          <w:color w:val="0B0B0B"/>
        </w:rPr>
        <w:t>, (R), Professor, Surgery and Physiology, School of Medicine. PhD, University of Florida, 1976; BS, Eckerd College, 1971.</w:t>
      </w:r>
    </w:p>
    <w:p>
      <w:pPr>
        <w:pStyle w:val="BodyText"/>
        <w:spacing w:line="249" w:lineRule="auto" w:before="184"/>
        <w:ind w:left="199" w:right="639"/>
      </w:pPr>
      <w:r>
        <w:rPr>
          <w:b/>
          <w:color w:val="0B0B0B"/>
        </w:rPr>
        <w:t>Tice, Carolyn J.</w:t>
      </w:r>
      <w:r>
        <w:rPr>
          <w:color w:val="0B0B0B"/>
        </w:rPr>
        <w:t>, (R), Associate Dean, UMBC, School of Social Work. MSW, Temple University, 1976; MSW, Temple University, 1976; BSW, West Virginia University, 1973.</w:t>
      </w:r>
    </w:p>
    <w:p>
      <w:pPr>
        <w:pStyle w:val="BodyText"/>
        <w:spacing w:line="249" w:lineRule="auto" w:before="181"/>
        <w:ind w:left="199" w:right="744"/>
      </w:pPr>
      <w:r>
        <w:rPr>
          <w:b/>
          <w:color w:val="0B0B0B"/>
        </w:rPr>
        <w:t>Tinanoff, Norman</w:t>
      </w:r>
      <w:r>
        <w:rPr>
          <w:color w:val="0B0B0B"/>
        </w:rPr>
        <w:t>, (A), Professor, Pediatric Dentistry, School of Dentistry. DDS, University of Maryland, 1971; DDS, University of Maryland, 1971; BA, Gettysburg College, 1967.</w:t>
      </w:r>
    </w:p>
    <w:p>
      <w:pPr>
        <w:pStyle w:val="BodyText"/>
        <w:spacing w:line="249" w:lineRule="auto"/>
        <w:ind w:left="199" w:right="611"/>
      </w:pPr>
      <w:r>
        <w:rPr>
          <w:b/>
          <w:color w:val="0B0B0B"/>
        </w:rPr>
        <w:t>Ting, Laura</w:t>
      </w:r>
      <w:r>
        <w:rPr>
          <w:color w:val="0B0B0B"/>
        </w:rPr>
        <w:t>, (R), Associate Professor, School of Social Work. PhD, University of Maryland, Baltimore, 2003; MS, Columbia University, 1989, AB, Columbia University,</w:t>
      </w:r>
    </w:p>
    <w:p>
      <w:pPr>
        <w:spacing w:after="0" w:line="249" w:lineRule="auto"/>
        <w:sectPr>
          <w:pgSz w:w="12240" w:h="15840"/>
          <w:pgMar w:header="746" w:footer="0" w:top="1320" w:bottom="280" w:left="880" w:right="300"/>
          <w:cols w:num="2" w:equalWidth="0">
            <w:col w:w="5004" w:space="482"/>
            <w:col w:w="5574"/>
          </w:cols>
        </w:sectPr>
      </w:pPr>
    </w:p>
    <w:p>
      <w:pPr>
        <w:pStyle w:val="BodyText"/>
        <w:spacing w:before="100"/>
      </w:pPr>
      <w:r>
        <w:rPr>
          <w:color w:val="0B0B0B"/>
        </w:rPr>
        <w:t>1987.</w:t>
      </w:r>
    </w:p>
    <w:p>
      <w:pPr>
        <w:pStyle w:val="BodyText"/>
        <w:spacing w:line="249" w:lineRule="auto" w:before="187"/>
        <w:ind w:right="25"/>
      </w:pPr>
      <w:r>
        <w:rPr>
          <w:b/>
          <w:color w:val="0B0B0B"/>
        </w:rPr>
        <w:t>Tolba, Mostafa</w:t>
      </w:r>
      <w:r>
        <w:rPr>
          <w:color w:val="0B0B0B"/>
        </w:rPr>
        <w:t>, (A), Clinical Assistant Professor, Health Promotion and Policy, School of Dentistry. MS, University of Maryland, Baltimore, 1987; BDS, Alexandria University, 1979.</w:t>
      </w:r>
    </w:p>
    <w:p>
      <w:pPr>
        <w:pStyle w:val="BodyText"/>
        <w:spacing w:line="249" w:lineRule="auto" w:before="186"/>
        <w:ind w:right="154"/>
      </w:pPr>
      <w:r>
        <w:rPr>
          <w:b/>
          <w:color w:val="0B0B0B"/>
        </w:rPr>
        <w:t>Tom, Sarah</w:t>
      </w:r>
      <w:r>
        <w:rPr>
          <w:color w:val="0B0B0B"/>
        </w:rPr>
        <w:t>, (R), Assistant Professor, Pharmaceutical Health Services Research, School of Pharmacy. MPH, University of California, Berkeley, 2004; MA, University of California, Berkeley, 2003; BS, University of California, Berkeley, 2002.</w:t>
      </w:r>
    </w:p>
    <w:p>
      <w:pPr>
        <w:pStyle w:val="BodyText"/>
        <w:spacing w:line="249" w:lineRule="auto" w:before="181"/>
        <w:ind w:right="192"/>
      </w:pPr>
      <w:r>
        <w:rPr>
          <w:b/>
          <w:color w:val="0B0B0B"/>
        </w:rPr>
        <w:t>Tomkinson, Alan E.</w:t>
      </w:r>
      <w:r>
        <w:rPr>
          <w:color w:val="0B0B0B"/>
        </w:rPr>
        <w:t>, (R), Professor, Molecular and Cell Biology, School of Medicine. PhD, University of New Castle, 1983; BSC, University of New Castle, 1979.</w:t>
      </w:r>
    </w:p>
    <w:p>
      <w:pPr>
        <w:pStyle w:val="BodyText"/>
        <w:spacing w:line="249" w:lineRule="auto" w:before="184"/>
        <w:ind w:right="175"/>
      </w:pPr>
      <w:r>
        <w:rPr>
          <w:b/>
          <w:color w:val="0B0B0B"/>
        </w:rPr>
        <w:t>Tonelli, Leonardo</w:t>
      </w:r>
      <w:r>
        <w:rPr>
          <w:color w:val="0B0B0B"/>
        </w:rPr>
        <w:t>, (A), Assistant Professor, Department of Psychiatry, School of Medicine. PhD, Cordoba University, 1997; BS/MS, Cordoba University, 1991.</w:t>
      </w:r>
    </w:p>
    <w:p>
      <w:pPr>
        <w:pStyle w:val="BodyText"/>
        <w:spacing w:line="249" w:lineRule="auto" w:before="180"/>
        <w:ind w:left="199" w:right="175"/>
        <w:jc w:val="both"/>
      </w:pPr>
      <w:r>
        <w:rPr>
          <w:b/>
          <w:color w:val="0B0B0B"/>
        </w:rPr>
        <w:t>Tordik, Patricia</w:t>
      </w:r>
      <w:r>
        <w:rPr>
          <w:color w:val="0B0B0B"/>
        </w:rPr>
        <w:t>, (R), Professor, Endodontics, School of Dentistry. DMD, University of Medicine and Dentistry in New Jersey, 1990; BS, Drew University, 1985.</w:t>
      </w:r>
    </w:p>
    <w:p>
      <w:pPr>
        <w:pStyle w:val="BodyText"/>
        <w:spacing w:line="249" w:lineRule="auto"/>
        <w:ind w:right="47"/>
      </w:pPr>
      <w:r>
        <w:rPr>
          <w:b/>
          <w:color w:val="0B0B0B"/>
        </w:rPr>
        <w:t>Toth, Eric</w:t>
      </w:r>
      <w:r>
        <w:rPr>
          <w:color w:val="0B0B0B"/>
        </w:rPr>
        <w:t>, (A), Assistant Professor, Biochemistry and Molecular </w:t>
      </w:r>
      <w:r>
        <w:rPr>
          <w:color w:val="0B0B0B"/>
          <w:spacing w:val="-3"/>
        </w:rPr>
        <w:t>Biology, </w:t>
      </w:r>
      <w:r>
        <w:rPr>
          <w:color w:val="0B0B0B"/>
          <w:spacing w:val="-2"/>
        </w:rPr>
        <w:t>School </w:t>
      </w:r>
      <w:r>
        <w:rPr>
          <w:color w:val="0B0B0B"/>
        </w:rPr>
        <w:t>of Medicine. PhD, University of California, 1999; </w:t>
      </w:r>
      <w:r>
        <w:rPr>
          <w:color w:val="0B0B0B"/>
          <w:spacing w:val="-3"/>
        </w:rPr>
        <w:t>BA, </w:t>
      </w:r>
      <w:r>
        <w:rPr>
          <w:color w:val="0B0B0B"/>
        </w:rPr>
        <w:t>University of Pennsylvania,</w:t>
      </w:r>
      <w:r>
        <w:rPr>
          <w:color w:val="0B0B0B"/>
          <w:spacing w:val="-6"/>
        </w:rPr>
        <w:t> </w:t>
      </w:r>
      <w:r>
        <w:rPr>
          <w:color w:val="0B0B0B"/>
        </w:rPr>
        <w:t>1992.</w:t>
      </w:r>
    </w:p>
    <w:p>
      <w:pPr>
        <w:pStyle w:val="BodyText"/>
        <w:spacing w:line="249" w:lineRule="auto" w:before="180"/>
        <w:ind w:right="38"/>
      </w:pPr>
      <w:r>
        <w:rPr>
          <w:b/>
          <w:color w:val="0B0B0B"/>
        </w:rPr>
        <w:t>Tracy, Kathleen </w:t>
      </w:r>
      <w:r>
        <w:rPr>
          <w:b/>
          <w:color w:val="0B0B0B"/>
          <w:spacing w:val="-3"/>
        </w:rPr>
        <w:t>J.</w:t>
      </w:r>
      <w:r>
        <w:rPr>
          <w:color w:val="0B0B0B"/>
          <w:spacing w:val="-3"/>
        </w:rPr>
        <w:t>, </w:t>
      </w:r>
      <w:r>
        <w:rPr>
          <w:color w:val="0B0B0B"/>
        </w:rPr>
        <w:t>(R), Associate Professor, Epidemiology and Public Health, </w:t>
      </w:r>
      <w:r>
        <w:rPr>
          <w:color w:val="0B0B0B"/>
          <w:spacing w:val="-3"/>
        </w:rPr>
        <w:t>School </w:t>
      </w:r>
      <w:r>
        <w:rPr>
          <w:color w:val="0B0B0B"/>
        </w:rPr>
        <w:t>of Medicine. PhD, University of Maryland, Baltimore </w:t>
      </w:r>
      <w:r>
        <w:rPr>
          <w:color w:val="0B0B0B"/>
          <w:spacing w:val="-3"/>
        </w:rPr>
        <w:t>County, </w:t>
      </w:r>
      <w:r>
        <w:rPr>
          <w:color w:val="0B0B0B"/>
        </w:rPr>
        <w:t>2003; MS, University of Maryland, Baltimore County, 2001; </w:t>
      </w:r>
      <w:r>
        <w:rPr>
          <w:color w:val="0B0B0B"/>
          <w:spacing w:val="-3"/>
        </w:rPr>
        <w:t>BA, </w:t>
      </w:r>
      <w:r>
        <w:rPr>
          <w:color w:val="0B0B0B"/>
        </w:rPr>
        <w:t>University of Kentucky,</w:t>
      </w:r>
      <w:r>
        <w:rPr>
          <w:color w:val="0B0B0B"/>
          <w:spacing w:val="-5"/>
        </w:rPr>
        <w:t> </w:t>
      </w:r>
      <w:r>
        <w:rPr>
          <w:color w:val="0B0B0B"/>
        </w:rPr>
        <w:t>1992.</w:t>
      </w:r>
    </w:p>
    <w:p>
      <w:pPr>
        <w:pStyle w:val="BodyText"/>
        <w:spacing w:line="249" w:lineRule="auto" w:before="186"/>
        <w:ind w:left="199" w:right="216"/>
      </w:pPr>
      <w:r>
        <w:rPr>
          <w:b/>
          <w:color w:val="0B0B0B"/>
        </w:rPr>
        <w:t>Traub, Richard</w:t>
      </w:r>
      <w:r>
        <w:rPr>
          <w:color w:val="0B0B0B"/>
        </w:rPr>
        <w:t>, (R), Assistant Professor, Oral and Craniofacial Biological Sciences, School of Dentistry. PhD, State University of New York, 1986; BS, State University of New York, 1981.</w:t>
      </w:r>
    </w:p>
    <w:p>
      <w:pPr>
        <w:pStyle w:val="BodyText"/>
        <w:spacing w:line="249" w:lineRule="auto" w:before="180"/>
        <w:ind w:left="199" w:right="371"/>
      </w:pPr>
      <w:r>
        <w:rPr>
          <w:b/>
          <w:color w:val="0B0B0B"/>
        </w:rPr>
        <w:t>Travassos, Mark</w:t>
      </w:r>
      <w:r>
        <w:rPr>
          <w:color w:val="0B0B0B"/>
        </w:rPr>
        <w:t>, (A), Assistant Professor, Pediatrics, School of Medicine. MD, Cornell University Medicial College, 2004; MSc, Oxford University, 2003; AB, Harvard University, 1997.</w:t>
      </w:r>
    </w:p>
    <w:p>
      <w:pPr>
        <w:pStyle w:val="BodyText"/>
        <w:spacing w:line="249" w:lineRule="auto" w:before="186"/>
        <w:ind w:left="199" w:right="159"/>
      </w:pPr>
      <w:r>
        <w:rPr>
          <w:b/>
          <w:color w:val="0B0B0B"/>
        </w:rPr>
        <w:t>Trinkoff, Alison</w:t>
      </w:r>
      <w:r>
        <w:rPr>
          <w:color w:val="0B0B0B"/>
        </w:rPr>
        <w:t>, (R), Professor, Family and Community Health, School of Nursing. ScD, Johns Hopkins University, 1987; MPH, University of North Carolina, 1980; BSN, University of Rochester, 1978.</w:t>
      </w:r>
    </w:p>
    <w:p>
      <w:pPr>
        <w:pStyle w:val="BodyText"/>
        <w:spacing w:line="249" w:lineRule="auto" w:before="180"/>
        <w:ind w:left="199" w:right="249"/>
      </w:pPr>
      <w:r>
        <w:rPr>
          <w:b/>
          <w:color w:val="0B0B0B"/>
        </w:rPr>
        <w:t>Trocky, Nina</w:t>
      </w:r>
      <w:r>
        <w:rPr>
          <w:color w:val="0B0B0B"/>
        </w:rPr>
        <w:t>, (A), Assistant Professor, Organizational Systems and Adult Health, School of Nursing. DNP, Waynesburg University, 2010; MS, Catholic University, 1995; BS, Temple University, 1979.</w:t>
      </w:r>
    </w:p>
    <w:p>
      <w:pPr>
        <w:spacing w:before="185"/>
        <w:ind w:left="199" w:right="0" w:firstLine="0"/>
        <w:jc w:val="left"/>
        <w:rPr>
          <w:sz w:val="20"/>
        </w:rPr>
      </w:pPr>
      <w:r>
        <w:rPr>
          <w:b/>
          <w:color w:val="0B0B0B"/>
          <w:sz w:val="20"/>
        </w:rPr>
        <w:t>Trudeau, Matthew C.</w:t>
      </w:r>
      <w:r>
        <w:rPr>
          <w:color w:val="0B0B0B"/>
          <w:sz w:val="20"/>
        </w:rPr>
        <w:t>, (R), Assistant Professor,</w:t>
      </w:r>
    </w:p>
    <w:p>
      <w:pPr>
        <w:pStyle w:val="BodyText"/>
        <w:spacing w:line="249" w:lineRule="auto" w:before="96"/>
        <w:ind w:right="783"/>
      </w:pPr>
      <w:r>
        <w:rPr/>
        <w:br w:type="column"/>
      </w:r>
      <w:r>
        <w:rPr>
          <w:color w:val="0B0B0B"/>
        </w:rPr>
        <w:t>Physiology, School of Medicine. PhD, University of Wisconsin-Madison, 1998; BS, University of Wisconsin- Madison, 1992.</w:t>
      </w:r>
    </w:p>
    <w:p>
      <w:pPr>
        <w:pStyle w:val="BodyText"/>
        <w:spacing w:line="249" w:lineRule="auto" w:before="180"/>
        <w:ind w:right="1155"/>
      </w:pPr>
      <w:r>
        <w:rPr>
          <w:b/>
          <w:color w:val="0B0B0B"/>
        </w:rPr>
        <w:t>Tsoukleris, Mona</w:t>
      </w:r>
      <w:r>
        <w:rPr>
          <w:color w:val="0B0B0B"/>
        </w:rPr>
        <w:t>, (A), Assistant Professor, Pharmaceutical Health Services Research, School of Pharmacy. PhD, University of Maryland, 1987; BS, University of Maryland, 1983.</w:t>
      </w:r>
    </w:p>
    <w:p>
      <w:pPr>
        <w:pStyle w:val="BodyText"/>
        <w:spacing w:line="249" w:lineRule="auto"/>
        <w:ind w:right="954"/>
      </w:pPr>
      <w:r>
        <w:rPr>
          <w:b/>
          <w:color w:val="0B0B0B"/>
        </w:rPr>
        <w:t>Tuten, Michelle</w:t>
      </w:r>
      <w:r>
        <w:rPr>
          <w:color w:val="0B0B0B"/>
        </w:rPr>
        <w:t>, (A), Assistant Professor, School of Social Work. PhD, University of Maryland, Baltimore, 2013; MSW, Louisiana State University, 1997; BA, Millsaps College, 1993.</w:t>
      </w:r>
    </w:p>
    <w:p>
      <w:pPr>
        <w:pStyle w:val="BodyText"/>
        <w:spacing w:line="249" w:lineRule="auto" w:before="181"/>
        <w:ind w:right="910"/>
        <w:jc w:val="both"/>
      </w:pPr>
      <w:r>
        <w:rPr>
          <w:b/>
          <w:color w:val="0B0B0B"/>
        </w:rPr>
        <w:t>Tynes, Joseph, </w:t>
      </w:r>
      <w:r>
        <w:rPr>
          <w:color w:val="0B0B0B"/>
        </w:rPr>
        <w:t>(A), Adjunct Faculty, Graduate School. BSW, Salisbury University, 2015; MSW, University of Maryland, Baltimore, 2016</w:t>
      </w:r>
    </w:p>
    <w:p>
      <w:pPr>
        <w:pStyle w:val="BodyText"/>
        <w:spacing w:line="249" w:lineRule="auto" w:before="184"/>
        <w:ind w:right="704"/>
      </w:pPr>
      <w:r>
        <w:rPr>
          <w:b/>
          <w:color w:val="0B0B0B"/>
        </w:rPr>
        <w:t>Unick, Jay G.</w:t>
      </w:r>
      <w:r>
        <w:rPr>
          <w:color w:val="0B0B0B"/>
        </w:rPr>
        <w:t>, (R), Associate Professor, School of Social Work. PhD, University of California, 2006; MSW, University of California, 2002; MS, California Institute of Integral Studies, 1996.</w:t>
      </w:r>
    </w:p>
    <w:p>
      <w:pPr>
        <w:pStyle w:val="BodyText"/>
        <w:spacing w:line="249" w:lineRule="auto" w:before="181"/>
        <w:ind w:right="882"/>
      </w:pPr>
      <w:r>
        <w:rPr>
          <w:b/>
          <w:color w:val="0B0B0B"/>
        </w:rPr>
        <w:t>Valle, Mary Frances</w:t>
      </w:r>
      <w:r>
        <w:rPr>
          <w:color w:val="0B0B0B"/>
        </w:rPr>
        <w:t>, (A), Assistant Professor, Organization Systems and Adult Health, School of Nursing. DNP, University of Maryland, 2010; MS, University of Maryland, 1999; BS, York College, 1986.</w:t>
      </w:r>
    </w:p>
    <w:p>
      <w:pPr>
        <w:pStyle w:val="BodyText"/>
        <w:spacing w:line="249" w:lineRule="auto"/>
        <w:ind w:right="915"/>
      </w:pPr>
      <w:r>
        <w:rPr>
          <w:b/>
          <w:color w:val="0B0B0B"/>
        </w:rPr>
        <w:t>Vargas, Clemencia</w:t>
      </w:r>
      <w:r>
        <w:rPr>
          <w:color w:val="0B0B0B"/>
        </w:rPr>
        <w:t>, (A), Assistant Professor, Pediatric Dentistry, School of Dentistry. PhD, Arizona State University, 1994; DDS, University of Antioquia, 1982.</w:t>
      </w:r>
    </w:p>
    <w:p>
      <w:pPr>
        <w:pStyle w:val="BodyText"/>
        <w:spacing w:line="249" w:lineRule="auto" w:before="180"/>
        <w:ind w:right="737"/>
      </w:pPr>
      <w:r>
        <w:rPr>
          <w:b/>
          <w:color w:val="0B0B0B"/>
        </w:rPr>
        <w:t>Varma, Shambhu</w:t>
      </w:r>
      <w:r>
        <w:rPr>
          <w:color w:val="0B0B0B"/>
        </w:rPr>
        <w:t>, (R), Professor, Ophthalmology and Visual Sciences, School of Medicine. PhD, University of Rajasthan, 1964; MS, University of Allahabad, 1957; BS, University of Allahabad, 1955.</w:t>
      </w:r>
    </w:p>
    <w:p>
      <w:pPr>
        <w:pStyle w:val="BodyText"/>
        <w:spacing w:line="249" w:lineRule="auto"/>
        <w:ind w:right="737"/>
      </w:pPr>
      <w:r>
        <w:rPr>
          <w:b/>
          <w:color w:val="0B0B0B"/>
        </w:rPr>
        <w:t>Varney, Kristen</w:t>
      </w:r>
      <w:r>
        <w:rPr>
          <w:color w:val="0B0B0B"/>
        </w:rPr>
        <w:t>, (A), Assistant Professor, Biochemistry and Molecular Biology, School of Medicine. PhD, University of Maryland, Baltimore, 2004; BA, University of Colorado, 1999.</w:t>
      </w:r>
    </w:p>
    <w:p>
      <w:pPr>
        <w:pStyle w:val="BodyText"/>
        <w:spacing w:line="249" w:lineRule="auto" w:before="181"/>
        <w:ind w:right="712"/>
      </w:pPr>
      <w:r>
        <w:rPr>
          <w:b/>
          <w:color w:val="0B0B0B"/>
        </w:rPr>
        <w:t>Veeraraghavan, Sudha</w:t>
      </w:r>
      <w:r>
        <w:rPr>
          <w:color w:val="0B0B0B"/>
        </w:rPr>
        <w:t>, (R), Associate Professor, Pharmaceutical Sciences, School of Pharmacy. PhD, University of Texas, 1995; MA, Mount Holyoke College, 1986; BSc, Madras University, India, 1984.</w:t>
      </w:r>
    </w:p>
    <w:p>
      <w:pPr>
        <w:pStyle w:val="BodyText"/>
        <w:spacing w:line="249" w:lineRule="auto"/>
        <w:ind w:right="712"/>
      </w:pPr>
      <w:r>
        <w:rPr>
          <w:b/>
          <w:color w:val="0B0B0B"/>
        </w:rPr>
        <w:t>Velez, Roseann</w:t>
      </w:r>
      <w:r>
        <w:rPr>
          <w:color w:val="0B0B0B"/>
        </w:rPr>
        <w:t>, (A), Assistant Professor, Family and Community Health, School of Nursing. DNP, Chatham University, 2013; MSN, New York University School of Nursing, 1988; BSN, Wagner College, 1983.</w:t>
      </w:r>
    </w:p>
    <w:p>
      <w:pPr>
        <w:pStyle w:val="BodyText"/>
        <w:spacing w:line="249" w:lineRule="auto" w:before="181"/>
        <w:ind w:right="626"/>
      </w:pPr>
      <w:r>
        <w:rPr>
          <w:b/>
          <w:color w:val="0B0B0B"/>
        </w:rPr>
        <w:t>Venezia, Richard A.</w:t>
      </w:r>
      <w:r>
        <w:rPr>
          <w:color w:val="0B0B0B"/>
        </w:rPr>
        <w:t>, (R), Professor, Pathology, School of Medicine. PhD, University of Rochester, 1977; MS, University of Dayton, 1972, BS, LeMoyne College, 1967.</w:t>
      </w:r>
    </w:p>
    <w:p>
      <w:pPr>
        <w:spacing w:after="0" w:line="249" w:lineRule="auto"/>
        <w:sectPr>
          <w:headerReference w:type="even" r:id="rId138"/>
          <w:headerReference w:type="default" r:id="rId139"/>
          <w:pgSz w:w="12240" w:h="15840"/>
          <w:pgMar w:header="746" w:footer="0" w:top="1320" w:bottom="280" w:left="880" w:right="300"/>
          <w:pgNumType w:start="242"/>
          <w:cols w:num="2" w:equalWidth="0">
            <w:col w:w="4990" w:space="496"/>
            <w:col w:w="5574"/>
          </w:cols>
        </w:sectPr>
      </w:pPr>
    </w:p>
    <w:p>
      <w:pPr>
        <w:pStyle w:val="BodyText"/>
        <w:spacing w:line="249" w:lineRule="auto" w:before="100"/>
        <w:ind w:right="135"/>
      </w:pPr>
      <w:r>
        <w:rPr>
          <w:b/>
          <w:color w:val="0B0B0B"/>
        </w:rPr>
        <w:t>Via, Charles</w:t>
      </w:r>
      <w:r>
        <w:rPr>
          <w:color w:val="0B0B0B"/>
        </w:rPr>
        <w:t>, (R), Associate Professor, Medicine, School of Medicine. MD, University of Virginia, 1973; BA, University of Virginia, 1969</w:t>
      </w:r>
    </w:p>
    <w:p>
      <w:pPr>
        <w:pStyle w:val="BodyText"/>
        <w:spacing w:line="249" w:lineRule="auto" w:before="180"/>
        <w:ind w:right="97"/>
      </w:pPr>
      <w:r>
        <w:rPr>
          <w:b/>
          <w:color w:val="0B0B0B"/>
        </w:rPr>
        <w:t>Villagra, Federico</w:t>
      </w:r>
      <w:r>
        <w:rPr>
          <w:color w:val="0B0B0B"/>
        </w:rPr>
        <w:t>, (A), Assistant Professor, Physical Therapy and Rehabilitation Sciences, School of Medicine. PhD, University of Birmingham, United Kingdom, 1994; MS, University of Birmingham, United Kingdom, 1989; BS, Universidad Complutense, Spain, 1987.</w:t>
      </w:r>
    </w:p>
    <w:p>
      <w:pPr>
        <w:pStyle w:val="BodyText"/>
        <w:spacing w:line="249" w:lineRule="auto" w:before="186"/>
        <w:ind w:right="220"/>
      </w:pPr>
      <w:r>
        <w:rPr>
          <w:b/>
          <w:color w:val="0B0B0B"/>
        </w:rPr>
        <w:t>Virmani, Renu</w:t>
      </w:r>
      <w:r>
        <w:rPr>
          <w:color w:val="0B0B0B"/>
        </w:rPr>
        <w:t>, (A), Adjunct Professor, Pathology, School of Medicine. MD, Delhi University, 1967.</w:t>
      </w:r>
    </w:p>
    <w:p>
      <w:pPr>
        <w:pStyle w:val="BodyText"/>
        <w:spacing w:line="249" w:lineRule="auto" w:before="179"/>
        <w:ind w:right="220"/>
      </w:pPr>
      <w:r>
        <w:rPr>
          <w:b/>
          <w:color w:val="0B0B0B"/>
        </w:rPr>
        <w:t>Viscardi, Rose M.</w:t>
      </w:r>
      <w:r>
        <w:rPr>
          <w:color w:val="0B0B0B"/>
        </w:rPr>
        <w:t>, Professor, Pediatrics, School of Medicine, MD. University of Rochester School of Medicine and Dentistry, 1980; BA, Mount Holyoke College, 1976.</w:t>
      </w:r>
    </w:p>
    <w:p>
      <w:pPr>
        <w:pStyle w:val="BodyText"/>
        <w:spacing w:line="249" w:lineRule="auto"/>
        <w:ind w:right="130"/>
      </w:pPr>
      <w:r>
        <w:rPr>
          <w:b/>
          <w:color w:val="0B0B0B"/>
        </w:rPr>
        <w:t>Vitolo, Michele</w:t>
      </w:r>
      <w:r>
        <w:rPr>
          <w:color w:val="0B0B0B"/>
        </w:rPr>
        <w:t>, (A), Assistant Professor, Physiology, School of Medicine. PhD, University of Maryland, Baltimore, 2004; MS, University of Maryland, Baltimore, 1999; BA, Franklin and Marshall College, 1995.</w:t>
      </w:r>
    </w:p>
    <w:p>
      <w:pPr>
        <w:pStyle w:val="BodyText"/>
        <w:spacing w:line="249" w:lineRule="auto" w:before="181"/>
        <w:ind w:right="180"/>
      </w:pPr>
      <w:r>
        <w:rPr>
          <w:b/>
          <w:color w:val="0B0B0B"/>
        </w:rPr>
        <w:t>Vogel, Bruce</w:t>
      </w:r>
      <w:r>
        <w:rPr>
          <w:color w:val="0B0B0B"/>
        </w:rPr>
        <w:t>, (A), Assistant Professor, Physiology, School of Medicine. PhD, Rutgers University, 1988; BA, Rutgers College, 1981.</w:t>
      </w:r>
    </w:p>
    <w:p>
      <w:pPr>
        <w:pStyle w:val="BodyText"/>
        <w:spacing w:line="249" w:lineRule="auto" w:before="184"/>
        <w:ind w:right="202"/>
      </w:pPr>
      <w:r>
        <w:rPr>
          <w:b/>
          <w:color w:val="0B0B0B"/>
        </w:rPr>
        <w:t>Vogel, Michael</w:t>
      </w:r>
      <w:r>
        <w:rPr>
          <w:color w:val="0B0B0B"/>
        </w:rPr>
        <w:t>, (R), Associate Professor, Psychiatry, School of Medicine. MPhil, Yale University, 1985; PhD, Yale University, 1985; BS, University of Texas, 1979.</w:t>
      </w:r>
    </w:p>
    <w:p>
      <w:pPr>
        <w:pStyle w:val="BodyText"/>
        <w:spacing w:line="249" w:lineRule="auto" w:before="180"/>
        <w:ind w:right="435"/>
      </w:pPr>
      <w:r>
        <w:rPr>
          <w:b/>
          <w:color w:val="0B0B0B"/>
        </w:rPr>
        <w:t>Vogel, Stefanie</w:t>
      </w:r>
      <w:r>
        <w:rPr>
          <w:color w:val="0B0B0B"/>
        </w:rPr>
        <w:t>, (R), Professor, Microbiology and Immunology, School of Medicine. PhD, University of Maryland, 1977; BS, University of Maryland, 1972.</w:t>
      </w:r>
    </w:p>
    <w:p>
      <w:pPr>
        <w:pStyle w:val="BodyText"/>
        <w:spacing w:line="249" w:lineRule="auto"/>
        <w:ind w:right="252"/>
      </w:pPr>
      <w:r>
        <w:rPr>
          <w:b/>
          <w:color w:val="0B0B0B"/>
        </w:rPr>
        <w:t>Voulalas, Pamela</w:t>
      </w:r>
      <w:r>
        <w:rPr>
          <w:color w:val="0B0B0B"/>
        </w:rPr>
        <w:t>, (A), Assistant Professor, Pharmaceutical Sciences, School of Pharmacy. PhD, Uniformed Services University, 1997; BS, University of Connecticut, 1983.</w:t>
      </w:r>
    </w:p>
    <w:p>
      <w:pPr>
        <w:pStyle w:val="BodyText"/>
        <w:spacing w:line="249" w:lineRule="auto" w:before="180"/>
        <w:ind w:right="319"/>
      </w:pPr>
      <w:r>
        <w:rPr>
          <w:b/>
          <w:color w:val="0B0B0B"/>
        </w:rPr>
        <w:t>Vucenik, Ivana</w:t>
      </w:r>
      <w:r>
        <w:rPr>
          <w:color w:val="0B0B0B"/>
        </w:rPr>
        <w:t>, (R), Associate Professor, Medical and Research Technology, School of Medicine. PhD, University of Zagreb, 1987; MS, University of Zagreb, 1975; BS, University of Zagreb, 1969.</w:t>
      </w:r>
    </w:p>
    <w:p>
      <w:pPr>
        <w:pStyle w:val="BodyText"/>
        <w:spacing w:line="249" w:lineRule="auto"/>
        <w:ind w:right="220"/>
      </w:pPr>
      <w:r>
        <w:rPr>
          <w:b/>
          <w:color w:val="0B0B0B"/>
        </w:rPr>
        <w:t>Wade, James B.</w:t>
      </w:r>
      <w:r>
        <w:rPr>
          <w:color w:val="0B0B0B"/>
        </w:rPr>
        <w:t>, (R), Professor, </w:t>
      </w:r>
      <w:r>
        <w:rPr>
          <w:color w:val="0B0B0B"/>
          <w:spacing w:val="-3"/>
        </w:rPr>
        <w:t>Physiology, </w:t>
      </w:r>
      <w:r>
        <w:rPr>
          <w:color w:val="0B0B0B"/>
        </w:rPr>
        <w:t>School </w:t>
      </w:r>
      <w:r>
        <w:rPr>
          <w:color w:val="0B0B0B"/>
          <w:spacing w:val="-5"/>
        </w:rPr>
        <w:t>of </w:t>
      </w:r>
      <w:r>
        <w:rPr>
          <w:color w:val="0B0B0B"/>
        </w:rPr>
        <w:t>Medicine. PhD, Princeton University, 1972; </w:t>
      </w:r>
      <w:r>
        <w:rPr>
          <w:color w:val="0B0B0B"/>
          <w:spacing w:val="-3"/>
        </w:rPr>
        <w:t>BA, </w:t>
      </w:r>
      <w:r>
        <w:rPr>
          <w:color w:val="0B0B0B"/>
        </w:rPr>
        <w:t>University of Chicago,</w:t>
      </w:r>
      <w:r>
        <w:rPr>
          <w:color w:val="0B0B0B"/>
          <w:spacing w:val="-5"/>
        </w:rPr>
        <w:t> </w:t>
      </w:r>
      <w:r>
        <w:rPr>
          <w:color w:val="0B0B0B"/>
        </w:rPr>
        <w:t>1967.</w:t>
      </w:r>
    </w:p>
    <w:p>
      <w:pPr>
        <w:pStyle w:val="BodyText"/>
        <w:spacing w:line="249" w:lineRule="auto" w:before="180"/>
        <w:ind w:right="30"/>
      </w:pPr>
      <w:r>
        <w:rPr>
          <w:b/>
          <w:color w:val="0B0B0B"/>
        </w:rPr>
        <w:t>Wagner, Fernando</w:t>
      </w:r>
      <w:r>
        <w:rPr>
          <w:color w:val="0B0B0B"/>
        </w:rPr>
        <w:t>, (R), Assistant Professor, </w:t>
      </w:r>
      <w:r>
        <w:rPr>
          <w:color w:val="0B0B0B"/>
          <w:spacing w:val="-2"/>
        </w:rPr>
        <w:t>School </w:t>
      </w:r>
      <w:r>
        <w:rPr>
          <w:color w:val="0B0B0B"/>
          <w:spacing w:val="-3"/>
        </w:rPr>
        <w:t>of </w:t>
      </w:r>
      <w:r>
        <w:rPr>
          <w:color w:val="0B0B0B"/>
        </w:rPr>
        <w:t>Social Work. ScD, Johns Hopkins University, 1999; </w:t>
      </w:r>
      <w:r>
        <w:rPr>
          <w:color w:val="0B0B0B"/>
          <w:spacing w:val="-3"/>
        </w:rPr>
        <w:t>MPH, </w:t>
      </w:r>
      <w:r>
        <w:rPr>
          <w:color w:val="0B0B0B"/>
        </w:rPr>
        <w:t>Johns Hopkins University, 1994; </w:t>
      </w:r>
      <w:r>
        <w:rPr>
          <w:color w:val="0B0B0B"/>
          <w:spacing w:val="-3"/>
        </w:rPr>
        <w:t>BS, </w:t>
      </w:r>
      <w:r>
        <w:rPr>
          <w:color w:val="0B0B0B"/>
        </w:rPr>
        <w:t>Instituto Tecnologico Autonomo de Mexico,</w:t>
      </w:r>
      <w:r>
        <w:rPr>
          <w:color w:val="0B0B0B"/>
          <w:spacing w:val="1"/>
        </w:rPr>
        <w:t> </w:t>
      </w:r>
      <w:r>
        <w:rPr>
          <w:color w:val="0B0B0B"/>
        </w:rPr>
        <w:t>1982.</w:t>
      </w:r>
    </w:p>
    <w:p>
      <w:pPr>
        <w:pStyle w:val="BodyText"/>
        <w:spacing w:line="249" w:lineRule="auto" w:before="186"/>
        <w:ind w:left="199" w:right="142"/>
      </w:pPr>
      <w:r>
        <w:rPr>
          <w:b/>
          <w:color w:val="0B0B0B"/>
        </w:rPr>
        <w:t>Wagner, Mark</w:t>
      </w:r>
      <w:r>
        <w:rPr>
          <w:color w:val="0B0B0B"/>
        </w:rPr>
        <w:t>, (A), Professor, Pediatric Dentistry, School of Dentistry. DMD, University of Alabama, 1963;</w:t>
      </w:r>
    </w:p>
    <w:p>
      <w:pPr>
        <w:pStyle w:val="BodyText"/>
        <w:spacing w:before="96"/>
      </w:pPr>
      <w:r>
        <w:rPr/>
        <w:br w:type="column"/>
      </w:r>
      <w:r>
        <w:rPr>
          <w:color w:val="0B0B0B"/>
        </w:rPr>
        <w:t>AB, Birmingham Southern College, 1959.</w:t>
      </w:r>
    </w:p>
    <w:p>
      <w:pPr>
        <w:pStyle w:val="BodyText"/>
        <w:spacing w:line="249" w:lineRule="auto" w:before="187"/>
        <w:ind w:right="712"/>
      </w:pPr>
      <w:r>
        <w:rPr>
          <w:b/>
          <w:color w:val="0B0B0B"/>
        </w:rPr>
        <w:t>Wang, Hongbing</w:t>
      </w:r>
      <w:r>
        <w:rPr>
          <w:color w:val="0B0B0B"/>
        </w:rPr>
        <w:t>, (R), Associate Professor, Pharmaceutical Sciences, School of Medicine. PhD, Shanxi Medical University, 1996; MS, Shanxi Medical University, 1989; MB, Shanxi Medical University, 1986.</w:t>
      </w:r>
    </w:p>
    <w:p>
      <w:pPr>
        <w:pStyle w:val="BodyText"/>
        <w:spacing w:line="249" w:lineRule="auto" w:before="186"/>
        <w:ind w:right="616"/>
      </w:pPr>
      <w:r>
        <w:rPr>
          <w:b/>
          <w:color w:val="0B0B0B"/>
        </w:rPr>
        <w:t>Wang, Jia Bei</w:t>
      </w:r>
      <w:r>
        <w:rPr>
          <w:color w:val="0B0B0B"/>
        </w:rPr>
        <w:t>, (R), Professor, Pharmaceutical Sciences, School of Medicine. PhD, University of Maryland, 1991; MS, Institute of Pharmacology and Toxicology, 1985; MD, Tong-Ji Medical University, 1982.</w:t>
      </w:r>
    </w:p>
    <w:p>
      <w:pPr>
        <w:pStyle w:val="BodyText"/>
        <w:spacing w:line="249" w:lineRule="auto" w:before="180"/>
        <w:ind w:right="777" w:hanging="1"/>
      </w:pPr>
      <w:r>
        <w:rPr>
          <w:b/>
          <w:color w:val="0B0B0B"/>
        </w:rPr>
        <w:t>Wang, Jian-Ying</w:t>
      </w:r>
      <w:r>
        <w:rPr>
          <w:color w:val="0B0B0B"/>
        </w:rPr>
        <w:t>, (R), Associate Professor, Surgery and Pathology, School of Medicine. PhD, Beijing Medical University, 1986; MS, Sun Yat-Sen Medical University, 1983; MD, Sun Yat-Sen Medical University, 1979.</w:t>
      </w:r>
    </w:p>
    <w:p>
      <w:pPr>
        <w:pStyle w:val="BodyText"/>
        <w:spacing w:line="249" w:lineRule="auto" w:before="186"/>
        <w:ind w:right="610"/>
      </w:pPr>
      <w:r>
        <w:rPr>
          <w:b/>
          <w:color w:val="0B0B0B"/>
        </w:rPr>
        <w:t>Wang, Lai-Xi</w:t>
      </w:r>
      <w:r>
        <w:rPr>
          <w:color w:val="0B0B0B"/>
        </w:rPr>
        <w:t>, (A), Associate Professor, Biochemistry and Molecular Biology, School of Medicine. PhD, Shanghai Institute of Organic Chemistry, 1991; MS, Shanghai Institute of Organic Chemistry, 1987; BS, Jiangxi Normal University, 1984.</w:t>
      </w:r>
    </w:p>
    <w:p>
      <w:pPr>
        <w:pStyle w:val="BodyText"/>
        <w:spacing w:line="249" w:lineRule="auto" w:before="181"/>
        <w:ind w:right="780"/>
        <w:jc w:val="both"/>
      </w:pPr>
      <w:r>
        <w:rPr>
          <w:b/>
          <w:color w:val="0B0B0B"/>
        </w:rPr>
        <w:t>Wang, Wayne C.H.</w:t>
      </w:r>
      <w:r>
        <w:rPr>
          <w:color w:val="0B0B0B"/>
        </w:rPr>
        <w:t>, (A), Assistant Professor, Medicine, School of Medicine. PhD, Pennsylvania State University, 2004; BS, University of Connecticut, 1997.</w:t>
      </w:r>
    </w:p>
    <w:p>
      <w:pPr>
        <w:pStyle w:val="BodyText"/>
        <w:spacing w:line="249" w:lineRule="auto" w:before="184"/>
        <w:ind w:right="620"/>
      </w:pPr>
      <w:r>
        <w:rPr>
          <w:b/>
          <w:color w:val="0B0B0B"/>
        </w:rPr>
        <w:t>Wang, Yan</w:t>
      </w:r>
      <w:r>
        <w:rPr>
          <w:color w:val="0B0B0B"/>
        </w:rPr>
        <w:t>, (R), Assistant Professor, Pediatrics, School of Medicine. Dr.P.H., Morgan State University, 2007; MS, Tongji Medicial University, 1997; BS, 1995.</w:t>
      </w:r>
    </w:p>
    <w:p>
      <w:pPr>
        <w:pStyle w:val="BodyText"/>
        <w:spacing w:line="249" w:lineRule="auto" w:before="180"/>
        <w:ind w:right="573"/>
      </w:pPr>
      <w:r>
        <w:rPr>
          <w:b/>
          <w:color w:val="0B0B0B"/>
        </w:rPr>
        <w:t>Wang, Yibin</w:t>
      </w:r>
      <w:r>
        <w:rPr>
          <w:color w:val="0B0B0B"/>
        </w:rPr>
        <w:t>, (R), Assistant Professor, Physiology, School of Medicine. PhD, Baylor College of Medicine, 1993; BS, State University of New York, 1988.</w:t>
      </w:r>
    </w:p>
    <w:p>
      <w:pPr>
        <w:pStyle w:val="BodyText"/>
        <w:spacing w:line="249" w:lineRule="auto"/>
        <w:ind w:right="1038"/>
      </w:pPr>
      <w:r>
        <w:rPr>
          <w:b/>
          <w:color w:val="0B0B0B"/>
        </w:rPr>
        <w:t>Wang, Xin Wei</w:t>
      </w:r>
      <w:r>
        <w:rPr>
          <w:color w:val="0B0B0B"/>
        </w:rPr>
        <w:t>, (A), Adjunct Associate Professor, Pathology, School of Medicine. PhD, New York University, 1991; MS, Chinese Academy of Sciences, 1984; BS, Shanghai First College, 1982.</w:t>
      </w:r>
    </w:p>
    <w:p>
      <w:pPr>
        <w:pStyle w:val="BodyText"/>
        <w:spacing w:line="249" w:lineRule="auto" w:before="180"/>
        <w:ind w:right="807"/>
      </w:pPr>
      <w:r>
        <w:rPr>
          <w:b/>
          <w:color w:val="0B0B0B"/>
        </w:rPr>
        <w:t>Ward, Christopher</w:t>
      </w:r>
      <w:r>
        <w:rPr>
          <w:color w:val="0B0B0B"/>
        </w:rPr>
        <w:t>, (R), Associate Professor, Organizational Systems and Adult Health, School of Nursing. PhD, Virginia- Maryland Regional College of Veterinary Medicine, 1996; MS, Virginia Polytechnic Institute and State University, 1991; BS, Virginia Polytechnic Institute and State University, 1989.</w:t>
      </w:r>
    </w:p>
    <w:p>
      <w:pPr>
        <w:pStyle w:val="BodyText"/>
        <w:spacing w:line="249" w:lineRule="auto" w:before="187"/>
        <w:ind w:right="807"/>
      </w:pPr>
      <w:r>
        <w:rPr>
          <w:b/>
          <w:color w:val="0B0B0B"/>
        </w:rPr>
        <w:t>Watnick, Terry</w:t>
      </w:r>
      <w:r>
        <w:rPr>
          <w:color w:val="0B0B0B"/>
        </w:rPr>
        <w:t>, (R), Associate Professor, Division of Nephrology, School of Medicine. MD, Yale University, 1997; BS, Brown University, 1981.</w:t>
      </w:r>
    </w:p>
    <w:p>
      <w:pPr>
        <w:pStyle w:val="BodyText"/>
        <w:spacing w:line="249" w:lineRule="auto" w:before="180"/>
        <w:ind w:right="658"/>
      </w:pPr>
      <w:r>
        <w:rPr>
          <w:b/>
          <w:color w:val="0B0B0B"/>
        </w:rPr>
        <w:t>Webb, Tonya</w:t>
      </w:r>
      <w:r>
        <w:rPr>
          <w:color w:val="0B0B0B"/>
        </w:rPr>
        <w:t>, (A), Assistant Professor, Microbiology and Immunology, </w:t>
      </w:r>
      <w:r>
        <w:rPr>
          <w:color w:val="0B0B0B"/>
          <w:spacing w:val="-2"/>
        </w:rPr>
        <w:t>School </w:t>
      </w:r>
      <w:r>
        <w:rPr>
          <w:color w:val="0B0B0B"/>
        </w:rPr>
        <w:t>of Medicine. PhD, Indiana University, 2003; </w:t>
      </w:r>
      <w:r>
        <w:rPr>
          <w:color w:val="0B0B0B"/>
          <w:spacing w:val="-3"/>
        </w:rPr>
        <w:t>BS, </w:t>
      </w:r>
      <w:r>
        <w:rPr>
          <w:color w:val="0B0B0B"/>
        </w:rPr>
        <w:t>Prairie View </w:t>
      </w:r>
      <w:r>
        <w:rPr>
          <w:color w:val="0B0B0B"/>
          <w:spacing w:val="-2"/>
        </w:rPr>
        <w:t>A&amp;M </w:t>
      </w:r>
      <w:r>
        <w:rPr>
          <w:color w:val="0B0B0B"/>
        </w:rPr>
        <w:t>University, 1998.</w:t>
      </w:r>
    </w:p>
    <w:p>
      <w:pPr>
        <w:spacing w:after="0" w:line="249" w:lineRule="auto"/>
        <w:sectPr>
          <w:pgSz w:w="12240" w:h="15840"/>
          <w:pgMar w:header="746" w:footer="0" w:top="1320" w:bottom="280" w:left="880" w:right="300"/>
          <w:cols w:num="2" w:equalWidth="0">
            <w:col w:w="4983" w:space="503"/>
            <w:col w:w="5574"/>
          </w:cols>
        </w:sectPr>
      </w:pPr>
    </w:p>
    <w:p>
      <w:pPr>
        <w:pStyle w:val="BodyText"/>
        <w:spacing w:line="249" w:lineRule="auto" w:before="100"/>
        <w:ind w:right="192"/>
      </w:pPr>
      <w:r>
        <w:rPr>
          <w:b/>
          <w:color w:val="0B0B0B"/>
        </w:rPr>
        <w:t>Weber, David</w:t>
      </w:r>
      <w:r>
        <w:rPr>
          <w:color w:val="0B0B0B"/>
        </w:rPr>
        <w:t>, (R), Professor, Biochemistry and Molecular Biology, School of Medicine. PhD, University of North Carolina, 1988; BS, Muhlenberg College, 1984.</w:t>
      </w:r>
    </w:p>
    <w:p>
      <w:pPr>
        <w:pStyle w:val="BodyText"/>
        <w:spacing w:line="249" w:lineRule="auto" w:before="180"/>
        <w:ind w:left="199" w:right="142"/>
      </w:pPr>
      <w:r>
        <w:rPr>
          <w:b/>
          <w:color w:val="0B0B0B"/>
        </w:rPr>
        <w:t>Weber, Janet</w:t>
      </w:r>
      <w:r>
        <w:rPr>
          <w:color w:val="0B0B0B"/>
        </w:rPr>
        <w:t>, (A), Instructor and Junior Clinical Coordinator, Health Promotion and Policy, School of Dentistry. MEd, Temple University, 1984; BS, University of Bridgeport, 1980.</w:t>
      </w:r>
    </w:p>
    <w:p>
      <w:pPr>
        <w:pStyle w:val="BodyText"/>
        <w:spacing w:line="249" w:lineRule="auto"/>
        <w:ind w:left="199" w:right="71"/>
      </w:pPr>
      <w:r>
        <w:rPr>
          <w:b/>
          <w:color w:val="0B0B0B"/>
        </w:rPr>
        <w:t>Wei, Feng</w:t>
      </w:r>
      <w:r>
        <w:rPr>
          <w:color w:val="0B0B0B"/>
        </w:rPr>
        <w:t>, (A), Research Assistant Professor, Oral and Craniofacial Biological Sciences, School of Dentistry. PhD, Chinese Academy of Sciences, 1994; MS, Tongji Medical University, 1989; MD, Hubei Medical University, 1984.</w:t>
      </w:r>
    </w:p>
    <w:p>
      <w:pPr>
        <w:pStyle w:val="BodyText"/>
        <w:spacing w:line="249" w:lineRule="auto" w:before="181"/>
        <w:ind w:left="199" w:right="441"/>
        <w:jc w:val="both"/>
      </w:pPr>
      <w:r>
        <w:rPr>
          <w:b/>
          <w:color w:val="0B0B0B"/>
        </w:rPr>
        <w:t>Weinreich, Daniel</w:t>
      </w:r>
      <w:r>
        <w:rPr>
          <w:color w:val="0B0B0B"/>
        </w:rPr>
        <w:t>, (R), Professor, Pharmacology and Experimental Therapeutics, School of Medicine. PhD, University of Utah, 1970; BS, Bethany College, 1964.</w:t>
      </w:r>
    </w:p>
    <w:p>
      <w:pPr>
        <w:pStyle w:val="BodyText"/>
        <w:spacing w:line="249" w:lineRule="auto"/>
        <w:ind w:left="199" w:right="110"/>
      </w:pPr>
      <w:r>
        <w:rPr>
          <w:b/>
          <w:color w:val="0B0B0B"/>
        </w:rPr>
        <w:t>Weir, Michael</w:t>
      </w:r>
      <w:r>
        <w:rPr>
          <w:color w:val="0B0B0B"/>
        </w:rPr>
        <w:t>, (A), Research Assistant Professor, School of Dentistry. PhD, University of Connecticut, 2000; MS, University of Connecticut, 2000; BS, Pennsylvania State University, 1994.</w:t>
      </w:r>
    </w:p>
    <w:p>
      <w:pPr>
        <w:pStyle w:val="BodyText"/>
        <w:spacing w:line="249" w:lineRule="auto" w:before="180"/>
        <w:ind w:left="199" w:right="243"/>
      </w:pPr>
      <w:r>
        <w:rPr>
          <w:b/>
          <w:color w:val="0B0B0B"/>
        </w:rPr>
        <w:t>Weist, Mark</w:t>
      </w:r>
      <w:r>
        <w:rPr>
          <w:color w:val="0B0B0B"/>
        </w:rPr>
        <w:t>, (R), Professor, Psychiatry, School of Medicine. PhD, Virginia Polytechnic Institute and State University, 1991; MS, Virginia Polytechnic Institute and State University, 1988; MA, West Virginia University, 1985.</w:t>
      </w:r>
    </w:p>
    <w:p>
      <w:pPr>
        <w:pStyle w:val="BodyText"/>
        <w:spacing w:line="249" w:lineRule="auto" w:before="186"/>
        <w:ind w:left="199" w:right="26"/>
      </w:pPr>
      <w:r>
        <w:rPr>
          <w:b/>
          <w:color w:val="0B0B0B"/>
        </w:rPr>
        <w:t>Welling, Paul</w:t>
      </w:r>
      <w:r>
        <w:rPr>
          <w:color w:val="0B0B0B"/>
        </w:rPr>
        <w:t>, (R), Professor, Physiology, School of Medicine. MD, University of Kansas, 1988; BS, University of Kansas, 1983.</w:t>
      </w:r>
    </w:p>
    <w:p>
      <w:pPr>
        <w:pStyle w:val="BodyText"/>
        <w:spacing w:line="249" w:lineRule="auto" w:before="180"/>
        <w:ind w:left="199" w:right="215"/>
      </w:pPr>
      <w:r>
        <w:rPr>
          <w:b/>
          <w:color w:val="0B0B0B"/>
        </w:rPr>
        <w:t>Werts, Niya, </w:t>
      </w:r>
      <w:r>
        <w:rPr>
          <w:color w:val="0B0B0B"/>
        </w:rPr>
        <w:t>(A), Associate Professor, Graduate School. BS, University of Maryland, Eastern Shore, 1996; MS, Miami University of Ohio, 1998; MIS, University of Maryland, Baltimore County; PhD, 2004.</w:t>
      </w:r>
    </w:p>
    <w:p>
      <w:pPr>
        <w:pStyle w:val="BodyText"/>
        <w:spacing w:line="249" w:lineRule="auto"/>
        <w:ind w:left="199"/>
      </w:pPr>
      <w:r>
        <w:rPr>
          <w:b/>
          <w:color w:val="0B0B0B"/>
        </w:rPr>
        <w:t>Westlake, Kelly P.</w:t>
      </w:r>
      <w:r>
        <w:rPr>
          <w:color w:val="0B0B0B"/>
        </w:rPr>
        <w:t>, (A), Assistant Professor, Physical Therapy and Rehabilitation Science, School of Medicine. PhD, Queen’s University, 2007; MSc, Queen’s University, 2001; BSc, McGill University, 1995.</w:t>
      </w:r>
    </w:p>
    <w:p>
      <w:pPr>
        <w:pStyle w:val="BodyText"/>
        <w:spacing w:line="249" w:lineRule="auto" w:before="181"/>
        <w:ind w:left="199" w:right="87"/>
      </w:pPr>
      <w:r>
        <w:rPr>
          <w:b/>
          <w:color w:val="0B0B0B"/>
        </w:rPr>
        <w:t>Whitall, Jill</w:t>
      </w:r>
      <w:r>
        <w:rPr>
          <w:color w:val="0B0B0B"/>
        </w:rPr>
        <w:t>, (R), Professor, Physical Therapy and Rehabilitation Science, School of Medicine. PhD, University of Maryland, 1988; MA, University of London, 1982 BEd, Keele University, 1974.</w:t>
      </w:r>
    </w:p>
    <w:p>
      <w:pPr>
        <w:pStyle w:val="BodyText"/>
        <w:spacing w:line="249" w:lineRule="auto"/>
        <w:ind w:left="199" w:right="398"/>
      </w:pPr>
      <w:r>
        <w:rPr>
          <w:b/>
          <w:color w:val="0B0B0B"/>
        </w:rPr>
        <w:t>White, Barbara</w:t>
      </w:r>
      <w:r>
        <w:rPr>
          <w:color w:val="0B0B0B"/>
        </w:rPr>
        <w:t>, (R), Professor, Medicine, School of Medicine. MD, University of Pennsylvania, 1975; BA, Wilson College, 1971.</w:t>
      </w:r>
    </w:p>
    <w:p>
      <w:pPr>
        <w:pStyle w:val="BodyText"/>
        <w:spacing w:line="249" w:lineRule="auto" w:before="180"/>
        <w:ind w:left="199" w:right="754"/>
      </w:pPr>
      <w:r>
        <w:rPr>
          <w:b/>
          <w:color w:val="0B0B0B"/>
        </w:rPr>
        <w:t>White, Ryan</w:t>
      </w:r>
      <w:r>
        <w:rPr>
          <w:color w:val="0B0B0B"/>
        </w:rPr>
        <w:t>, Associate Professor, Chemistry and Biochemistry, School of Medicine.</w:t>
      </w:r>
    </w:p>
    <w:p>
      <w:pPr>
        <w:pStyle w:val="BodyText"/>
        <w:spacing w:line="249" w:lineRule="auto" w:before="96"/>
        <w:ind w:left="199" w:right="649"/>
      </w:pPr>
      <w:r>
        <w:rPr/>
        <w:br w:type="column"/>
      </w:r>
      <w:r>
        <w:rPr>
          <w:b/>
          <w:color w:val="0B0B0B"/>
        </w:rPr>
        <w:t>Wickersham, Karen</w:t>
      </w:r>
      <w:r>
        <w:rPr>
          <w:color w:val="0B0B0B"/>
        </w:rPr>
        <w:t>, (A), Assistant Professor, Pain and Translational Symptoms Science, School of Nursing. PhD, University of Pittsburgh, 2012; MSN, University of Pittsburgh, 2011; BSN, University of Virginia, 1991.</w:t>
      </w:r>
    </w:p>
    <w:p>
      <w:pPr>
        <w:pStyle w:val="BodyText"/>
        <w:spacing w:line="249" w:lineRule="auto" w:before="180"/>
        <w:ind w:left="199" w:right="644"/>
      </w:pPr>
      <w:r>
        <w:rPr>
          <w:b/>
          <w:color w:val="0B0B0B"/>
        </w:rPr>
        <w:t>Wiechelt, Shelly A.</w:t>
      </w:r>
      <w:r>
        <w:rPr>
          <w:color w:val="0B0B0B"/>
        </w:rPr>
        <w:t>, (R), Assistant Professor, School of Social Work. PhD, University of Pittsburgh, 1999; MSW, West Virginia University, 1985; BA, California University of Pennsylvania, 1982.</w:t>
      </w:r>
    </w:p>
    <w:p>
      <w:pPr>
        <w:pStyle w:val="BodyText"/>
        <w:spacing w:line="249" w:lineRule="auto" w:before="186"/>
        <w:ind w:left="199" w:right="605"/>
      </w:pPr>
      <w:r>
        <w:rPr>
          <w:b/>
          <w:color w:val="0B0B0B"/>
        </w:rPr>
        <w:t>Wiegand, Debra Lynn-McHale</w:t>
      </w:r>
      <w:r>
        <w:rPr>
          <w:color w:val="0B0B0B"/>
        </w:rPr>
        <w:t>, (R), Associate Professor, Organizational Systems and Adult Health, School of Nursing. PhD, University of Pennsylvania, 2003; MBE, University of Pennsylvania, 2003; MSN, Wayne State University, 1985.</w:t>
      </w:r>
    </w:p>
    <w:p>
      <w:pPr>
        <w:pStyle w:val="BodyText"/>
        <w:spacing w:line="249" w:lineRule="auto" w:before="181"/>
        <w:ind w:left="199" w:right="972"/>
      </w:pPr>
      <w:r>
        <w:rPr>
          <w:b/>
          <w:color w:val="0B0B0B"/>
        </w:rPr>
        <w:t>Wier, W. Gil</w:t>
      </w:r>
      <w:r>
        <w:rPr>
          <w:color w:val="0B0B0B"/>
        </w:rPr>
        <w:t>, (R), Professor, Physiology, School of Medicine. PhD, Utah State University, 1978; BS, Utah State University, 1971.</w:t>
      </w:r>
    </w:p>
    <w:p>
      <w:pPr>
        <w:pStyle w:val="BodyText"/>
        <w:spacing w:line="249" w:lineRule="auto"/>
        <w:ind w:left="199" w:right="616"/>
      </w:pPr>
      <w:r>
        <w:rPr>
          <w:b/>
          <w:color w:val="0B0B0B"/>
        </w:rPr>
        <w:t>Wilks, Angela, </w:t>
      </w:r>
      <w:r>
        <w:rPr>
          <w:color w:val="0B0B0B"/>
        </w:rPr>
        <w:t>(R), Professor, Associate Dean, School of Pharmacy. PhD, University of Leeds, 1987; BS, University of Lancaster, 1983.</w:t>
      </w:r>
    </w:p>
    <w:p>
      <w:pPr>
        <w:pStyle w:val="BodyText"/>
        <w:spacing w:line="249" w:lineRule="auto" w:before="179"/>
        <w:ind w:left="199" w:right="712"/>
      </w:pPr>
      <w:r>
        <w:rPr>
          <w:b/>
          <w:color w:val="0B0B0B"/>
        </w:rPr>
        <w:t>Williams, George</w:t>
      </w:r>
      <w:r>
        <w:rPr>
          <w:color w:val="0B0B0B"/>
        </w:rPr>
        <w:t>, (A), Assistant Professor, Physiology, School of Medicine. PhD, College of William and Mary, 2008; MS, College of William and Mary, 2005; MA, College of William and Mary, 2003.</w:t>
      </w:r>
    </w:p>
    <w:p>
      <w:pPr>
        <w:pStyle w:val="BodyText"/>
        <w:spacing w:line="249" w:lineRule="auto" w:before="186"/>
        <w:ind w:left="199" w:right="705"/>
      </w:pPr>
      <w:r>
        <w:rPr>
          <w:b/>
          <w:color w:val="0B0B0B"/>
        </w:rPr>
        <w:t>Williams, Henry</w:t>
      </w:r>
      <w:r>
        <w:rPr>
          <w:color w:val="0B0B0B"/>
        </w:rPr>
        <w:t>, (R), Professor, Oral and Craniofacial Biological Sciences, School of Dentistry. PhD, University of Maryland, 1979; MS, University of Maryland, 1972; BS, North Carolina State University, 1964.</w:t>
      </w:r>
    </w:p>
    <w:p>
      <w:pPr>
        <w:pStyle w:val="BodyText"/>
        <w:spacing w:line="249" w:lineRule="auto" w:before="180"/>
        <w:ind w:left="199" w:right="652"/>
      </w:pPr>
      <w:r>
        <w:rPr>
          <w:b/>
          <w:color w:val="0B0B0B"/>
        </w:rPr>
        <w:t>Williams, Mark S.</w:t>
      </w:r>
      <w:r>
        <w:rPr>
          <w:color w:val="0B0B0B"/>
        </w:rPr>
        <w:t>, (R), Assistant Professor, Microbiology and Immunology, School of Medicine. PhD, University of Michigan, 1991, BS, SUNY, 1984.</w:t>
      </w:r>
    </w:p>
    <w:p>
      <w:pPr>
        <w:pStyle w:val="BodyText"/>
        <w:spacing w:line="249" w:lineRule="auto"/>
        <w:ind w:left="199" w:right="610"/>
      </w:pPr>
      <w:r>
        <w:rPr>
          <w:b/>
          <w:color w:val="0B0B0B"/>
        </w:rPr>
        <w:t>Wilson, Donald</w:t>
      </w:r>
      <w:r>
        <w:rPr>
          <w:color w:val="0B0B0B"/>
        </w:rPr>
        <w:t>, (R), Professor, Dean Emeritus, Medicine, School of Medicine. MD, Tufts University, 1962; AB, Harvard University, 1958.</w:t>
      </w:r>
    </w:p>
    <w:p>
      <w:pPr>
        <w:pStyle w:val="BodyText"/>
        <w:spacing w:line="249" w:lineRule="auto" w:before="180"/>
        <w:ind w:left="199" w:right="600"/>
      </w:pPr>
      <w:r>
        <w:rPr>
          <w:b/>
          <w:color w:val="0B0B0B"/>
        </w:rPr>
        <w:t>Wilson, Gerald</w:t>
      </w:r>
      <w:r>
        <w:rPr>
          <w:color w:val="0B0B0B"/>
        </w:rPr>
        <w:t>, (R), Associate Professor, Biochemistry and Molecular Biology, School of Medicine. PhD, Queen’s University, 1997; BSc, Queen’s University, 1991.</w:t>
      </w:r>
    </w:p>
    <w:p>
      <w:pPr>
        <w:pStyle w:val="BodyText"/>
        <w:spacing w:line="249" w:lineRule="auto" w:before="184"/>
        <w:ind w:left="199" w:right="662"/>
      </w:pPr>
      <w:r>
        <w:rPr>
          <w:b/>
          <w:color w:val="0B0B0B"/>
        </w:rPr>
        <w:t>Wilson, Janice</w:t>
      </w:r>
      <w:r>
        <w:rPr>
          <w:color w:val="0B0B0B"/>
        </w:rPr>
        <w:t>, (A), Assistant Professor, Family and Community Health, </w:t>
      </w:r>
      <w:r>
        <w:rPr>
          <w:color w:val="0B0B0B"/>
          <w:spacing w:val="-2"/>
        </w:rPr>
        <w:t>School </w:t>
      </w:r>
      <w:r>
        <w:rPr>
          <w:color w:val="0B0B0B"/>
          <w:spacing w:val="-3"/>
        </w:rPr>
        <w:t>of </w:t>
      </w:r>
      <w:r>
        <w:rPr>
          <w:color w:val="0B0B0B"/>
        </w:rPr>
        <w:t>Nursing. </w:t>
      </w:r>
      <w:r>
        <w:rPr>
          <w:color w:val="0B0B0B"/>
          <w:spacing w:val="-3"/>
        </w:rPr>
        <w:t>DNP, </w:t>
      </w:r>
      <w:r>
        <w:rPr>
          <w:color w:val="0B0B0B"/>
        </w:rPr>
        <w:t>University of Maryland, Baltimore, 2009; </w:t>
      </w:r>
      <w:r>
        <w:rPr>
          <w:color w:val="0B0B0B"/>
          <w:spacing w:val="-3"/>
        </w:rPr>
        <w:t>MS, </w:t>
      </w:r>
      <w:r>
        <w:rPr>
          <w:color w:val="0B0B0B"/>
        </w:rPr>
        <w:t>University of Maryland, Baltimore, 1994; </w:t>
      </w:r>
      <w:r>
        <w:rPr>
          <w:color w:val="0B0B0B"/>
          <w:spacing w:val="-3"/>
        </w:rPr>
        <w:t>BSN, </w:t>
      </w:r>
      <w:r>
        <w:rPr>
          <w:color w:val="0B0B0B"/>
        </w:rPr>
        <w:t>University </w:t>
      </w:r>
      <w:r>
        <w:rPr>
          <w:color w:val="0B0B0B"/>
          <w:spacing w:val="-3"/>
        </w:rPr>
        <w:t>of </w:t>
      </w:r>
      <w:r>
        <w:rPr>
          <w:color w:val="0B0B0B"/>
        </w:rPr>
        <w:t>Maryland, Baltimore,</w:t>
      </w:r>
      <w:r>
        <w:rPr>
          <w:color w:val="0B0B0B"/>
          <w:spacing w:val="-1"/>
        </w:rPr>
        <w:t> </w:t>
      </w:r>
      <w:r>
        <w:rPr>
          <w:color w:val="0B0B0B"/>
        </w:rPr>
        <w:t>1974.</w:t>
      </w:r>
    </w:p>
    <w:p>
      <w:pPr>
        <w:pStyle w:val="BodyText"/>
        <w:spacing w:line="249" w:lineRule="auto" w:before="182"/>
        <w:ind w:left="199" w:right="605"/>
      </w:pPr>
      <w:r>
        <w:rPr>
          <w:b/>
          <w:color w:val="0B0B0B"/>
        </w:rPr>
        <w:t>Wilson, Teresa M.M.</w:t>
      </w:r>
      <w:r>
        <w:rPr>
          <w:color w:val="0B0B0B"/>
        </w:rPr>
        <w:t>, (R), Assistant Professor, Radiation Oncology, School of Medicine. PhD, Loyola University, 1995; BA, Southern Illinois University, 1990.</w:t>
      </w:r>
    </w:p>
    <w:p>
      <w:pPr>
        <w:spacing w:after="0" w:line="249" w:lineRule="auto"/>
        <w:sectPr>
          <w:pgSz w:w="12240" w:h="15840"/>
          <w:pgMar w:header="746" w:footer="0" w:top="1320" w:bottom="280" w:left="880" w:right="300"/>
          <w:cols w:num="2" w:equalWidth="0">
            <w:col w:w="5006" w:space="480"/>
            <w:col w:w="5574"/>
          </w:cols>
        </w:sectPr>
      </w:pPr>
    </w:p>
    <w:p>
      <w:pPr>
        <w:pStyle w:val="BodyText"/>
        <w:spacing w:line="249" w:lineRule="auto" w:before="100"/>
        <w:ind w:right="86"/>
      </w:pPr>
      <w:r>
        <w:rPr>
          <w:b/>
          <w:color w:val="0B0B0B"/>
        </w:rPr>
        <w:t>Windemuth, Brenda</w:t>
      </w:r>
      <w:r>
        <w:rPr>
          <w:color w:val="0B0B0B"/>
        </w:rPr>
        <w:t>, (A), Assistant Professor, Organizational Systems and Adult Health, School of Nursing. DNP, University of Maryland, 2011; MS, Wilmington University, 1998; BSN, Wilmington University, 1996.</w:t>
      </w:r>
    </w:p>
    <w:p>
      <w:pPr>
        <w:pStyle w:val="BodyText"/>
        <w:spacing w:line="249" w:lineRule="auto" w:before="181"/>
        <w:ind w:left="199" w:right="584"/>
      </w:pPr>
      <w:r>
        <w:rPr>
          <w:b/>
          <w:color w:val="0B0B0B"/>
        </w:rPr>
        <w:t>Winkles, Jeffrey A.</w:t>
      </w:r>
      <w:r>
        <w:rPr>
          <w:color w:val="0B0B0B"/>
        </w:rPr>
        <w:t>, (R), Professor, Surgery and Physiology, School of Medicine. PhD, University of Virginia, 1983; BA, University of Delaware, 1977.</w:t>
      </w:r>
    </w:p>
    <w:p>
      <w:pPr>
        <w:pStyle w:val="BodyText"/>
        <w:spacing w:line="249" w:lineRule="auto"/>
        <w:ind w:left="199" w:right="98"/>
      </w:pPr>
      <w:r>
        <w:rPr>
          <w:b/>
          <w:color w:val="0B0B0B"/>
        </w:rPr>
        <w:t>Wintrode, Patrick</w:t>
      </w:r>
      <w:r>
        <w:rPr>
          <w:color w:val="0B0B0B"/>
        </w:rPr>
        <w:t>, (R), Associate Professor, Pharmaceutical Sciences, </w:t>
      </w:r>
      <w:r>
        <w:rPr>
          <w:color w:val="0B0B0B"/>
          <w:spacing w:val="-3"/>
        </w:rPr>
        <w:t>School </w:t>
      </w:r>
      <w:r>
        <w:rPr>
          <w:color w:val="0B0B0B"/>
        </w:rPr>
        <w:t>of Pharmacy., </w:t>
      </w:r>
      <w:r>
        <w:rPr>
          <w:color w:val="0B0B0B"/>
          <w:spacing w:val="-3"/>
        </w:rPr>
        <w:t>PhD, </w:t>
      </w:r>
      <w:r>
        <w:rPr>
          <w:color w:val="0B0B0B"/>
        </w:rPr>
        <w:t>Johns Hopkins University, 1998; </w:t>
      </w:r>
      <w:r>
        <w:rPr>
          <w:color w:val="0B0B0B"/>
          <w:spacing w:val="-3"/>
        </w:rPr>
        <w:t>BS, </w:t>
      </w:r>
      <w:r>
        <w:rPr>
          <w:color w:val="0B0B0B"/>
        </w:rPr>
        <w:t>Bates College,</w:t>
      </w:r>
      <w:r>
        <w:rPr>
          <w:color w:val="0B0B0B"/>
          <w:spacing w:val="-3"/>
        </w:rPr>
        <w:t> </w:t>
      </w:r>
      <w:r>
        <w:rPr>
          <w:color w:val="0B0B0B"/>
        </w:rPr>
        <w:t>1992.</w:t>
      </w:r>
    </w:p>
    <w:p>
      <w:pPr>
        <w:pStyle w:val="BodyText"/>
        <w:spacing w:line="249" w:lineRule="auto" w:before="179"/>
        <w:ind w:left="199" w:right="323"/>
        <w:jc w:val="both"/>
      </w:pPr>
      <w:r>
        <w:rPr>
          <w:b/>
          <w:color w:val="0B0B0B"/>
        </w:rPr>
        <w:t>Wise, Thomas, (</w:t>
      </w:r>
      <w:r>
        <w:rPr>
          <w:color w:val="0B0B0B"/>
        </w:rPr>
        <w:t>A), Adjunct Faculty, Graduate School. BS, Towson University, 2015; MA, The Johns Hopkins University, 2020.</w:t>
      </w:r>
    </w:p>
    <w:p>
      <w:pPr>
        <w:pStyle w:val="BodyText"/>
        <w:spacing w:line="249" w:lineRule="auto"/>
        <w:ind w:left="199" w:right="41"/>
      </w:pPr>
      <w:r>
        <w:rPr>
          <w:b/>
          <w:color w:val="0B0B0B"/>
        </w:rPr>
        <w:t>Wiseman, Rebecca</w:t>
      </w:r>
      <w:r>
        <w:rPr>
          <w:color w:val="0B0B0B"/>
        </w:rPr>
        <w:t>, (A), Associate Professor, Universities at Shady Grove, School of Nursing. PhD, University of Maryland, 1993; MSN, University of Pennsylvania, 1978; BSN, University of Tennessee, 1974.</w:t>
      </w:r>
    </w:p>
    <w:p>
      <w:pPr>
        <w:pStyle w:val="BodyText"/>
        <w:spacing w:line="249" w:lineRule="auto" w:before="181"/>
        <w:ind w:left="199" w:right="319"/>
      </w:pPr>
      <w:r>
        <w:rPr>
          <w:b/>
          <w:color w:val="0B0B0B"/>
        </w:rPr>
        <w:t>Wittenberg, George F.</w:t>
      </w:r>
      <w:r>
        <w:rPr>
          <w:color w:val="0B0B0B"/>
        </w:rPr>
        <w:t>, (R), Professor, Department of Physical Therapy and Rehabilitation Science, School of Medicine. MD, University of California, 1993; PhD, University of California, 1991; AB, Harvard College, 1983.</w:t>
      </w:r>
    </w:p>
    <w:p>
      <w:pPr>
        <w:pStyle w:val="BodyText"/>
        <w:spacing w:line="249" w:lineRule="auto" w:before="186"/>
        <w:ind w:right="73"/>
      </w:pPr>
      <w:r>
        <w:rPr>
          <w:b/>
          <w:color w:val="0B0B0B"/>
        </w:rPr>
        <w:t>Wonodi, Ikwunga</w:t>
      </w:r>
      <w:r>
        <w:rPr>
          <w:color w:val="0B0B0B"/>
        </w:rPr>
        <w:t>, (A), Assistant Professor, Molecular Medicine, School of Medicine. MBBS, University of Port Hardcourt, 1989; BSc, University of Port Hardcourt, 1986.</w:t>
      </w:r>
    </w:p>
    <w:p>
      <w:pPr>
        <w:pStyle w:val="BodyText"/>
        <w:spacing w:line="249" w:lineRule="auto" w:before="179"/>
        <w:ind w:right="23"/>
      </w:pPr>
      <w:r>
        <w:rPr>
          <w:b/>
          <w:color w:val="0B0B0B"/>
        </w:rPr>
        <w:t>Woo, Jonghye</w:t>
      </w:r>
      <w:r>
        <w:rPr>
          <w:color w:val="0B0B0B"/>
        </w:rPr>
        <w:t>, (S), Research Associate, Neural and Pain Sciences, School of Dentistry. PhD, University of Southern California, 2009; MS, University of Southern California, 2007; BS, Seoul National University, 2005.</w:t>
      </w:r>
    </w:p>
    <w:p>
      <w:pPr>
        <w:pStyle w:val="BodyText"/>
        <w:spacing w:line="249" w:lineRule="auto" w:before="186"/>
        <w:ind w:right="117"/>
      </w:pPr>
      <w:r>
        <w:rPr>
          <w:b/>
          <w:color w:val="0B0B0B"/>
        </w:rPr>
        <w:t>Wooten, Nicole, </w:t>
      </w:r>
      <w:r>
        <w:rPr>
          <w:color w:val="0B0B0B"/>
        </w:rPr>
        <w:t>(A), Assistant Professor, Graduate School. BS, Morgan State University, 2006; MHS, Drexel University, 2010.</w:t>
      </w:r>
    </w:p>
    <w:p>
      <w:pPr>
        <w:pStyle w:val="BodyText"/>
        <w:spacing w:line="249" w:lineRule="auto" w:before="179"/>
        <w:ind w:right="73"/>
      </w:pPr>
      <w:r>
        <w:rPr>
          <w:b/>
          <w:color w:val="0B0B0B"/>
        </w:rPr>
        <w:t>Woodle, Carole Sztalryd</w:t>
      </w:r>
      <w:r>
        <w:rPr>
          <w:color w:val="0B0B0B"/>
        </w:rPr>
        <w:t>, (A), Assistant Professor, Molecular Medicine, School of Medicine. PhD, University of Sciences, 1984; MS, University of Sciences, 1981; BS, University of Sciences, 1980.</w:t>
      </w:r>
    </w:p>
    <w:p>
      <w:pPr>
        <w:pStyle w:val="BodyText"/>
        <w:spacing w:line="249" w:lineRule="auto" w:before="186"/>
        <w:ind w:left="199" w:right="135"/>
      </w:pPr>
      <w:r>
        <w:rPr>
          <w:b/>
          <w:color w:val="0B0B0B"/>
        </w:rPr>
        <w:t>Woodward, Owen</w:t>
      </w:r>
      <w:r>
        <w:rPr>
          <w:color w:val="0B0B0B"/>
        </w:rPr>
        <w:t>, (A), Assistant Professor, Physiology, School of Medicine. PhD, University of Washington, 2006; BA, University of Virginia, 1998.</w:t>
      </w:r>
    </w:p>
    <w:p>
      <w:pPr>
        <w:pStyle w:val="BodyText"/>
        <w:spacing w:line="249" w:lineRule="auto" w:before="180"/>
        <w:ind w:right="318"/>
      </w:pPr>
      <w:r>
        <w:rPr>
          <w:b/>
          <w:color w:val="0B0B0B"/>
        </w:rPr>
        <w:t>Woodworth, Graeme</w:t>
      </w:r>
      <w:r>
        <w:rPr>
          <w:color w:val="0B0B0B"/>
        </w:rPr>
        <w:t>, (R), Assistant Professor, Department of Neurosurgery, School of Medicine. MD, Johns Hopkins University, 2005; BS, Tufts University, 1997.</w:t>
      </w:r>
    </w:p>
    <w:p>
      <w:pPr>
        <w:pStyle w:val="BodyText"/>
        <w:spacing w:line="249" w:lineRule="auto" w:before="96"/>
        <w:ind w:right="920"/>
      </w:pPr>
      <w:r>
        <w:rPr/>
        <w:br w:type="column"/>
      </w:r>
      <w:r>
        <w:rPr>
          <w:b/>
          <w:color w:val="0B0B0B"/>
        </w:rPr>
        <w:t>Woolley, Michael</w:t>
      </w:r>
      <w:r>
        <w:rPr>
          <w:color w:val="0B0B0B"/>
        </w:rPr>
        <w:t>, (R), Associate Professor, School of Social Work. PhD, University of North Carolina, 2003; MS, Virginia Commonwealth University, 1989; BS, Virginia Commonwealth University, 1986.</w:t>
      </w:r>
    </w:p>
    <w:p>
      <w:pPr>
        <w:pStyle w:val="BodyText"/>
        <w:spacing w:line="249" w:lineRule="auto" w:before="180"/>
        <w:ind w:right="715"/>
      </w:pPr>
      <w:r>
        <w:rPr>
          <w:b/>
          <w:color w:val="0B0B0B"/>
        </w:rPr>
        <w:t>Wortman, Jennifer Russo</w:t>
      </w:r>
      <w:r>
        <w:rPr>
          <w:color w:val="0B0B0B"/>
        </w:rPr>
        <w:t>, (A), Assistant Professor, Molecular Medicine, School of Medicine. MS, University of North Carolina, 1996; BA, La Salle University, 1991.</w:t>
      </w:r>
    </w:p>
    <w:p>
      <w:pPr>
        <w:pStyle w:val="BodyText"/>
        <w:spacing w:line="249" w:lineRule="auto"/>
        <w:ind w:right="764"/>
      </w:pPr>
      <w:r>
        <w:rPr>
          <w:b/>
          <w:color w:val="0B0B0B"/>
        </w:rPr>
        <w:t>Wozenski, Susan</w:t>
      </w:r>
      <w:r>
        <w:rPr>
          <w:color w:val="0B0B0B"/>
        </w:rPr>
        <w:t>, (A), Assistant Professor, Family and Community Health, School of Nursing. JD, University of Connecticut, 1980; MPH, University of Michigan, 1977; BA, Mount Holyoke College, 1975.</w:t>
      </w:r>
    </w:p>
    <w:p>
      <w:pPr>
        <w:pStyle w:val="BodyText"/>
        <w:spacing w:line="249" w:lineRule="auto" w:before="181"/>
        <w:ind w:right="837"/>
      </w:pPr>
      <w:r>
        <w:rPr>
          <w:b/>
          <w:color w:val="0B0B0B"/>
        </w:rPr>
        <w:t>Wright, James, </w:t>
      </w:r>
      <w:r>
        <w:rPr>
          <w:color w:val="0B0B0B"/>
        </w:rPr>
        <w:t>(A), Adjunct Faculty, Graduate School. BA, Georgetown College, 1998; MFA, University of Arkansas, 2008.</w:t>
      </w:r>
    </w:p>
    <w:p>
      <w:pPr>
        <w:pStyle w:val="BodyText"/>
        <w:spacing w:line="249" w:lineRule="auto" w:before="184"/>
        <w:ind w:right="628"/>
      </w:pPr>
      <w:r>
        <w:rPr>
          <w:b/>
          <w:color w:val="0B0B0B"/>
        </w:rPr>
        <w:t>Wu, Junfang</w:t>
      </w:r>
      <w:r>
        <w:rPr>
          <w:color w:val="0B0B0B"/>
        </w:rPr>
        <w:t>, (A), Associate Professor, Anesthesiology, School of Medicine. PhD, Nanjing Medical University, 1995; MS, Nanchang University Medical School, 1992; BM, 1986.</w:t>
      </w:r>
    </w:p>
    <w:p>
      <w:pPr>
        <w:pStyle w:val="BodyText"/>
        <w:spacing w:line="249" w:lineRule="auto" w:before="181"/>
        <w:ind w:right="703"/>
      </w:pPr>
      <w:r>
        <w:rPr>
          <w:b/>
          <w:color w:val="0B0B0B"/>
        </w:rPr>
        <w:t>Wynn, Richard</w:t>
      </w:r>
      <w:r>
        <w:rPr>
          <w:color w:val="0B0B0B"/>
        </w:rPr>
        <w:t>, (R), Professor, Oral and Craniofacial Biological Sciences, School of Dentistry. PhD, University of Maryland, 1970; MS, University of Maryland, 1966; BS, University of Maryland, 1964.</w:t>
      </w:r>
    </w:p>
    <w:p>
      <w:pPr>
        <w:pStyle w:val="BodyText"/>
        <w:spacing w:line="249" w:lineRule="auto"/>
        <w:ind w:right="628"/>
      </w:pPr>
      <w:r>
        <w:rPr>
          <w:b/>
          <w:color w:val="0B0B0B"/>
        </w:rPr>
        <w:t>Xiao, Yan</w:t>
      </w:r>
      <w:r>
        <w:rPr>
          <w:color w:val="0B0B0B"/>
        </w:rPr>
        <w:t>, (A), Assistant Professor, Anesthesiology, School of Medicine. PhD, University of Toronto, 1994; MA, Beijing Institute of Technology, 1985; BA, Lanzhou Railway Institute, 1982.</w:t>
      </w:r>
    </w:p>
    <w:p>
      <w:pPr>
        <w:pStyle w:val="BodyText"/>
        <w:spacing w:line="249" w:lineRule="auto" w:before="181"/>
        <w:ind w:right="726"/>
        <w:jc w:val="both"/>
      </w:pPr>
      <w:r>
        <w:rPr>
          <w:b/>
          <w:color w:val="0B0B0B"/>
        </w:rPr>
        <w:t>Xie, Guofeng</w:t>
      </w:r>
      <w:r>
        <w:rPr>
          <w:color w:val="0B0B0B"/>
        </w:rPr>
        <w:t>, (A), Assistant Professor, Medicine, </w:t>
      </w:r>
      <w:r>
        <w:rPr>
          <w:color w:val="0B0B0B"/>
          <w:spacing w:val="-3"/>
        </w:rPr>
        <w:t>School </w:t>
      </w:r>
      <w:r>
        <w:rPr>
          <w:color w:val="0B0B0B"/>
        </w:rPr>
        <w:t>of Medicine. PhD, Louisiana State University, 1996; </w:t>
      </w:r>
      <w:r>
        <w:rPr>
          <w:color w:val="0B0B0B"/>
          <w:spacing w:val="-3"/>
        </w:rPr>
        <w:t>MD, </w:t>
      </w:r>
      <w:r>
        <w:rPr>
          <w:color w:val="0B0B0B"/>
        </w:rPr>
        <w:t>Beijing Medical University, 1990.</w:t>
      </w:r>
    </w:p>
    <w:p>
      <w:pPr>
        <w:pStyle w:val="BodyText"/>
        <w:spacing w:line="249" w:lineRule="auto" w:before="184"/>
        <w:ind w:right="682"/>
      </w:pPr>
      <w:r>
        <w:rPr>
          <w:b/>
          <w:color w:val="0B0B0B"/>
        </w:rPr>
        <w:t>Xu, Jianfeng</w:t>
      </w:r>
      <w:r>
        <w:rPr>
          <w:color w:val="0B0B0B"/>
        </w:rPr>
        <w:t>, (R), Assistant Professor, Medicine, School of Medicine. DrPH, Johns Hopkins University, 1997; MPH, Johns Hopkins University, 1992; MS, Shanghai Medical University, 1987.</w:t>
      </w:r>
    </w:p>
    <w:p>
      <w:pPr>
        <w:pStyle w:val="BodyText"/>
        <w:spacing w:line="249" w:lineRule="auto" w:before="181"/>
        <w:ind w:right="758"/>
      </w:pPr>
      <w:r>
        <w:rPr>
          <w:b/>
          <w:color w:val="0B0B0B"/>
        </w:rPr>
        <w:t>Xu, Huakun</w:t>
      </w:r>
      <w:r>
        <w:rPr>
          <w:color w:val="0B0B0B"/>
        </w:rPr>
        <w:t>, (R), Associate Professor, Biomedical Sciences, School of Dentistry. PhD, University of Maryland, 1993; MS, Kansas State University, 1990; BS, Hangzhou University, 1984.</w:t>
      </w:r>
    </w:p>
    <w:p>
      <w:pPr>
        <w:pStyle w:val="BodyText"/>
        <w:spacing w:line="249" w:lineRule="auto"/>
        <w:ind w:right="628"/>
      </w:pPr>
      <w:r>
        <w:rPr>
          <w:b/>
          <w:color w:val="0B0B0B"/>
        </w:rPr>
        <w:t>Yang, Austin</w:t>
      </w:r>
      <w:r>
        <w:rPr>
          <w:color w:val="0B0B0B"/>
        </w:rPr>
        <w:t>, (R), Associate Professor, Anatomy and Neurobiology, School of Medicine. PhD, University of California, Irvine, 1993; BS, National Taiwan University, 1982.</w:t>
      </w:r>
    </w:p>
    <w:p>
      <w:pPr>
        <w:pStyle w:val="BodyText"/>
        <w:spacing w:line="249" w:lineRule="auto" w:before="181"/>
        <w:ind w:right="770"/>
      </w:pPr>
      <w:r>
        <w:rPr>
          <w:b/>
          <w:color w:val="0B0B0B"/>
        </w:rPr>
        <w:t>Yang, Peixin</w:t>
      </w:r>
      <w:r>
        <w:rPr>
          <w:color w:val="0B0B0B"/>
        </w:rPr>
        <w:t>, (A), Professor, Gynecology and Reproductive Sciences, School of Medicine. PhD, Tokyo University of Agriculture and Technology, 1999; MS,</w:t>
      </w:r>
    </w:p>
    <w:p>
      <w:pPr>
        <w:spacing w:after="0" w:line="249" w:lineRule="auto"/>
        <w:sectPr>
          <w:pgSz w:w="12240" w:h="15840"/>
          <w:pgMar w:header="746" w:footer="0" w:top="1320" w:bottom="280" w:left="880" w:right="300"/>
          <w:cols w:num="2" w:equalWidth="0">
            <w:col w:w="4998" w:space="489"/>
            <w:col w:w="5573"/>
          </w:cols>
        </w:sectPr>
      </w:pPr>
    </w:p>
    <w:p>
      <w:pPr>
        <w:pStyle w:val="BodyText"/>
        <w:spacing w:line="249" w:lineRule="auto" w:before="100"/>
        <w:ind w:right="513"/>
      </w:pPr>
      <w:r>
        <w:rPr>
          <w:color w:val="0B0B0B"/>
        </w:rPr>
        <w:t>Nanjing Agricultural University, 1993; BS, Zhejiang Agricultural University, 1990.</w:t>
      </w:r>
    </w:p>
    <w:p>
      <w:pPr>
        <w:pStyle w:val="BodyText"/>
        <w:spacing w:line="249" w:lineRule="auto" w:before="179"/>
        <w:ind w:left="199" w:right="59"/>
      </w:pPr>
      <w:r>
        <w:rPr>
          <w:b/>
          <w:color w:val="0B0B0B"/>
        </w:rPr>
        <w:t>Yarowsky, Paul</w:t>
      </w:r>
      <w:r>
        <w:rPr>
          <w:color w:val="0B0B0B"/>
        </w:rPr>
        <w:t>, (R), Associate Professor, Pharmacology and Experimental Therapeutics, School of Medicine. PhD, George Washington University, 1976; BS, Washington University, 1969.</w:t>
      </w:r>
    </w:p>
    <w:p>
      <w:pPr>
        <w:pStyle w:val="BodyText"/>
        <w:spacing w:line="249" w:lineRule="auto"/>
        <w:ind w:left="199" w:right="25"/>
      </w:pPr>
      <w:r>
        <w:rPr>
          <w:b/>
          <w:color w:val="0B0B0B"/>
        </w:rPr>
        <w:t>Yellowitz, Janet</w:t>
      </w:r>
      <w:r>
        <w:rPr>
          <w:color w:val="0B0B0B"/>
        </w:rPr>
        <w:t>, (A), Associate Professor, Oral Health Care Delivery, School of Dentistry. DMD, University of Pennsylvania, 1987; MPH, University of Minnesota, 1979; BS, Columbia University, 1972.</w:t>
      </w:r>
    </w:p>
    <w:p>
      <w:pPr>
        <w:pStyle w:val="BodyText"/>
        <w:spacing w:line="249" w:lineRule="auto" w:before="181"/>
        <w:ind w:left="199" w:right="53"/>
      </w:pPr>
      <w:r>
        <w:rPr>
          <w:b/>
          <w:color w:val="0B0B0B"/>
        </w:rPr>
        <w:t>Yerges-Armstrong, Laura</w:t>
      </w:r>
      <w:r>
        <w:rPr>
          <w:color w:val="0B0B0B"/>
        </w:rPr>
        <w:t>, (R), Adjunct Assistant Professor, Medicine, School of Medicine. PhD, University of Pittsburgh, 2008; BS, Pennsylvania State University, 2003.</w:t>
      </w:r>
    </w:p>
    <w:p>
      <w:pPr>
        <w:pStyle w:val="BodyText"/>
        <w:spacing w:line="249" w:lineRule="auto"/>
        <w:ind w:left="199" w:right="59"/>
      </w:pPr>
      <w:r>
        <w:rPr>
          <w:b/>
          <w:color w:val="0B0B0B"/>
        </w:rPr>
        <w:t>Younis, Rania</w:t>
      </w:r>
      <w:r>
        <w:rPr>
          <w:color w:val="0B0B0B"/>
        </w:rPr>
        <w:t>, (A), Assistant Professor, Oncology and Diagnostic Sciences, School of Dentistry. PhD, University of Maryland, 2011; MDS, Alexandria University, 2005; BDS, Alexandria University, 1999.</w:t>
      </w:r>
    </w:p>
    <w:p>
      <w:pPr>
        <w:pStyle w:val="BodyText"/>
        <w:spacing w:line="249" w:lineRule="auto" w:before="181"/>
        <w:ind w:left="199" w:right="26"/>
      </w:pPr>
      <w:r>
        <w:rPr>
          <w:b/>
          <w:color w:val="0B0B0B"/>
        </w:rPr>
        <w:t>Yu, Yihua Bruce</w:t>
      </w:r>
      <w:r>
        <w:rPr>
          <w:color w:val="0B0B0B"/>
        </w:rPr>
        <w:t>, (R), Associate Professor, Pharmaceutical Sciences, School of Pharmacy. PhD, Johns Hopkins University, 1996; BS, Peking University, 1987.</w:t>
      </w:r>
    </w:p>
    <w:p>
      <w:pPr>
        <w:pStyle w:val="BodyText"/>
        <w:spacing w:line="249" w:lineRule="auto" w:before="184"/>
        <w:ind w:left="199" w:right="47"/>
      </w:pPr>
      <w:r>
        <w:rPr>
          <w:b/>
          <w:color w:val="0B0B0B"/>
        </w:rPr>
        <w:t>Zaghloul, Norann</w:t>
      </w:r>
      <w:r>
        <w:rPr>
          <w:color w:val="0B0B0B"/>
        </w:rPr>
        <w:t>, (R), Assistant Professor, Medicine, School of Medicine. PhD, George Washington</w:t>
      </w:r>
      <w:r>
        <w:rPr>
          <w:color w:val="0B0B0B"/>
          <w:spacing w:val="-25"/>
        </w:rPr>
        <w:t> </w:t>
      </w:r>
      <w:r>
        <w:rPr>
          <w:color w:val="0B0B0B"/>
        </w:rPr>
        <w:t>University, 2006; MS, George Washington University, 2001; </w:t>
      </w:r>
      <w:r>
        <w:rPr>
          <w:color w:val="0B0B0B"/>
          <w:spacing w:val="-3"/>
        </w:rPr>
        <w:t>BS, </w:t>
      </w:r>
      <w:r>
        <w:rPr>
          <w:color w:val="0B0B0B"/>
        </w:rPr>
        <w:t>Johns Hopkins University,</w:t>
      </w:r>
      <w:r>
        <w:rPr>
          <w:color w:val="0B0B0B"/>
          <w:spacing w:val="1"/>
        </w:rPr>
        <w:t> </w:t>
      </w:r>
      <w:r>
        <w:rPr>
          <w:color w:val="0B0B0B"/>
        </w:rPr>
        <w:t>1999.</w:t>
      </w:r>
    </w:p>
    <w:p>
      <w:pPr>
        <w:pStyle w:val="BodyText"/>
        <w:spacing w:line="249" w:lineRule="auto" w:before="181"/>
        <w:ind w:left="199" w:right="92"/>
      </w:pPr>
      <w:r>
        <w:rPr>
          <w:b/>
          <w:color w:val="0B0B0B"/>
        </w:rPr>
        <w:t>Zalzman, Michal</w:t>
      </w:r>
      <w:r>
        <w:rPr>
          <w:color w:val="0B0B0B"/>
        </w:rPr>
        <w:t>, (A), Assistant Professor, Biochemistry and Molecular </w:t>
      </w:r>
      <w:r>
        <w:rPr>
          <w:color w:val="0B0B0B"/>
          <w:spacing w:val="-3"/>
        </w:rPr>
        <w:t>Biology, </w:t>
      </w:r>
      <w:r>
        <w:rPr>
          <w:color w:val="0B0B0B"/>
        </w:rPr>
        <w:t>School of Medicine. </w:t>
      </w:r>
      <w:r>
        <w:rPr>
          <w:color w:val="0B0B0B"/>
          <w:spacing w:val="-3"/>
        </w:rPr>
        <w:t>PhD, </w:t>
      </w:r>
      <w:r>
        <w:rPr>
          <w:color w:val="0B0B0B"/>
        </w:rPr>
        <w:t>Tel Aviv University, 2007; MSc, Tel Aviv University, 2001; </w:t>
      </w:r>
      <w:r>
        <w:rPr>
          <w:color w:val="0B0B0B"/>
          <w:spacing w:val="-3"/>
        </w:rPr>
        <w:t>BSc, </w:t>
      </w:r>
      <w:r>
        <w:rPr>
          <w:color w:val="0B0B0B"/>
        </w:rPr>
        <w:t>Bar- Ilan University,</w:t>
      </w:r>
      <w:r>
        <w:rPr>
          <w:color w:val="0B0B0B"/>
          <w:spacing w:val="15"/>
        </w:rPr>
        <w:t> </w:t>
      </w:r>
      <w:r>
        <w:rPr>
          <w:color w:val="0B0B0B"/>
        </w:rPr>
        <w:t>1998.</w:t>
      </w:r>
    </w:p>
    <w:p>
      <w:pPr>
        <w:pStyle w:val="BodyText"/>
        <w:spacing w:line="249" w:lineRule="auto"/>
        <w:ind w:left="199" w:right="92"/>
      </w:pPr>
      <w:r>
        <w:rPr>
          <w:b/>
          <w:color w:val="0B0B0B"/>
        </w:rPr>
        <w:t>Zhan, Min</w:t>
      </w:r>
      <w:r>
        <w:rPr>
          <w:color w:val="0B0B0B"/>
        </w:rPr>
        <w:t>, (R), Associate Professor, Epidemiology and Public Health, School of Medicine. PhD, University of Waterloo, 1999; MS, Simon Fraser University, 1994; MS, Fudan University, 1991.</w:t>
      </w:r>
    </w:p>
    <w:p>
      <w:pPr>
        <w:pStyle w:val="BodyText"/>
        <w:spacing w:line="249" w:lineRule="auto" w:before="180"/>
        <w:ind w:left="199" w:right="116"/>
      </w:pPr>
      <w:r>
        <w:rPr>
          <w:b/>
          <w:color w:val="0B0B0B"/>
        </w:rPr>
        <w:t>Zhan, Steven</w:t>
      </w:r>
      <w:r>
        <w:rPr>
          <w:color w:val="0B0B0B"/>
        </w:rPr>
        <w:t>, (R), Professor, Pathology, School of Medicine. PhD, Columbia University, 1988; MPh, Columbia University, 1985; MA, Columbia University, 1984.</w:t>
      </w:r>
    </w:p>
    <w:p>
      <w:pPr>
        <w:pStyle w:val="BodyText"/>
        <w:spacing w:line="249" w:lineRule="auto" w:before="186"/>
        <w:ind w:left="199" w:right="186"/>
      </w:pPr>
      <w:r>
        <w:rPr>
          <w:b/>
          <w:color w:val="0B0B0B"/>
        </w:rPr>
        <w:t>Zhang, Jian</w:t>
      </w:r>
      <w:r>
        <w:rPr>
          <w:color w:val="0B0B0B"/>
        </w:rPr>
        <w:t>, (A), Assistant Professor, Biochemistry and Molecular Biology, School of Medicine. PhD, Ibaraki University, 1999; MS, Institute of Chemistry, 1991; BS, Beijing Normal University, 1986.</w:t>
      </w:r>
    </w:p>
    <w:p>
      <w:pPr>
        <w:pStyle w:val="BodyText"/>
        <w:spacing w:line="249" w:lineRule="auto" w:before="180"/>
        <w:ind w:right="200"/>
        <w:jc w:val="both"/>
      </w:pPr>
      <w:r>
        <w:rPr>
          <w:b/>
          <w:color w:val="0B0B0B"/>
        </w:rPr>
        <w:t>Zhang, Li</w:t>
      </w:r>
      <w:r>
        <w:rPr>
          <w:color w:val="0B0B0B"/>
        </w:rPr>
        <w:t>, (A), Associate Professor, </w:t>
      </w:r>
      <w:r>
        <w:rPr>
          <w:color w:val="0B0B0B"/>
          <w:spacing w:val="-3"/>
        </w:rPr>
        <w:t>Physiology, </w:t>
      </w:r>
      <w:r>
        <w:rPr>
          <w:color w:val="0B0B0B"/>
        </w:rPr>
        <w:t>School of Medicine. PhD, University of Notre Dame, 1991; </w:t>
      </w:r>
      <w:r>
        <w:rPr>
          <w:color w:val="0B0B0B"/>
          <w:spacing w:val="-3"/>
        </w:rPr>
        <w:t>BS, </w:t>
      </w:r>
      <w:r>
        <w:rPr>
          <w:color w:val="0B0B0B"/>
        </w:rPr>
        <w:t>University of Science and Technology of China, 1984.</w:t>
      </w:r>
    </w:p>
    <w:p>
      <w:pPr>
        <w:pStyle w:val="BodyText"/>
        <w:spacing w:line="249" w:lineRule="auto" w:before="96"/>
        <w:ind w:right="712"/>
      </w:pPr>
      <w:r>
        <w:rPr/>
        <w:br w:type="column"/>
      </w:r>
      <w:r>
        <w:rPr>
          <w:b/>
          <w:color w:val="0B0B0B"/>
        </w:rPr>
        <w:t>Zhang, Li-Qun</w:t>
      </w:r>
      <w:r>
        <w:rPr>
          <w:color w:val="0B0B0B"/>
        </w:rPr>
        <w:t>, Professor, Physical Therapy and Rehabilitation Science, School of Medicine. PhD, Vanderbilt University, 1990; MS, Vanderbilt University, 1988.</w:t>
      </w:r>
    </w:p>
    <w:p>
      <w:pPr>
        <w:pStyle w:val="BodyText"/>
        <w:spacing w:line="249" w:lineRule="auto" w:before="180"/>
        <w:ind w:right="742"/>
      </w:pPr>
      <w:r>
        <w:rPr>
          <w:b/>
          <w:color w:val="0B0B0B"/>
        </w:rPr>
        <w:t>Zhang, Yuji</w:t>
      </w:r>
      <w:r>
        <w:rPr>
          <w:color w:val="0B0B0B"/>
        </w:rPr>
        <w:t>, (R), Assistant Professor, Epidemiology and Public Health, School of Medicine. PhD, Computer Engineering, 2010; MS, Southeast University, 2003; BS, Southeast University, 2000.</w:t>
      </w:r>
    </w:p>
    <w:p>
      <w:pPr>
        <w:pStyle w:val="BodyText"/>
        <w:spacing w:line="249" w:lineRule="auto" w:before="186"/>
        <w:ind w:right="605"/>
      </w:pPr>
      <w:r>
        <w:rPr>
          <w:b/>
          <w:color w:val="0B0B0B"/>
        </w:rPr>
        <w:t>Zhao, Aiping</w:t>
      </w:r>
      <w:r>
        <w:rPr>
          <w:color w:val="0B0B0B"/>
        </w:rPr>
        <w:t>, (A), Assistant Professor, Medicine, School of Medicine. MS, Xuzhou Medical College, 1988; MD, Jiangxi Medical College, 1983.</w:t>
      </w:r>
    </w:p>
    <w:p>
      <w:pPr>
        <w:pStyle w:val="BodyText"/>
        <w:spacing w:line="249" w:lineRule="auto" w:before="180"/>
        <w:ind w:right="793"/>
      </w:pPr>
      <w:r>
        <w:rPr>
          <w:b/>
          <w:color w:val="0B0B0B"/>
        </w:rPr>
        <w:t>Zhao, Guiling</w:t>
      </w:r>
      <w:r>
        <w:rPr>
          <w:color w:val="0B0B0B"/>
        </w:rPr>
        <w:t>, (A), Assistant Professor, BioMET and Physiology, School of Medicine. PhD, Southern Medical University, 2003; MSc, Sun Yat-Sen (Zhongshan) University, 1995; BSc, Heze Normal College, 1989.</w:t>
      </w:r>
    </w:p>
    <w:p>
      <w:pPr>
        <w:pStyle w:val="BodyText"/>
        <w:spacing w:line="249" w:lineRule="auto"/>
        <w:ind w:right="771"/>
      </w:pPr>
      <w:r>
        <w:rPr>
          <w:b/>
          <w:color w:val="0B0B0B"/>
        </w:rPr>
        <w:t>Zhao, Richard Y.</w:t>
      </w:r>
      <w:r>
        <w:rPr>
          <w:color w:val="0B0B0B"/>
        </w:rPr>
        <w:t>, (R), Professor, Pathology, School of Medicine. PhD, Oregon State University, 1991; MS, Oregon State University, 1985; BS, Shandong College of Oceanography, 1981.</w:t>
      </w:r>
    </w:p>
    <w:p>
      <w:pPr>
        <w:pStyle w:val="BodyText"/>
        <w:spacing w:line="249" w:lineRule="auto" w:before="180"/>
        <w:ind w:right="651"/>
      </w:pPr>
      <w:r>
        <w:rPr>
          <w:b/>
          <w:color w:val="0B0B0B"/>
        </w:rPr>
        <w:t>Zhao, Xianfeng Frank</w:t>
      </w:r>
      <w:r>
        <w:rPr>
          <w:color w:val="0B0B0B"/>
        </w:rPr>
        <w:t>, (A), Associate Professor, Pathology, School of Medicine. PhD, University of Western Ontario, 1996; MSc, Academy of Military Medical Sciences, 1988; MD, Shandong Medical College, 1985.</w:t>
      </w:r>
    </w:p>
    <w:p>
      <w:pPr>
        <w:pStyle w:val="BodyText"/>
        <w:spacing w:line="249" w:lineRule="auto" w:before="186"/>
        <w:ind w:right="831"/>
      </w:pPr>
      <w:r>
        <w:rPr>
          <w:b/>
          <w:color w:val="0B0B0B"/>
        </w:rPr>
        <w:t>Zhao, Zhiyong</w:t>
      </w:r>
      <w:r>
        <w:rPr>
          <w:color w:val="0B0B0B"/>
        </w:rPr>
        <w:t>, (A), Assistant Professor, Obstetrics and Gynecology, School of Medicine. PhD, University of Manchester, England, 1993; MSc, South China Normal University, 1985; BSc, Dalian Fisheries College, 1982.</w:t>
      </w:r>
    </w:p>
    <w:p>
      <w:pPr>
        <w:pStyle w:val="BodyText"/>
        <w:spacing w:line="249" w:lineRule="auto" w:before="181"/>
        <w:ind w:right="759"/>
      </w:pPr>
      <w:r>
        <w:rPr>
          <w:b/>
          <w:color w:val="0B0B0B"/>
        </w:rPr>
        <w:t>Zhou, Qun</w:t>
      </w:r>
      <w:r>
        <w:rPr>
          <w:color w:val="0B0B0B"/>
        </w:rPr>
        <w:t>, (R), Associate Professor, Biochemistry and Molecular Biology, School of Medicine. PhD, West Virginia University, 2002; MS, Beijing University, 1990; MD, Nanjing University, 1987</w:t>
      </w:r>
    </w:p>
    <w:p>
      <w:pPr>
        <w:pStyle w:val="BodyText"/>
        <w:spacing w:line="249" w:lineRule="auto"/>
        <w:ind w:right="959"/>
      </w:pPr>
      <w:r>
        <w:rPr>
          <w:b/>
          <w:color w:val="0B0B0B"/>
        </w:rPr>
        <w:t>Zhu, Shijun</w:t>
      </w:r>
      <w:r>
        <w:rPr>
          <w:color w:val="0B0B0B"/>
        </w:rPr>
        <w:t>, (A), Assistant Professor, Organizational Systems and Adult Health, School of Nursing. Dr Eng, Morgan State University, 2005, MS, Colorado State University, 2007.</w:t>
      </w:r>
    </w:p>
    <w:p>
      <w:pPr>
        <w:pStyle w:val="BodyText"/>
        <w:spacing w:line="249" w:lineRule="auto" w:before="181"/>
        <w:ind w:right="807"/>
      </w:pPr>
      <w:r>
        <w:rPr>
          <w:b/>
          <w:color w:val="0B0B0B"/>
        </w:rPr>
        <w:t>Zielke, H. Ronald</w:t>
      </w:r>
      <w:r>
        <w:rPr>
          <w:color w:val="0B0B0B"/>
        </w:rPr>
        <w:t>, (R), Professor, Pediatrics, School of Medicine. PhD, Michigan State University, 1968; BS, University of Illinois, 1964.</w:t>
      </w:r>
    </w:p>
    <w:p>
      <w:pPr>
        <w:pStyle w:val="BodyText"/>
        <w:spacing w:line="249" w:lineRule="auto" w:before="184"/>
        <w:ind w:right="698" w:hanging="1"/>
      </w:pPr>
      <w:r>
        <w:rPr>
          <w:b/>
          <w:color w:val="0B0B0B"/>
        </w:rPr>
        <w:t>Zimberg, Patricia</w:t>
      </w:r>
      <w:r>
        <w:rPr>
          <w:color w:val="0B0B0B"/>
        </w:rPr>
        <w:t>, (A), Assistant Professor, Family and Community Health, School of Nursing. MS, University of Maryland, Baltimore, 2000; JD, University of Richmond, 1993; BSN, La Salle University, 1986; BS, Philadelphia College of Textiles and Science, 1980.</w:t>
      </w:r>
    </w:p>
    <w:p>
      <w:pPr>
        <w:spacing w:after="0" w:line="249" w:lineRule="auto"/>
        <w:sectPr>
          <w:pgSz w:w="12240" w:h="15840"/>
          <w:pgMar w:header="746" w:footer="0" w:top="1320" w:bottom="280" w:left="880" w:right="300"/>
          <w:cols w:num="2" w:equalWidth="0">
            <w:col w:w="4961" w:space="525"/>
            <w:col w:w="5574"/>
          </w:cols>
        </w:sectPr>
      </w:pPr>
    </w:p>
    <w:p>
      <w:pPr>
        <w:pStyle w:val="BodyText"/>
        <w:spacing w:line="249" w:lineRule="auto" w:before="100"/>
        <w:ind w:left="199" w:right="6108"/>
      </w:pPr>
      <w:r>
        <w:rPr>
          <w:b/>
          <w:color w:val="0B0B0B"/>
        </w:rPr>
        <w:t>Zito, Julie</w:t>
      </w:r>
      <w:r>
        <w:rPr>
          <w:color w:val="0B0B0B"/>
        </w:rPr>
        <w:t>, (R), Professor, Pharmaceutical Health Services Research, School of Medicine. PhD, University of Minnesota, 1984; MS, University of Connecticut, 1972; BS, St. John’s University, 1966.</w:t>
      </w:r>
    </w:p>
    <w:p>
      <w:pPr>
        <w:pStyle w:val="BodyText"/>
        <w:spacing w:line="249" w:lineRule="auto" w:before="180"/>
        <w:ind w:right="6079"/>
      </w:pPr>
      <w:r>
        <w:rPr>
          <w:b/>
          <w:color w:val="0B0B0B"/>
        </w:rPr>
        <w:t>Zohar, Yonathan</w:t>
      </w:r>
      <w:r>
        <w:rPr>
          <w:color w:val="0B0B0B"/>
        </w:rPr>
        <w:t>, (S), Associate Professor, Biological Sciences. PhD, University of Pierre and Marie Curie, 1982; MS, Hebrew University of Jerusalem, 1976; BS, Hebrew University of Jerusalem, 1974.</w:t>
      </w:r>
    </w:p>
    <w:p>
      <w:pPr>
        <w:pStyle w:val="BodyText"/>
        <w:spacing w:line="249" w:lineRule="auto" w:before="186"/>
        <w:ind w:left="199" w:right="6112"/>
        <w:jc w:val="both"/>
      </w:pPr>
      <w:r>
        <w:rPr>
          <w:b/>
          <w:color w:val="0B0B0B"/>
        </w:rPr>
        <w:t>Zou, Ying</w:t>
      </w:r>
      <w:r>
        <w:rPr>
          <w:color w:val="0B0B0B"/>
        </w:rPr>
        <w:t>, (A), Associate Professor, Pathology, School of Medicine. PhD, University of Texas Southwestern Medical Center, 2004; MD, Peking University, 1995.</w:t>
      </w:r>
    </w:p>
    <w:p>
      <w:pPr>
        <w:spacing w:after="0" w:line="249" w:lineRule="auto"/>
        <w:jc w:val="both"/>
        <w:sectPr>
          <w:pgSz w:w="12240" w:h="15840"/>
          <w:pgMar w:header="746" w:footer="0" w:top="1320" w:bottom="280" w:left="880" w:right="300"/>
        </w:sectPr>
      </w:pPr>
    </w:p>
    <w:p>
      <w:pPr>
        <w:pStyle w:val="Heading1"/>
      </w:pPr>
      <w:bookmarkStart w:name="Policies" w:id="159"/>
      <w:bookmarkEnd w:id="159"/>
      <w:r>
        <w:rPr>
          <w:b w:val="0"/>
        </w:rPr>
      </w:r>
      <w:bookmarkStart w:name="_bookmark79" w:id="160"/>
      <w:bookmarkEnd w:id="160"/>
      <w:r>
        <w:rPr>
          <w:b w:val="0"/>
        </w:rPr>
      </w:r>
      <w:r>
        <w:rPr/>
        <w:t>Policies</w:t>
      </w:r>
    </w:p>
    <w:p>
      <w:pPr>
        <w:pStyle w:val="BodyText"/>
        <w:spacing w:before="7"/>
        <w:ind w:left="0"/>
        <w:rPr>
          <w:b/>
        </w:rPr>
      </w:pPr>
    </w:p>
    <w:p>
      <w:pPr>
        <w:spacing w:after="0"/>
        <w:sectPr>
          <w:pgSz w:w="12240" w:h="15840"/>
          <w:pgMar w:header="746" w:footer="0" w:top="1320" w:bottom="280" w:left="880" w:right="300"/>
        </w:sectPr>
      </w:pPr>
    </w:p>
    <w:p>
      <w:pPr>
        <w:pStyle w:val="BodyText"/>
        <w:spacing w:line="249" w:lineRule="auto" w:before="96"/>
      </w:pPr>
      <w:r>
        <w:rPr/>
        <w:t>The following are the major policies related to graduate students at the University of Maryland, Baltimore (UMB). This citation is not all-inclusive. A general index of University System of Maryland (USM) and UMB policies and procedures governing the University community is available on the University’s website: </w:t>
      </w:r>
      <w:hyperlink r:id="rId140">
        <w:r>
          <w:rPr/>
          <w:t>www.umaryland.edu/policies/#student.</w:t>
        </w:r>
      </w:hyperlink>
    </w:p>
    <w:p>
      <w:pPr>
        <w:pStyle w:val="Heading4"/>
        <w:spacing w:before="165"/>
      </w:pPr>
      <w:r>
        <w:rPr/>
        <w:t>Appeal of Academic Dismissal</w:t>
      </w:r>
    </w:p>
    <w:p>
      <w:pPr>
        <w:pStyle w:val="BodyText"/>
        <w:spacing w:line="249" w:lineRule="auto" w:before="188"/>
        <w:ind w:right="91"/>
      </w:pPr>
      <w:r>
        <w:rPr/>
        <w:t>An appeal of academic dismissal must be submitted to the office of the dean of the Graduate School in writing within 10 working days of the student’s receipt of the notice of dismissal. The letter of appeal should include: (a) the basis for the appeal; (b) a summary of discussions, if any, between the student and representatives of the student’s program, such as the student’s mentor and the student’s graduate program director (GPD); and (c) the outcome or remedy proposed by the student. The letter may include additional relevant evidence or information.</w:t>
      </w:r>
    </w:p>
    <w:p>
      <w:pPr>
        <w:pStyle w:val="BodyText"/>
        <w:spacing w:line="249" w:lineRule="auto"/>
        <w:ind w:right="235"/>
      </w:pPr>
      <w:r>
        <w:rPr/>
        <w:t>The dean of the Graduate School will inform the GPD of the appeal by transmitting the student’s letter of appeal within five working days of receipt of the appeal.</w:t>
      </w:r>
    </w:p>
    <w:p>
      <w:pPr>
        <w:pStyle w:val="BodyText"/>
        <w:spacing w:line="249" w:lineRule="auto" w:before="184"/>
        <w:ind w:right="75"/>
      </w:pPr>
      <w:r>
        <w:rPr>
          <w:b/>
        </w:rPr>
        <w:t>Grounds. </w:t>
      </w:r>
      <w:r>
        <w:rPr/>
        <w:t>The following are grounds for appeal: (1) incorrect calculation of grade-point average; (2) misapplication of standards for academic performance and satisfactory progress by the graduate program of the Graduate School; (3) differential application of standards for academic performance and satisfactory progress for the student appealing compared to other similar students; or</w:t>
      </w:r>
    </w:p>
    <w:p>
      <w:pPr>
        <w:pStyle w:val="ListParagraph"/>
        <w:numPr>
          <w:ilvl w:val="0"/>
          <w:numId w:val="15"/>
        </w:numPr>
        <w:tabs>
          <w:tab w:pos="488" w:val="left" w:leader="none"/>
        </w:tabs>
        <w:spacing w:line="249" w:lineRule="auto" w:before="6" w:after="0"/>
        <w:ind w:left="200" w:right="167" w:firstLine="0"/>
        <w:jc w:val="left"/>
        <w:rPr>
          <w:sz w:val="20"/>
        </w:rPr>
      </w:pPr>
      <w:r>
        <w:rPr>
          <w:sz w:val="20"/>
        </w:rPr>
        <w:t>circumstances that had not </w:t>
      </w:r>
      <w:r>
        <w:rPr>
          <w:spacing w:val="-3"/>
          <w:sz w:val="20"/>
        </w:rPr>
        <w:t>been known </w:t>
      </w:r>
      <w:r>
        <w:rPr>
          <w:sz w:val="20"/>
        </w:rPr>
        <w:t>and that might </w:t>
      </w:r>
      <w:r>
        <w:rPr>
          <w:spacing w:val="-3"/>
          <w:sz w:val="20"/>
        </w:rPr>
        <w:t>be </w:t>
      </w:r>
      <w:r>
        <w:rPr>
          <w:sz w:val="20"/>
        </w:rPr>
        <w:t>relevant to the</w:t>
      </w:r>
      <w:r>
        <w:rPr>
          <w:spacing w:val="-7"/>
          <w:sz w:val="20"/>
        </w:rPr>
        <w:t> </w:t>
      </w:r>
      <w:r>
        <w:rPr>
          <w:sz w:val="20"/>
        </w:rPr>
        <w:t>dismissal.</w:t>
      </w:r>
    </w:p>
    <w:p>
      <w:pPr>
        <w:pStyle w:val="BodyText"/>
        <w:spacing w:line="249" w:lineRule="auto" w:before="179"/>
        <w:ind w:right="25"/>
      </w:pPr>
      <w:r>
        <w:rPr>
          <w:b/>
        </w:rPr>
        <w:t>Disposition. </w:t>
      </w:r>
      <w:r>
        <w:rPr/>
        <w:t>The dean of the Graduate School may: (1) act on the appeal; (2) appoint a designee to collect additional information for the dean of the Graduate School; or (3) constitute a three-person ad hoc review committee from the Graduate Council Grievance Committee (GCGC). The purpose of the ad hoc committee is to provide an opinion and recommendation to the dean of the Graduate School regarding the appeal.</w:t>
      </w:r>
    </w:p>
    <w:p>
      <w:pPr>
        <w:pStyle w:val="BodyText"/>
        <w:spacing w:line="249" w:lineRule="auto" w:before="188"/>
        <w:ind w:right="107"/>
      </w:pPr>
      <w:r>
        <w:rPr/>
        <w:t>The dean of the Graduate School will inform the student and the GPD in writing of the method of disposition of the appeal. If a dean’s designee is appointed, the student and the GPD will be informed of the name and contact information for the dean’s designee. If a GCGC ad hoc committee is constituted, the approved guidelines will be followed.</w:t>
      </w:r>
    </w:p>
    <w:p>
      <w:pPr>
        <w:pStyle w:val="BodyText"/>
        <w:spacing w:line="249" w:lineRule="auto" w:before="93"/>
        <w:ind w:right="627"/>
      </w:pPr>
      <w:r>
        <w:rPr/>
        <w:br w:type="column"/>
      </w:r>
      <w:r>
        <w:rPr/>
        <w:t>The dean of the Graduate School’s decision with respect to a student’s appeal shall be final. The student and the GPD will be informed in writing of the dean’s decision.</w:t>
      </w:r>
    </w:p>
    <w:p>
      <w:pPr>
        <w:spacing w:line="249" w:lineRule="auto" w:before="180"/>
        <w:ind w:left="200" w:right="693" w:firstLine="0"/>
        <w:jc w:val="left"/>
        <w:rPr>
          <w:i/>
          <w:sz w:val="20"/>
        </w:rPr>
      </w:pPr>
      <w:r>
        <w:rPr>
          <w:i/>
          <w:sz w:val="20"/>
        </w:rPr>
        <w:t>(Approved and adopted by the Graduate Council, Oct. 19, </w:t>
      </w:r>
      <w:r>
        <w:rPr>
          <w:i/>
          <w:sz w:val="20"/>
        </w:rPr>
        <w:t>1995; revised Nov. 25, 2003; revised May 31, 2005;</w:t>
      </w:r>
    </w:p>
    <w:p>
      <w:pPr>
        <w:spacing w:before="1"/>
        <w:ind w:left="200" w:right="0" w:firstLine="0"/>
        <w:jc w:val="left"/>
        <w:rPr>
          <w:i/>
          <w:sz w:val="20"/>
        </w:rPr>
      </w:pPr>
      <w:r>
        <w:rPr>
          <w:i/>
          <w:sz w:val="20"/>
        </w:rPr>
        <w:t>revised January 2008)</w:t>
      </w:r>
    </w:p>
    <w:p>
      <w:pPr>
        <w:pStyle w:val="Heading4"/>
        <w:spacing w:before="178"/>
      </w:pPr>
      <w:r>
        <w:rPr/>
        <w:t>Policy on Arbitrary or Capricious Grading</w:t>
      </w:r>
    </w:p>
    <w:p>
      <w:pPr>
        <w:pStyle w:val="Heading6"/>
        <w:spacing w:before="183"/>
      </w:pPr>
      <w:r>
        <w:rPr/>
        <w:t>Purpose</w:t>
      </w:r>
    </w:p>
    <w:p>
      <w:pPr>
        <w:pStyle w:val="BodyText"/>
        <w:spacing w:line="249" w:lineRule="auto" w:before="192"/>
        <w:ind w:right="616"/>
      </w:pPr>
      <w:r>
        <w:rPr/>
        <w:t>These guidelines describe how allegations of arbitrary or capricious grading are handled in coursework at the Graduate School. Arbitrary or capricious means: (a) the assignment of a course grade to a student on some basis other than performance in the course; (b) the assignment of a course grade to a student by unreasonable application of standards different from the standards that were applied to other students in that course; or (c) the assignment of a course grade by a substantial and unreasonable departure from the instructor’s initially articulated standards.</w:t>
      </w:r>
    </w:p>
    <w:p>
      <w:pPr>
        <w:pStyle w:val="BodyText"/>
        <w:spacing w:line="249" w:lineRule="auto"/>
        <w:ind w:right="738" w:hanging="1"/>
      </w:pPr>
      <w:r>
        <w:rPr/>
        <w:t>These procedures apply only to grades assigned in coursework. Qualifying and comprehensive examinations and defense of theses or dissertations during the progression toward the master’s or doctor’s degree are to be handled under the Academic Progression* policy.</w:t>
      </w:r>
    </w:p>
    <w:p>
      <w:pPr>
        <w:pStyle w:val="Heading6"/>
        <w:spacing w:before="186"/>
      </w:pPr>
      <w:r>
        <w:rPr/>
        <w:t>Procedure</w:t>
      </w:r>
    </w:p>
    <w:p>
      <w:pPr>
        <w:pStyle w:val="ListParagraph"/>
        <w:numPr>
          <w:ilvl w:val="1"/>
          <w:numId w:val="15"/>
        </w:numPr>
        <w:tabs>
          <w:tab w:pos="633" w:val="left" w:leader="none"/>
        </w:tabs>
        <w:spacing w:line="249" w:lineRule="auto" w:before="188" w:after="0"/>
        <w:ind w:left="632" w:right="705" w:hanging="216"/>
        <w:jc w:val="left"/>
        <w:rPr>
          <w:sz w:val="20"/>
        </w:rPr>
      </w:pPr>
      <w:r>
        <w:rPr>
          <w:sz w:val="20"/>
        </w:rPr>
        <w:t>If a student alleges that a grade has </w:t>
      </w:r>
      <w:r>
        <w:rPr>
          <w:spacing w:val="-3"/>
          <w:sz w:val="20"/>
        </w:rPr>
        <w:t>been </w:t>
      </w:r>
      <w:r>
        <w:rPr>
          <w:sz w:val="20"/>
        </w:rPr>
        <w:t>given in </w:t>
      </w:r>
      <w:r>
        <w:rPr>
          <w:spacing w:val="-3"/>
          <w:sz w:val="20"/>
        </w:rPr>
        <w:t>an </w:t>
      </w:r>
      <w:r>
        <w:rPr>
          <w:sz w:val="20"/>
        </w:rPr>
        <w:t>arbitrary </w:t>
      </w:r>
      <w:r>
        <w:rPr>
          <w:spacing w:val="-3"/>
          <w:sz w:val="20"/>
        </w:rPr>
        <w:t>or </w:t>
      </w:r>
      <w:r>
        <w:rPr>
          <w:sz w:val="20"/>
        </w:rPr>
        <w:t>capricious manner, the student must first discuss the situation </w:t>
      </w:r>
      <w:r>
        <w:rPr>
          <w:spacing w:val="-3"/>
          <w:sz w:val="20"/>
        </w:rPr>
        <w:t>with </w:t>
      </w:r>
      <w:r>
        <w:rPr>
          <w:sz w:val="20"/>
        </w:rPr>
        <w:t>the faculty member responsible </w:t>
      </w:r>
      <w:r>
        <w:rPr>
          <w:spacing w:val="-4"/>
          <w:sz w:val="20"/>
        </w:rPr>
        <w:t>for </w:t>
      </w:r>
      <w:r>
        <w:rPr>
          <w:sz w:val="20"/>
        </w:rPr>
        <w:t>the course within 10 business </w:t>
      </w:r>
      <w:r>
        <w:rPr>
          <w:spacing w:val="-3"/>
          <w:sz w:val="20"/>
        </w:rPr>
        <w:t>days </w:t>
      </w:r>
      <w:r>
        <w:rPr>
          <w:sz w:val="20"/>
        </w:rPr>
        <w:t>of receiving the grade. The student also should contact the department chair </w:t>
      </w:r>
      <w:r>
        <w:rPr>
          <w:spacing w:val="-5"/>
          <w:sz w:val="20"/>
        </w:rPr>
        <w:t>or </w:t>
      </w:r>
      <w:r>
        <w:rPr>
          <w:sz w:val="20"/>
        </w:rPr>
        <w:t>graduate program director if the issue is not resolved within 20 business </w:t>
      </w:r>
      <w:r>
        <w:rPr>
          <w:spacing w:val="-4"/>
          <w:sz w:val="20"/>
        </w:rPr>
        <w:t>days </w:t>
      </w:r>
      <w:r>
        <w:rPr>
          <w:spacing w:val="-5"/>
          <w:sz w:val="20"/>
        </w:rPr>
        <w:t>of </w:t>
      </w:r>
      <w:r>
        <w:rPr>
          <w:sz w:val="20"/>
        </w:rPr>
        <w:t>receiving the</w:t>
      </w:r>
      <w:r>
        <w:rPr>
          <w:spacing w:val="-3"/>
          <w:sz w:val="20"/>
        </w:rPr>
        <w:t> </w:t>
      </w:r>
      <w:r>
        <w:rPr>
          <w:sz w:val="20"/>
        </w:rPr>
        <w:t>grade.</w:t>
      </w:r>
    </w:p>
    <w:p>
      <w:pPr>
        <w:pStyle w:val="ListParagraph"/>
        <w:numPr>
          <w:ilvl w:val="1"/>
          <w:numId w:val="15"/>
        </w:numPr>
        <w:tabs>
          <w:tab w:pos="633" w:val="left" w:leader="none"/>
        </w:tabs>
        <w:spacing w:line="249" w:lineRule="auto" w:before="188" w:after="0"/>
        <w:ind w:left="632" w:right="616" w:hanging="216"/>
        <w:jc w:val="left"/>
        <w:rPr>
          <w:sz w:val="20"/>
        </w:rPr>
      </w:pPr>
      <w:r>
        <w:rPr>
          <w:sz w:val="20"/>
        </w:rPr>
        <w:t>If a student remains dissatisfied after the discussions required by paragraph </w:t>
      </w:r>
      <w:r>
        <w:rPr>
          <w:spacing w:val="-3"/>
          <w:sz w:val="20"/>
        </w:rPr>
        <w:t>1, </w:t>
      </w:r>
      <w:r>
        <w:rPr>
          <w:sz w:val="20"/>
        </w:rPr>
        <w:t>the student may file an allegation </w:t>
      </w:r>
      <w:r>
        <w:rPr>
          <w:spacing w:val="-3"/>
          <w:sz w:val="20"/>
        </w:rPr>
        <w:t>of </w:t>
      </w:r>
      <w:r>
        <w:rPr>
          <w:sz w:val="20"/>
        </w:rPr>
        <w:t>arbitrary and capricious grading with the dean </w:t>
      </w:r>
      <w:r>
        <w:rPr>
          <w:spacing w:val="-3"/>
          <w:sz w:val="20"/>
        </w:rPr>
        <w:t>of </w:t>
      </w:r>
      <w:r>
        <w:rPr>
          <w:sz w:val="20"/>
        </w:rPr>
        <w:t>the Graduate </w:t>
      </w:r>
      <w:r>
        <w:rPr>
          <w:spacing w:val="-3"/>
          <w:sz w:val="20"/>
        </w:rPr>
        <w:t>School. </w:t>
      </w:r>
      <w:r>
        <w:rPr>
          <w:sz w:val="20"/>
        </w:rPr>
        <w:t>Allegations should </w:t>
      </w:r>
      <w:r>
        <w:rPr>
          <w:spacing w:val="-5"/>
          <w:sz w:val="20"/>
        </w:rPr>
        <w:t>be </w:t>
      </w:r>
      <w:r>
        <w:rPr>
          <w:sz w:val="20"/>
        </w:rPr>
        <w:t>made in writing in the form </w:t>
      </w:r>
      <w:r>
        <w:rPr>
          <w:spacing w:val="-3"/>
          <w:sz w:val="20"/>
        </w:rPr>
        <w:t>of </w:t>
      </w:r>
      <w:r>
        <w:rPr>
          <w:sz w:val="20"/>
        </w:rPr>
        <w:t>a letter to the dean </w:t>
      </w:r>
      <w:r>
        <w:rPr>
          <w:spacing w:val="-3"/>
          <w:sz w:val="20"/>
        </w:rPr>
        <w:t>of </w:t>
      </w:r>
      <w:r>
        <w:rPr>
          <w:sz w:val="20"/>
        </w:rPr>
        <w:t>the Graduate </w:t>
      </w:r>
      <w:r>
        <w:rPr>
          <w:spacing w:val="-2"/>
          <w:sz w:val="20"/>
        </w:rPr>
        <w:t>School </w:t>
      </w:r>
      <w:r>
        <w:rPr>
          <w:sz w:val="20"/>
        </w:rPr>
        <w:t>within 30 calendar </w:t>
      </w:r>
      <w:r>
        <w:rPr>
          <w:spacing w:val="-4"/>
          <w:sz w:val="20"/>
        </w:rPr>
        <w:t>days </w:t>
      </w:r>
      <w:r>
        <w:rPr>
          <w:spacing w:val="-3"/>
          <w:sz w:val="20"/>
        </w:rPr>
        <w:t>of </w:t>
      </w:r>
      <w:r>
        <w:rPr>
          <w:sz w:val="20"/>
        </w:rPr>
        <w:t>the student’s receipt </w:t>
      </w:r>
      <w:r>
        <w:rPr>
          <w:spacing w:val="-3"/>
          <w:sz w:val="20"/>
        </w:rPr>
        <w:t>of </w:t>
      </w:r>
      <w:r>
        <w:rPr>
          <w:sz w:val="20"/>
        </w:rPr>
        <w:t>the grade. </w:t>
      </w:r>
      <w:r>
        <w:rPr>
          <w:spacing w:val="-4"/>
          <w:sz w:val="20"/>
        </w:rPr>
        <w:t>An </w:t>
      </w:r>
      <w:r>
        <w:rPr>
          <w:sz w:val="20"/>
        </w:rPr>
        <w:t>allegation should include: (a) the course, program, and semester in which the grade was awarded; (b) the basis </w:t>
      </w:r>
      <w:r>
        <w:rPr>
          <w:spacing w:val="-4"/>
          <w:sz w:val="20"/>
        </w:rPr>
        <w:t>for </w:t>
      </w:r>
      <w:r>
        <w:rPr>
          <w:sz w:val="20"/>
        </w:rPr>
        <w:t>the allegation; (c) the date the student was advised </w:t>
      </w:r>
      <w:r>
        <w:rPr>
          <w:spacing w:val="-3"/>
          <w:sz w:val="20"/>
        </w:rPr>
        <w:t>of </w:t>
      </w:r>
      <w:r>
        <w:rPr>
          <w:sz w:val="20"/>
        </w:rPr>
        <w:t>the grade challenged; and (d) a summary and the dates</w:t>
      </w:r>
      <w:r>
        <w:rPr>
          <w:spacing w:val="-14"/>
          <w:sz w:val="20"/>
        </w:rPr>
        <w:t> </w:t>
      </w:r>
      <w:r>
        <w:rPr>
          <w:spacing w:val="-3"/>
          <w:sz w:val="20"/>
        </w:rPr>
        <w:t>of</w:t>
      </w:r>
    </w:p>
    <w:p>
      <w:pPr>
        <w:spacing w:after="0" w:line="249" w:lineRule="auto"/>
        <w:jc w:val="left"/>
        <w:rPr>
          <w:sz w:val="20"/>
        </w:rPr>
        <w:sectPr>
          <w:type w:val="continuous"/>
          <w:pgSz w:w="12240" w:h="15840"/>
          <w:pgMar w:top="1500" w:bottom="280" w:left="880" w:right="300"/>
          <w:cols w:num="2" w:equalWidth="0">
            <w:col w:w="5010" w:space="476"/>
            <w:col w:w="5574"/>
          </w:cols>
        </w:sectPr>
      </w:pPr>
    </w:p>
    <w:p>
      <w:pPr>
        <w:pStyle w:val="BodyText"/>
        <w:spacing w:before="100"/>
        <w:ind w:left="631"/>
      </w:pPr>
      <w:r>
        <w:rPr/>
        <w:t>any conversations held pursuant to these procedures.</w:t>
      </w:r>
    </w:p>
    <w:p>
      <w:pPr>
        <w:pStyle w:val="ListParagraph"/>
        <w:numPr>
          <w:ilvl w:val="1"/>
          <w:numId w:val="15"/>
        </w:numPr>
        <w:tabs>
          <w:tab w:pos="632" w:val="left" w:leader="none"/>
        </w:tabs>
        <w:spacing w:line="249" w:lineRule="auto" w:before="187" w:after="0"/>
        <w:ind w:left="632" w:right="256" w:hanging="216"/>
        <w:jc w:val="left"/>
        <w:rPr>
          <w:sz w:val="20"/>
        </w:rPr>
      </w:pPr>
      <w:r>
        <w:rPr>
          <w:sz w:val="20"/>
        </w:rPr>
        <w:t>Upon receiving an allegation, the Graduate </w:t>
      </w:r>
      <w:r>
        <w:rPr>
          <w:spacing w:val="-3"/>
          <w:sz w:val="20"/>
        </w:rPr>
        <w:t>School </w:t>
      </w:r>
      <w:r>
        <w:rPr>
          <w:sz w:val="20"/>
        </w:rPr>
        <w:t>dean’s designee shall forward a copy of it to the faculty member who assigned the grade in</w:t>
      </w:r>
      <w:r>
        <w:rPr>
          <w:spacing w:val="-21"/>
          <w:sz w:val="20"/>
        </w:rPr>
        <w:t> </w:t>
      </w:r>
      <w:r>
        <w:rPr>
          <w:sz w:val="20"/>
        </w:rPr>
        <w:t>question and to the </w:t>
      </w:r>
      <w:r>
        <w:rPr>
          <w:spacing w:val="-3"/>
          <w:sz w:val="20"/>
        </w:rPr>
        <w:t>chair or </w:t>
      </w:r>
      <w:r>
        <w:rPr>
          <w:sz w:val="20"/>
        </w:rPr>
        <w:t>graduate program</w:t>
      </w:r>
      <w:r>
        <w:rPr>
          <w:spacing w:val="7"/>
          <w:sz w:val="20"/>
        </w:rPr>
        <w:t> </w:t>
      </w:r>
      <w:r>
        <w:rPr>
          <w:sz w:val="20"/>
        </w:rPr>
        <w:t>director.</w:t>
      </w:r>
    </w:p>
    <w:p>
      <w:pPr>
        <w:pStyle w:val="ListParagraph"/>
        <w:numPr>
          <w:ilvl w:val="1"/>
          <w:numId w:val="15"/>
        </w:numPr>
        <w:tabs>
          <w:tab w:pos="632" w:val="left" w:leader="none"/>
        </w:tabs>
        <w:spacing w:line="249" w:lineRule="auto" w:before="186" w:after="0"/>
        <w:ind w:left="631" w:right="38" w:hanging="216"/>
        <w:jc w:val="left"/>
        <w:rPr>
          <w:sz w:val="20"/>
        </w:rPr>
      </w:pPr>
      <w:r>
        <w:rPr>
          <w:sz w:val="20"/>
        </w:rPr>
        <w:t>The dean </w:t>
      </w:r>
      <w:r>
        <w:rPr>
          <w:spacing w:val="-3"/>
          <w:sz w:val="20"/>
        </w:rPr>
        <w:t>of </w:t>
      </w:r>
      <w:r>
        <w:rPr>
          <w:sz w:val="20"/>
        </w:rPr>
        <w:t>the Graduate </w:t>
      </w:r>
      <w:r>
        <w:rPr>
          <w:spacing w:val="-3"/>
          <w:sz w:val="20"/>
        </w:rPr>
        <w:t>School or </w:t>
      </w:r>
      <w:r>
        <w:rPr>
          <w:sz w:val="20"/>
        </w:rPr>
        <w:t>designee shall review each allegation </w:t>
      </w:r>
      <w:r>
        <w:rPr>
          <w:spacing w:val="-3"/>
          <w:sz w:val="20"/>
        </w:rPr>
        <w:t>of </w:t>
      </w:r>
      <w:r>
        <w:rPr>
          <w:sz w:val="20"/>
        </w:rPr>
        <w:t>arbitrary and capricious grading and shall dismiss the allegation if: (a) the student has submitted the same, </w:t>
      </w:r>
      <w:r>
        <w:rPr>
          <w:spacing w:val="-3"/>
          <w:sz w:val="20"/>
        </w:rPr>
        <w:t>or </w:t>
      </w:r>
      <w:r>
        <w:rPr>
          <w:sz w:val="20"/>
        </w:rPr>
        <w:t>substantially the same, complaint through any other formal grievance procedure; (b) the allegation </w:t>
      </w:r>
      <w:r>
        <w:rPr>
          <w:spacing w:val="-3"/>
          <w:sz w:val="20"/>
        </w:rPr>
        <w:t>does </w:t>
      </w:r>
      <w:r>
        <w:rPr>
          <w:sz w:val="20"/>
        </w:rPr>
        <w:t>not allege actions that </w:t>
      </w:r>
      <w:r>
        <w:rPr>
          <w:spacing w:val="-3"/>
          <w:sz w:val="20"/>
        </w:rPr>
        <w:t>would </w:t>
      </w:r>
      <w:r>
        <w:rPr>
          <w:sz w:val="20"/>
        </w:rPr>
        <w:t>constitute arbitrary and capricious grading as defined in these procedural guidelines; (c) the allegation was not filed </w:t>
      </w:r>
      <w:r>
        <w:rPr>
          <w:spacing w:val="-3"/>
          <w:sz w:val="20"/>
        </w:rPr>
        <w:t>with </w:t>
      </w:r>
      <w:r>
        <w:rPr>
          <w:sz w:val="20"/>
        </w:rPr>
        <w:t>the dean </w:t>
      </w:r>
      <w:r>
        <w:rPr>
          <w:spacing w:val="-3"/>
          <w:sz w:val="20"/>
        </w:rPr>
        <w:t>of </w:t>
      </w:r>
      <w:r>
        <w:rPr>
          <w:sz w:val="20"/>
        </w:rPr>
        <w:t>the Graduate </w:t>
      </w:r>
      <w:r>
        <w:rPr>
          <w:spacing w:val="-2"/>
          <w:sz w:val="20"/>
        </w:rPr>
        <w:t>School </w:t>
      </w:r>
      <w:r>
        <w:rPr>
          <w:sz w:val="20"/>
        </w:rPr>
        <w:t>within 30 calendar </w:t>
      </w:r>
      <w:r>
        <w:rPr>
          <w:spacing w:val="-3"/>
          <w:sz w:val="20"/>
        </w:rPr>
        <w:t>days </w:t>
      </w:r>
      <w:r>
        <w:rPr>
          <w:sz w:val="20"/>
        </w:rPr>
        <w:t>of the student’s notice of the grade; </w:t>
      </w:r>
      <w:r>
        <w:rPr>
          <w:spacing w:val="-3"/>
          <w:sz w:val="20"/>
        </w:rPr>
        <w:t>or </w:t>
      </w:r>
      <w:r>
        <w:rPr>
          <w:sz w:val="20"/>
        </w:rPr>
        <w:t>(d) the student has not conferred </w:t>
      </w:r>
      <w:r>
        <w:rPr>
          <w:spacing w:val="-3"/>
          <w:sz w:val="20"/>
        </w:rPr>
        <w:t>with </w:t>
      </w:r>
      <w:r>
        <w:rPr>
          <w:sz w:val="20"/>
        </w:rPr>
        <w:t>the instructor and the graduate program director </w:t>
      </w:r>
      <w:r>
        <w:rPr>
          <w:spacing w:val="-5"/>
          <w:sz w:val="20"/>
        </w:rPr>
        <w:t>or </w:t>
      </w:r>
      <w:r>
        <w:rPr>
          <w:sz w:val="20"/>
        </w:rPr>
        <w:t>department </w:t>
      </w:r>
      <w:r>
        <w:rPr>
          <w:spacing w:val="-3"/>
          <w:sz w:val="20"/>
        </w:rPr>
        <w:t>chair of </w:t>
      </w:r>
      <w:r>
        <w:rPr>
          <w:sz w:val="20"/>
        </w:rPr>
        <w:t>the program offering the course before filing the allegation. The dean </w:t>
      </w:r>
      <w:r>
        <w:rPr>
          <w:spacing w:val="-3"/>
          <w:sz w:val="20"/>
        </w:rPr>
        <w:t>of </w:t>
      </w:r>
      <w:r>
        <w:rPr>
          <w:sz w:val="20"/>
        </w:rPr>
        <w:t>the Graduate </w:t>
      </w:r>
      <w:r>
        <w:rPr>
          <w:spacing w:val="-2"/>
          <w:sz w:val="20"/>
        </w:rPr>
        <w:t>School </w:t>
      </w:r>
      <w:r>
        <w:rPr>
          <w:spacing w:val="-3"/>
          <w:sz w:val="20"/>
        </w:rPr>
        <w:t>or </w:t>
      </w:r>
      <w:r>
        <w:rPr>
          <w:sz w:val="20"/>
        </w:rPr>
        <w:t>designee shall notify the student, faculty member, and </w:t>
      </w:r>
      <w:r>
        <w:rPr>
          <w:spacing w:val="-3"/>
          <w:sz w:val="20"/>
        </w:rPr>
        <w:t>chair </w:t>
      </w:r>
      <w:r>
        <w:rPr>
          <w:spacing w:val="-5"/>
          <w:sz w:val="20"/>
        </w:rPr>
        <w:t>or </w:t>
      </w:r>
      <w:r>
        <w:rPr>
          <w:sz w:val="20"/>
        </w:rPr>
        <w:t>graduate program </w:t>
      </w:r>
      <w:r>
        <w:rPr>
          <w:spacing w:val="-3"/>
          <w:sz w:val="20"/>
        </w:rPr>
        <w:t>director </w:t>
      </w:r>
      <w:r>
        <w:rPr>
          <w:sz w:val="20"/>
        </w:rPr>
        <w:t>in writing </w:t>
      </w:r>
      <w:r>
        <w:rPr>
          <w:spacing w:val="-3"/>
          <w:sz w:val="20"/>
        </w:rPr>
        <w:t>within </w:t>
      </w:r>
      <w:r>
        <w:rPr>
          <w:sz w:val="20"/>
        </w:rPr>
        <w:t>one </w:t>
      </w:r>
      <w:r>
        <w:rPr>
          <w:spacing w:val="-4"/>
          <w:sz w:val="20"/>
        </w:rPr>
        <w:t>week </w:t>
      </w:r>
      <w:r>
        <w:rPr>
          <w:sz w:val="20"/>
        </w:rPr>
        <w:t>of receiving the allegation </w:t>
      </w:r>
      <w:r>
        <w:rPr>
          <w:spacing w:val="-3"/>
          <w:sz w:val="20"/>
        </w:rPr>
        <w:t>of </w:t>
      </w:r>
      <w:r>
        <w:rPr>
          <w:sz w:val="20"/>
        </w:rPr>
        <w:t>the disposition </w:t>
      </w:r>
      <w:r>
        <w:rPr>
          <w:spacing w:val="-3"/>
          <w:sz w:val="20"/>
        </w:rPr>
        <w:t>of </w:t>
      </w:r>
      <w:r>
        <w:rPr>
          <w:sz w:val="20"/>
        </w:rPr>
        <w:t>the</w:t>
      </w:r>
      <w:r>
        <w:rPr>
          <w:spacing w:val="5"/>
          <w:sz w:val="20"/>
        </w:rPr>
        <w:t> </w:t>
      </w:r>
      <w:r>
        <w:rPr>
          <w:sz w:val="20"/>
        </w:rPr>
        <w:t>allegation.</w:t>
      </w:r>
    </w:p>
    <w:p>
      <w:pPr>
        <w:pStyle w:val="ListParagraph"/>
        <w:numPr>
          <w:ilvl w:val="1"/>
          <w:numId w:val="15"/>
        </w:numPr>
        <w:tabs>
          <w:tab w:pos="632" w:val="left" w:leader="none"/>
        </w:tabs>
        <w:spacing w:line="249" w:lineRule="auto" w:before="190" w:after="0"/>
        <w:ind w:left="631" w:right="131" w:hanging="216"/>
        <w:jc w:val="left"/>
        <w:rPr>
          <w:sz w:val="20"/>
        </w:rPr>
      </w:pPr>
      <w:r>
        <w:rPr>
          <w:sz w:val="20"/>
        </w:rPr>
        <w:t>If an allegation is not dismissed, the faculty member involved will have two weeks from receipt </w:t>
      </w:r>
      <w:r>
        <w:rPr>
          <w:spacing w:val="-3"/>
          <w:sz w:val="20"/>
        </w:rPr>
        <w:t>of </w:t>
      </w:r>
      <w:r>
        <w:rPr>
          <w:sz w:val="20"/>
        </w:rPr>
        <w:t>the allegation to submit a written response to the dean </w:t>
      </w:r>
      <w:r>
        <w:rPr>
          <w:spacing w:val="-3"/>
          <w:sz w:val="20"/>
        </w:rPr>
        <w:t>of </w:t>
      </w:r>
      <w:r>
        <w:rPr>
          <w:sz w:val="20"/>
        </w:rPr>
        <w:t>the Graduate</w:t>
      </w:r>
      <w:r>
        <w:rPr>
          <w:spacing w:val="-3"/>
          <w:sz w:val="20"/>
        </w:rPr>
        <w:t> </w:t>
      </w:r>
      <w:r>
        <w:rPr>
          <w:sz w:val="20"/>
        </w:rPr>
        <w:t>School.</w:t>
      </w:r>
    </w:p>
    <w:p>
      <w:pPr>
        <w:pStyle w:val="ListParagraph"/>
        <w:numPr>
          <w:ilvl w:val="1"/>
          <w:numId w:val="15"/>
        </w:numPr>
        <w:tabs>
          <w:tab w:pos="632" w:val="left" w:leader="none"/>
        </w:tabs>
        <w:spacing w:line="249" w:lineRule="auto" w:before="186" w:after="0"/>
        <w:ind w:left="631" w:right="51" w:hanging="216"/>
        <w:jc w:val="left"/>
        <w:rPr>
          <w:sz w:val="20"/>
        </w:rPr>
      </w:pPr>
      <w:r>
        <w:rPr>
          <w:sz w:val="20"/>
        </w:rPr>
        <w:t>The dean </w:t>
      </w:r>
      <w:r>
        <w:rPr>
          <w:spacing w:val="-3"/>
          <w:sz w:val="20"/>
        </w:rPr>
        <w:t>of </w:t>
      </w:r>
      <w:r>
        <w:rPr>
          <w:sz w:val="20"/>
        </w:rPr>
        <w:t>the Graduate </w:t>
      </w:r>
      <w:r>
        <w:rPr>
          <w:spacing w:val="-3"/>
          <w:sz w:val="20"/>
        </w:rPr>
        <w:t>School or </w:t>
      </w:r>
      <w:r>
        <w:rPr>
          <w:sz w:val="20"/>
        </w:rPr>
        <w:t>designee shall submit the allegation </w:t>
      </w:r>
      <w:r>
        <w:rPr>
          <w:spacing w:val="-3"/>
          <w:sz w:val="20"/>
        </w:rPr>
        <w:t>of </w:t>
      </w:r>
      <w:r>
        <w:rPr>
          <w:sz w:val="20"/>
        </w:rPr>
        <w:t>the student and the response of the faculty member to a grade hearing committee (GHC) consisting </w:t>
      </w:r>
      <w:r>
        <w:rPr>
          <w:spacing w:val="-3"/>
          <w:sz w:val="20"/>
        </w:rPr>
        <w:t>of </w:t>
      </w:r>
      <w:r>
        <w:rPr>
          <w:sz w:val="20"/>
        </w:rPr>
        <w:t>three members (two faculty, one student) appointed by the dean </w:t>
      </w:r>
      <w:r>
        <w:rPr>
          <w:spacing w:val="-3"/>
          <w:sz w:val="20"/>
        </w:rPr>
        <w:t>of </w:t>
      </w:r>
      <w:r>
        <w:rPr>
          <w:sz w:val="20"/>
        </w:rPr>
        <w:t>the Graduate School. The </w:t>
      </w:r>
      <w:r>
        <w:rPr>
          <w:spacing w:val="-3"/>
          <w:sz w:val="20"/>
        </w:rPr>
        <w:t>GHC </w:t>
      </w:r>
      <w:r>
        <w:rPr>
          <w:sz w:val="20"/>
        </w:rPr>
        <w:t>may decide to hear statements from the student and the faculty member, </w:t>
      </w:r>
      <w:r>
        <w:rPr>
          <w:spacing w:val="-5"/>
          <w:sz w:val="20"/>
        </w:rPr>
        <w:t>or </w:t>
      </w:r>
      <w:r>
        <w:rPr>
          <w:sz w:val="20"/>
        </w:rPr>
        <w:t>it may deliberate </w:t>
      </w:r>
      <w:r>
        <w:rPr>
          <w:spacing w:val="-5"/>
          <w:sz w:val="20"/>
        </w:rPr>
        <w:t>on </w:t>
      </w:r>
      <w:r>
        <w:rPr>
          <w:sz w:val="20"/>
        </w:rPr>
        <w:t>the basis </w:t>
      </w:r>
      <w:r>
        <w:rPr>
          <w:spacing w:val="-3"/>
          <w:sz w:val="20"/>
        </w:rPr>
        <w:t>of </w:t>
      </w:r>
      <w:r>
        <w:rPr>
          <w:sz w:val="20"/>
        </w:rPr>
        <w:t>written materials. </w:t>
      </w:r>
      <w:r>
        <w:rPr>
          <w:spacing w:val="-3"/>
          <w:sz w:val="20"/>
        </w:rPr>
        <w:t>GHC </w:t>
      </w:r>
      <w:r>
        <w:rPr>
          <w:sz w:val="20"/>
        </w:rPr>
        <w:t>review may </w:t>
      </w:r>
      <w:r>
        <w:rPr>
          <w:spacing w:val="-3"/>
          <w:sz w:val="20"/>
        </w:rPr>
        <w:t>be waived </w:t>
      </w:r>
      <w:r>
        <w:rPr>
          <w:sz w:val="20"/>
        </w:rPr>
        <w:t>with the consent </w:t>
      </w:r>
      <w:r>
        <w:rPr>
          <w:spacing w:val="-3"/>
          <w:sz w:val="20"/>
        </w:rPr>
        <w:t>of </w:t>
      </w:r>
      <w:r>
        <w:rPr>
          <w:sz w:val="20"/>
        </w:rPr>
        <w:t>the student and the faculty member, in which case the dean </w:t>
      </w:r>
      <w:r>
        <w:rPr>
          <w:spacing w:val="-3"/>
          <w:sz w:val="20"/>
        </w:rPr>
        <w:t>of </w:t>
      </w:r>
      <w:r>
        <w:rPr>
          <w:sz w:val="20"/>
        </w:rPr>
        <w:t>the Graduate </w:t>
      </w:r>
      <w:r>
        <w:rPr>
          <w:spacing w:val="-2"/>
          <w:sz w:val="20"/>
        </w:rPr>
        <w:t>School </w:t>
      </w:r>
      <w:r>
        <w:rPr>
          <w:spacing w:val="-3"/>
          <w:sz w:val="20"/>
        </w:rPr>
        <w:t>or </w:t>
      </w:r>
      <w:r>
        <w:rPr>
          <w:sz w:val="20"/>
        </w:rPr>
        <w:t>designee will review the matter and make a determination. If the matter is considered by the </w:t>
      </w:r>
      <w:r>
        <w:rPr>
          <w:spacing w:val="-3"/>
          <w:sz w:val="20"/>
        </w:rPr>
        <w:t>GHC, </w:t>
      </w:r>
      <w:r>
        <w:rPr>
          <w:sz w:val="20"/>
        </w:rPr>
        <w:t>following deliberations, the committee will give its recommendations in writing to the dean of the Graduate </w:t>
      </w:r>
      <w:r>
        <w:rPr>
          <w:spacing w:val="-3"/>
          <w:sz w:val="20"/>
        </w:rPr>
        <w:t>School or </w:t>
      </w:r>
      <w:r>
        <w:rPr>
          <w:sz w:val="20"/>
        </w:rPr>
        <w:t>designee. If the </w:t>
      </w:r>
      <w:r>
        <w:rPr>
          <w:spacing w:val="-3"/>
          <w:sz w:val="20"/>
        </w:rPr>
        <w:t>GHC </w:t>
      </w:r>
      <w:r>
        <w:rPr>
          <w:sz w:val="20"/>
        </w:rPr>
        <w:t>finds arbitrary </w:t>
      </w:r>
      <w:r>
        <w:rPr>
          <w:spacing w:val="-3"/>
          <w:sz w:val="20"/>
        </w:rPr>
        <w:t>or </w:t>
      </w:r>
      <w:r>
        <w:rPr>
          <w:sz w:val="20"/>
        </w:rPr>
        <w:t>capricious grading did occur, its report should include recommendations </w:t>
      </w:r>
      <w:r>
        <w:rPr>
          <w:spacing w:val="-4"/>
          <w:sz w:val="20"/>
        </w:rPr>
        <w:t>for </w:t>
      </w:r>
      <w:r>
        <w:rPr>
          <w:sz w:val="20"/>
        </w:rPr>
        <w:t>action, specifying whom they recommend </w:t>
      </w:r>
      <w:r>
        <w:rPr>
          <w:spacing w:val="-3"/>
          <w:sz w:val="20"/>
        </w:rPr>
        <w:t>be </w:t>
      </w:r>
      <w:r>
        <w:rPr>
          <w:sz w:val="20"/>
        </w:rPr>
        <w:t>responsible </w:t>
      </w:r>
      <w:r>
        <w:rPr>
          <w:spacing w:val="-4"/>
          <w:sz w:val="20"/>
        </w:rPr>
        <w:t>for </w:t>
      </w:r>
      <w:r>
        <w:rPr>
          <w:sz w:val="20"/>
        </w:rPr>
        <w:t>those remedy</w:t>
      </w:r>
      <w:r>
        <w:rPr>
          <w:spacing w:val="-8"/>
          <w:sz w:val="20"/>
        </w:rPr>
        <w:t> </w:t>
      </w:r>
      <w:r>
        <w:rPr>
          <w:sz w:val="20"/>
        </w:rPr>
        <w:t>actions.</w:t>
      </w:r>
    </w:p>
    <w:p>
      <w:pPr>
        <w:pStyle w:val="ListParagraph"/>
        <w:numPr>
          <w:ilvl w:val="1"/>
          <w:numId w:val="15"/>
        </w:numPr>
        <w:tabs>
          <w:tab w:pos="632" w:val="left" w:leader="none"/>
        </w:tabs>
        <w:spacing w:line="249" w:lineRule="auto" w:before="191" w:after="0"/>
        <w:ind w:left="631" w:right="58" w:hanging="216"/>
        <w:jc w:val="left"/>
        <w:rPr>
          <w:sz w:val="20"/>
        </w:rPr>
      </w:pPr>
      <w:r>
        <w:rPr>
          <w:sz w:val="20"/>
        </w:rPr>
        <w:t>The dean </w:t>
      </w:r>
      <w:r>
        <w:rPr>
          <w:spacing w:val="-3"/>
          <w:sz w:val="20"/>
        </w:rPr>
        <w:t>of </w:t>
      </w:r>
      <w:r>
        <w:rPr>
          <w:sz w:val="20"/>
        </w:rPr>
        <w:t>the Graduate </w:t>
      </w:r>
      <w:r>
        <w:rPr>
          <w:spacing w:val="-3"/>
          <w:sz w:val="20"/>
        </w:rPr>
        <w:t>School or </w:t>
      </w:r>
      <w:r>
        <w:rPr>
          <w:sz w:val="20"/>
        </w:rPr>
        <w:t>designee will receive the </w:t>
      </w:r>
      <w:r>
        <w:rPr>
          <w:spacing w:val="-3"/>
          <w:sz w:val="20"/>
        </w:rPr>
        <w:t>GHC </w:t>
      </w:r>
      <w:r>
        <w:rPr>
          <w:sz w:val="20"/>
        </w:rPr>
        <w:t>recommendation and make a decision. The decision will </w:t>
      </w:r>
      <w:r>
        <w:rPr>
          <w:spacing w:val="-3"/>
          <w:sz w:val="20"/>
        </w:rPr>
        <w:t>be </w:t>
      </w:r>
      <w:r>
        <w:rPr>
          <w:sz w:val="20"/>
        </w:rPr>
        <w:t>forwarded in writing</w:t>
      </w:r>
      <w:r>
        <w:rPr>
          <w:spacing w:val="-10"/>
          <w:sz w:val="20"/>
        </w:rPr>
        <w:t> </w:t>
      </w:r>
      <w:r>
        <w:rPr>
          <w:sz w:val="20"/>
        </w:rPr>
        <w:t>to</w:t>
      </w:r>
    </w:p>
    <w:p>
      <w:pPr>
        <w:pStyle w:val="BodyText"/>
        <w:spacing w:line="249" w:lineRule="auto" w:before="95"/>
        <w:ind w:left="847" w:right="668"/>
      </w:pPr>
      <w:r>
        <w:rPr/>
        <w:br w:type="column"/>
      </w:r>
      <w:r>
        <w:rPr/>
        <w:t>the student, faculty member, and program director within two weeks of receiving the GHC recommendation or within two weeks of the waiver of GHC review.</w:t>
      </w:r>
    </w:p>
    <w:p>
      <w:pPr>
        <w:pStyle w:val="Heading4"/>
        <w:spacing w:before="167"/>
        <w:ind w:left="415"/>
      </w:pPr>
      <w:r>
        <w:rPr/>
        <w:t>Appeals</w:t>
      </w:r>
    </w:p>
    <w:p>
      <w:pPr>
        <w:pStyle w:val="ListParagraph"/>
        <w:numPr>
          <w:ilvl w:val="2"/>
          <w:numId w:val="15"/>
        </w:numPr>
        <w:tabs>
          <w:tab w:pos="848" w:val="left" w:leader="none"/>
        </w:tabs>
        <w:spacing w:line="249" w:lineRule="auto" w:before="188" w:after="0"/>
        <w:ind w:left="847" w:right="760" w:hanging="216"/>
        <w:jc w:val="left"/>
        <w:rPr>
          <w:sz w:val="20"/>
        </w:rPr>
      </w:pPr>
      <w:r>
        <w:rPr>
          <w:sz w:val="20"/>
        </w:rPr>
        <w:t>The student, faculty member, </w:t>
      </w:r>
      <w:r>
        <w:rPr>
          <w:spacing w:val="-5"/>
          <w:sz w:val="20"/>
        </w:rPr>
        <w:t>or </w:t>
      </w:r>
      <w:r>
        <w:rPr>
          <w:sz w:val="20"/>
        </w:rPr>
        <w:t>program director may appeal to the dean </w:t>
      </w:r>
      <w:r>
        <w:rPr>
          <w:spacing w:val="-3"/>
          <w:sz w:val="20"/>
        </w:rPr>
        <w:t>of </w:t>
      </w:r>
      <w:r>
        <w:rPr>
          <w:sz w:val="20"/>
        </w:rPr>
        <w:t>the Graduate </w:t>
      </w:r>
      <w:r>
        <w:rPr>
          <w:spacing w:val="-3"/>
          <w:sz w:val="20"/>
        </w:rPr>
        <w:t>School </w:t>
      </w:r>
      <w:r>
        <w:rPr>
          <w:sz w:val="20"/>
        </w:rPr>
        <w:t>for reconsideration </w:t>
      </w:r>
      <w:r>
        <w:rPr>
          <w:spacing w:val="-3"/>
          <w:sz w:val="20"/>
        </w:rPr>
        <w:t>of </w:t>
      </w:r>
      <w:r>
        <w:rPr>
          <w:sz w:val="20"/>
        </w:rPr>
        <w:t>the decision by submitting an appeal in writing to the dean </w:t>
      </w:r>
      <w:r>
        <w:rPr>
          <w:spacing w:val="-3"/>
          <w:sz w:val="20"/>
        </w:rPr>
        <w:t>of </w:t>
      </w:r>
      <w:r>
        <w:rPr>
          <w:sz w:val="20"/>
        </w:rPr>
        <w:t>the Graduate </w:t>
      </w:r>
      <w:r>
        <w:rPr>
          <w:spacing w:val="-2"/>
          <w:sz w:val="20"/>
        </w:rPr>
        <w:t>School </w:t>
      </w:r>
      <w:r>
        <w:rPr>
          <w:sz w:val="20"/>
        </w:rPr>
        <w:t>within 10 </w:t>
      </w:r>
      <w:r>
        <w:rPr>
          <w:spacing w:val="-4"/>
          <w:sz w:val="20"/>
        </w:rPr>
        <w:t>days </w:t>
      </w:r>
      <w:r>
        <w:rPr>
          <w:spacing w:val="-3"/>
          <w:sz w:val="20"/>
        </w:rPr>
        <w:t>of </w:t>
      </w:r>
      <w:r>
        <w:rPr>
          <w:sz w:val="20"/>
        </w:rPr>
        <w:t>receipt </w:t>
      </w:r>
      <w:r>
        <w:rPr>
          <w:spacing w:val="-3"/>
          <w:sz w:val="20"/>
        </w:rPr>
        <w:t>of </w:t>
      </w:r>
      <w:r>
        <w:rPr>
          <w:sz w:val="20"/>
        </w:rPr>
        <w:t>a</w:t>
      </w:r>
      <w:r>
        <w:rPr>
          <w:spacing w:val="20"/>
          <w:sz w:val="20"/>
        </w:rPr>
        <w:t> </w:t>
      </w:r>
      <w:r>
        <w:rPr>
          <w:sz w:val="20"/>
        </w:rPr>
        <w:t>decision.</w:t>
      </w:r>
    </w:p>
    <w:p>
      <w:pPr>
        <w:pStyle w:val="ListParagraph"/>
        <w:numPr>
          <w:ilvl w:val="2"/>
          <w:numId w:val="15"/>
        </w:numPr>
        <w:tabs>
          <w:tab w:pos="848" w:val="left" w:leader="none"/>
        </w:tabs>
        <w:spacing w:line="249" w:lineRule="auto" w:before="181" w:after="0"/>
        <w:ind w:left="847" w:right="729" w:hanging="216"/>
        <w:jc w:val="left"/>
        <w:rPr>
          <w:sz w:val="20"/>
        </w:rPr>
      </w:pPr>
      <w:r>
        <w:rPr>
          <w:sz w:val="20"/>
        </w:rPr>
        <w:t>The dean </w:t>
      </w:r>
      <w:r>
        <w:rPr>
          <w:spacing w:val="-3"/>
          <w:sz w:val="20"/>
        </w:rPr>
        <w:t>of </w:t>
      </w:r>
      <w:r>
        <w:rPr>
          <w:sz w:val="20"/>
        </w:rPr>
        <w:t>the Graduate School’s decision </w:t>
      </w:r>
      <w:r>
        <w:rPr>
          <w:spacing w:val="-3"/>
          <w:sz w:val="20"/>
        </w:rPr>
        <w:t>with </w:t>
      </w:r>
      <w:r>
        <w:rPr>
          <w:sz w:val="20"/>
        </w:rPr>
        <w:t>respect to an appeal shall </w:t>
      </w:r>
      <w:r>
        <w:rPr>
          <w:spacing w:val="-3"/>
          <w:sz w:val="20"/>
        </w:rPr>
        <w:t>be </w:t>
      </w:r>
      <w:r>
        <w:rPr>
          <w:sz w:val="20"/>
        </w:rPr>
        <w:t>final. The dean will endeavor to make a decision </w:t>
      </w:r>
      <w:r>
        <w:rPr>
          <w:spacing w:val="-5"/>
          <w:sz w:val="20"/>
        </w:rPr>
        <w:t>on </w:t>
      </w:r>
      <w:r>
        <w:rPr>
          <w:sz w:val="20"/>
        </w:rPr>
        <w:t>the appeal within 10 </w:t>
      </w:r>
      <w:r>
        <w:rPr>
          <w:spacing w:val="-3"/>
          <w:sz w:val="20"/>
        </w:rPr>
        <w:t>days </w:t>
      </w:r>
      <w:r>
        <w:rPr>
          <w:sz w:val="20"/>
        </w:rPr>
        <w:t>after its receipt. The dean’s decision will </w:t>
      </w:r>
      <w:r>
        <w:rPr>
          <w:spacing w:val="-3"/>
          <w:sz w:val="20"/>
        </w:rPr>
        <w:t>be </w:t>
      </w:r>
      <w:r>
        <w:rPr>
          <w:sz w:val="20"/>
        </w:rPr>
        <w:t>communicated in writing to the student, faculty member, and program</w:t>
      </w:r>
      <w:r>
        <w:rPr>
          <w:spacing w:val="-1"/>
          <w:sz w:val="20"/>
        </w:rPr>
        <w:t> </w:t>
      </w:r>
      <w:r>
        <w:rPr>
          <w:sz w:val="20"/>
        </w:rPr>
        <w:t>director.</w:t>
      </w:r>
    </w:p>
    <w:p>
      <w:pPr>
        <w:spacing w:line="249" w:lineRule="auto" w:before="187"/>
        <w:ind w:left="415" w:right="593" w:firstLine="0"/>
        <w:jc w:val="left"/>
        <w:rPr>
          <w:i/>
          <w:sz w:val="20"/>
        </w:rPr>
      </w:pPr>
      <w:r>
        <w:rPr>
          <w:i/>
          <w:sz w:val="20"/>
        </w:rPr>
        <w:t>(Approved by the Graduate Council, Jan. 18, 1995; revised </w:t>
      </w:r>
      <w:r>
        <w:rPr>
          <w:i/>
          <w:sz w:val="20"/>
        </w:rPr>
        <w:t>by a University </w:t>
      </w:r>
      <w:r>
        <w:rPr>
          <w:i/>
          <w:spacing w:val="-3"/>
          <w:sz w:val="20"/>
        </w:rPr>
        <w:t>of </w:t>
      </w:r>
      <w:r>
        <w:rPr>
          <w:i/>
          <w:sz w:val="20"/>
        </w:rPr>
        <w:t>Maryland, Baltimore committee, February 1995; approved in revised form </w:t>
      </w:r>
      <w:r>
        <w:rPr>
          <w:i/>
          <w:spacing w:val="-3"/>
          <w:sz w:val="20"/>
        </w:rPr>
        <w:t>by </w:t>
      </w:r>
      <w:r>
        <w:rPr>
          <w:i/>
          <w:sz w:val="20"/>
        </w:rPr>
        <w:t>the Graduate Council, April 20, 1995; revised July</w:t>
      </w:r>
      <w:r>
        <w:rPr>
          <w:i/>
          <w:spacing w:val="1"/>
          <w:sz w:val="20"/>
        </w:rPr>
        <w:t> </w:t>
      </w:r>
      <w:r>
        <w:rPr>
          <w:i/>
          <w:sz w:val="20"/>
        </w:rPr>
        <w:t>2003)</w:t>
      </w:r>
    </w:p>
    <w:p>
      <w:pPr>
        <w:pStyle w:val="BodyText"/>
        <w:spacing w:line="249" w:lineRule="auto" w:before="181"/>
        <w:ind w:left="415" w:right="898"/>
        <w:jc w:val="both"/>
      </w:pPr>
      <w:r>
        <w:rPr/>
        <w:t>*Policies, guidelines, and standards related to academic progression are outlined in the Academic Standards and Degree Requirements section of this catalog.</w:t>
      </w:r>
    </w:p>
    <w:p>
      <w:pPr>
        <w:pStyle w:val="Heading4"/>
        <w:spacing w:before="167"/>
        <w:ind w:left="415"/>
      </w:pPr>
      <w:r>
        <w:rPr/>
        <w:t>Student Academic Misconduct</w:t>
      </w:r>
    </w:p>
    <w:p>
      <w:pPr>
        <w:pStyle w:val="BodyText"/>
        <w:spacing w:line="249" w:lineRule="auto" w:before="183"/>
        <w:ind w:left="415" w:right="632"/>
      </w:pPr>
      <w:r>
        <w:rPr/>
        <w:t>This document sets out the basic University of Maryland Graduate School, Baltimore (UMGSB) policy and procedures for dealing with various forms of student academic misconduct primarily in coursework. Such misconduct involves significant breaches of integrity that may take numerous forms such as, but not limited to, those listed below:</w:t>
      </w:r>
    </w:p>
    <w:p>
      <w:pPr>
        <w:pStyle w:val="ListParagraph"/>
        <w:numPr>
          <w:ilvl w:val="0"/>
          <w:numId w:val="17"/>
        </w:numPr>
        <w:tabs>
          <w:tab w:pos="848" w:val="left" w:leader="none"/>
        </w:tabs>
        <w:spacing w:line="249" w:lineRule="auto" w:before="188" w:after="0"/>
        <w:ind w:left="847" w:right="610" w:hanging="216"/>
        <w:jc w:val="left"/>
        <w:rPr>
          <w:sz w:val="20"/>
        </w:rPr>
      </w:pPr>
      <w:r>
        <w:rPr>
          <w:sz w:val="20"/>
        </w:rPr>
        <w:t>Fabrication: The intentional and unauthorized generation </w:t>
      </w:r>
      <w:r>
        <w:rPr>
          <w:spacing w:val="-3"/>
          <w:sz w:val="20"/>
        </w:rPr>
        <w:t>or </w:t>
      </w:r>
      <w:r>
        <w:rPr>
          <w:sz w:val="20"/>
        </w:rPr>
        <w:t>altering </w:t>
      </w:r>
      <w:r>
        <w:rPr>
          <w:spacing w:val="-3"/>
          <w:sz w:val="20"/>
        </w:rPr>
        <w:t>of </w:t>
      </w:r>
      <w:r>
        <w:rPr>
          <w:sz w:val="20"/>
        </w:rPr>
        <w:t>data, information, citation, </w:t>
      </w:r>
      <w:r>
        <w:rPr>
          <w:spacing w:val="-5"/>
          <w:sz w:val="20"/>
        </w:rPr>
        <w:t>or </w:t>
      </w:r>
      <w:r>
        <w:rPr>
          <w:sz w:val="20"/>
        </w:rPr>
        <w:t>result in an academic</w:t>
      </w:r>
      <w:r>
        <w:rPr>
          <w:spacing w:val="-4"/>
          <w:sz w:val="20"/>
        </w:rPr>
        <w:t> </w:t>
      </w:r>
      <w:r>
        <w:rPr>
          <w:sz w:val="20"/>
        </w:rPr>
        <w:t>exercise.</w:t>
      </w:r>
    </w:p>
    <w:p>
      <w:pPr>
        <w:pStyle w:val="ListParagraph"/>
        <w:numPr>
          <w:ilvl w:val="0"/>
          <w:numId w:val="17"/>
        </w:numPr>
        <w:tabs>
          <w:tab w:pos="848" w:val="left" w:leader="none"/>
        </w:tabs>
        <w:spacing w:line="249" w:lineRule="auto" w:before="180" w:after="0"/>
        <w:ind w:left="847" w:right="874" w:hanging="216"/>
        <w:jc w:val="left"/>
        <w:rPr>
          <w:sz w:val="20"/>
        </w:rPr>
      </w:pPr>
      <w:r>
        <w:rPr>
          <w:sz w:val="20"/>
        </w:rPr>
        <w:t>Falsification: The intentional and unauthorized altering </w:t>
      </w:r>
      <w:r>
        <w:rPr>
          <w:spacing w:val="-3"/>
          <w:sz w:val="20"/>
        </w:rPr>
        <w:t>of </w:t>
      </w:r>
      <w:r>
        <w:rPr>
          <w:sz w:val="20"/>
        </w:rPr>
        <w:t>any information, citation, </w:t>
      </w:r>
      <w:r>
        <w:rPr>
          <w:spacing w:val="-5"/>
          <w:sz w:val="20"/>
        </w:rPr>
        <w:t>or </w:t>
      </w:r>
      <w:r>
        <w:rPr>
          <w:sz w:val="20"/>
        </w:rPr>
        <w:t>result in an academic</w:t>
      </w:r>
      <w:r>
        <w:rPr>
          <w:spacing w:val="-2"/>
          <w:sz w:val="20"/>
        </w:rPr>
        <w:t> </w:t>
      </w:r>
      <w:r>
        <w:rPr>
          <w:sz w:val="20"/>
        </w:rPr>
        <w:t>exercise.</w:t>
      </w:r>
    </w:p>
    <w:p>
      <w:pPr>
        <w:pStyle w:val="ListParagraph"/>
        <w:numPr>
          <w:ilvl w:val="0"/>
          <w:numId w:val="17"/>
        </w:numPr>
        <w:tabs>
          <w:tab w:pos="848" w:val="left" w:leader="none"/>
        </w:tabs>
        <w:spacing w:line="249" w:lineRule="auto" w:before="184" w:after="0"/>
        <w:ind w:left="847" w:right="615" w:hanging="216"/>
        <w:jc w:val="left"/>
        <w:rPr>
          <w:sz w:val="20"/>
        </w:rPr>
      </w:pPr>
      <w:r>
        <w:rPr>
          <w:sz w:val="20"/>
        </w:rPr>
        <w:t>Plagiarism: The intentional </w:t>
      </w:r>
      <w:r>
        <w:rPr>
          <w:spacing w:val="-3"/>
          <w:sz w:val="20"/>
        </w:rPr>
        <w:t>or </w:t>
      </w:r>
      <w:r>
        <w:rPr>
          <w:sz w:val="20"/>
        </w:rPr>
        <w:t>knowing representation of the words, ideas, </w:t>
      </w:r>
      <w:r>
        <w:rPr>
          <w:spacing w:val="-5"/>
          <w:sz w:val="20"/>
        </w:rPr>
        <w:t>or </w:t>
      </w:r>
      <w:r>
        <w:rPr>
          <w:sz w:val="20"/>
        </w:rPr>
        <w:t>work </w:t>
      </w:r>
      <w:r>
        <w:rPr>
          <w:spacing w:val="-3"/>
          <w:sz w:val="20"/>
        </w:rPr>
        <w:t>of </w:t>
      </w:r>
      <w:r>
        <w:rPr>
          <w:sz w:val="20"/>
        </w:rPr>
        <w:t>others as one’s </w:t>
      </w:r>
      <w:r>
        <w:rPr>
          <w:spacing w:val="-4"/>
          <w:sz w:val="20"/>
        </w:rPr>
        <w:t>own </w:t>
      </w:r>
      <w:r>
        <w:rPr>
          <w:sz w:val="20"/>
        </w:rPr>
        <w:t>in an academic exercise — the appropriation </w:t>
      </w:r>
      <w:r>
        <w:rPr>
          <w:spacing w:val="-3"/>
          <w:sz w:val="20"/>
        </w:rPr>
        <w:t>of </w:t>
      </w:r>
      <w:r>
        <w:rPr>
          <w:sz w:val="20"/>
        </w:rPr>
        <w:t>the language, ideas, </w:t>
      </w:r>
      <w:r>
        <w:rPr>
          <w:spacing w:val="-5"/>
          <w:sz w:val="20"/>
        </w:rPr>
        <w:t>or </w:t>
      </w:r>
      <w:r>
        <w:rPr>
          <w:sz w:val="20"/>
        </w:rPr>
        <w:t>thoughts </w:t>
      </w:r>
      <w:r>
        <w:rPr>
          <w:spacing w:val="-3"/>
          <w:sz w:val="20"/>
        </w:rPr>
        <w:t>of </w:t>
      </w:r>
      <w:r>
        <w:rPr>
          <w:sz w:val="20"/>
        </w:rPr>
        <w:t>another and representation </w:t>
      </w:r>
      <w:r>
        <w:rPr>
          <w:spacing w:val="-3"/>
          <w:sz w:val="20"/>
        </w:rPr>
        <w:t>of </w:t>
      </w:r>
      <w:r>
        <w:rPr>
          <w:sz w:val="20"/>
        </w:rPr>
        <w:t>them as one’s </w:t>
      </w:r>
      <w:r>
        <w:rPr>
          <w:spacing w:val="-4"/>
          <w:sz w:val="20"/>
        </w:rPr>
        <w:t>own </w:t>
      </w:r>
      <w:r>
        <w:rPr>
          <w:sz w:val="20"/>
        </w:rPr>
        <w:t>original</w:t>
      </w:r>
      <w:r>
        <w:rPr>
          <w:spacing w:val="4"/>
          <w:sz w:val="20"/>
        </w:rPr>
        <w:t> </w:t>
      </w:r>
      <w:r>
        <w:rPr>
          <w:sz w:val="20"/>
        </w:rPr>
        <w:t>work.</w:t>
      </w:r>
    </w:p>
    <w:p>
      <w:pPr>
        <w:pStyle w:val="ListParagraph"/>
        <w:numPr>
          <w:ilvl w:val="0"/>
          <w:numId w:val="17"/>
        </w:numPr>
        <w:tabs>
          <w:tab w:pos="848" w:val="left" w:leader="none"/>
        </w:tabs>
        <w:spacing w:line="249" w:lineRule="auto" w:before="182" w:after="0"/>
        <w:ind w:left="847" w:right="1186" w:hanging="216"/>
        <w:jc w:val="left"/>
        <w:rPr>
          <w:sz w:val="20"/>
        </w:rPr>
      </w:pPr>
      <w:r>
        <w:rPr>
          <w:sz w:val="20"/>
        </w:rPr>
        <w:t>Cheating: The intentional </w:t>
      </w:r>
      <w:r>
        <w:rPr>
          <w:spacing w:val="-3"/>
          <w:sz w:val="20"/>
        </w:rPr>
        <w:t>or </w:t>
      </w:r>
      <w:r>
        <w:rPr>
          <w:sz w:val="20"/>
        </w:rPr>
        <w:t>attempted use </w:t>
      </w:r>
      <w:r>
        <w:rPr>
          <w:spacing w:val="-3"/>
          <w:sz w:val="20"/>
        </w:rPr>
        <w:t>of </w:t>
      </w:r>
      <w:r>
        <w:rPr>
          <w:sz w:val="20"/>
        </w:rPr>
        <w:t>unauthorized material in an academic</w:t>
      </w:r>
      <w:r>
        <w:rPr>
          <w:spacing w:val="-18"/>
          <w:sz w:val="20"/>
        </w:rPr>
        <w:t> </w:t>
      </w:r>
      <w:r>
        <w:rPr>
          <w:sz w:val="20"/>
        </w:rPr>
        <w:t>exercise.</w:t>
      </w:r>
    </w:p>
    <w:p>
      <w:pPr>
        <w:spacing w:after="0" w:line="249" w:lineRule="auto"/>
        <w:jc w:val="left"/>
        <w:rPr>
          <w:sz w:val="20"/>
        </w:rPr>
        <w:sectPr>
          <w:headerReference w:type="even" r:id="rId141"/>
          <w:headerReference w:type="default" r:id="rId142"/>
          <w:pgSz w:w="12240" w:h="15840"/>
          <w:pgMar w:header="746" w:footer="0" w:top="1320" w:bottom="280" w:left="880" w:right="300"/>
          <w:cols w:num="2" w:equalWidth="0">
            <w:col w:w="5005" w:space="266"/>
            <w:col w:w="5789"/>
          </w:cols>
        </w:sectPr>
      </w:pPr>
    </w:p>
    <w:p>
      <w:pPr>
        <w:pStyle w:val="ListParagraph"/>
        <w:numPr>
          <w:ilvl w:val="0"/>
          <w:numId w:val="18"/>
        </w:numPr>
        <w:tabs>
          <w:tab w:pos="632" w:val="left" w:leader="none"/>
        </w:tabs>
        <w:spacing w:line="249" w:lineRule="auto" w:before="100" w:after="0"/>
        <w:ind w:left="631" w:right="162" w:hanging="215"/>
        <w:jc w:val="left"/>
        <w:rPr>
          <w:sz w:val="20"/>
        </w:rPr>
      </w:pPr>
      <w:r>
        <w:rPr>
          <w:sz w:val="20"/>
        </w:rPr>
        <w:t>Improprieties </w:t>
      </w:r>
      <w:r>
        <w:rPr>
          <w:spacing w:val="-3"/>
          <w:sz w:val="20"/>
        </w:rPr>
        <w:t>of </w:t>
      </w:r>
      <w:r>
        <w:rPr>
          <w:sz w:val="20"/>
        </w:rPr>
        <w:t>authorship: Improper assignment </w:t>
      </w:r>
      <w:r>
        <w:rPr>
          <w:spacing w:val="-3"/>
          <w:sz w:val="20"/>
        </w:rPr>
        <w:t>of </w:t>
      </w:r>
      <w:r>
        <w:rPr>
          <w:sz w:val="20"/>
        </w:rPr>
        <w:t>credit </w:t>
      </w:r>
      <w:r>
        <w:rPr>
          <w:spacing w:val="-3"/>
          <w:sz w:val="20"/>
        </w:rPr>
        <w:t>or </w:t>
      </w:r>
      <w:r>
        <w:rPr>
          <w:sz w:val="20"/>
        </w:rPr>
        <w:t>misrepresentation </w:t>
      </w:r>
      <w:r>
        <w:rPr>
          <w:spacing w:val="-3"/>
          <w:sz w:val="20"/>
        </w:rPr>
        <w:t>of </w:t>
      </w:r>
      <w:r>
        <w:rPr>
          <w:sz w:val="20"/>
        </w:rPr>
        <w:t>material as original without </w:t>
      </w:r>
      <w:r>
        <w:rPr>
          <w:spacing w:val="-3"/>
          <w:sz w:val="20"/>
        </w:rPr>
        <w:t>proper </w:t>
      </w:r>
      <w:r>
        <w:rPr>
          <w:sz w:val="20"/>
        </w:rPr>
        <w:t>referencing </w:t>
      </w:r>
      <w:r>
        <w:rPr>
          <w:spacing w:val="-3"/>
          <w:sz w:val="20"/>
        </w:rPr>
        <w:t>of </w:t>
      </w:r>
      <w:r>
        <w:rPr>
          <w:sz w:val="20"/>
        </w:rPr>
        <w:t>the original</w:t>
      </w:r>
      <w:r>
        <w:rPr>
          <w:spacing w:val="5"/>
          <w:sz w:val="20"/>
        </w:rPr>
        <w:t> </w:t>
      </w:r>
      <w:r>
        <w:rPr>
          <w:sz w:val="20"/>
        </w:rPr>
        <w:t>authors.</w:t>
      </w:r>
    </w:p>
    <w:p>
      <w:pPr>
        <w:pStyle w:val="ListParagraph"/>
        <w:numPr>
          <w:ilvl w:val="0"/>
          <w:numId w:val="18"/>
        </w:numPr>
        <w:tabs>
          <w:tab w:pos="632" w:val="left" w:leader="none"/>
        </w:tabs>
        <w:spacing w:line="249" w:lineRule="auto" w:before="180" w:after="0"/>
        <w:ind w:left="631" w:right="47" w:hanging="215"/>
        <w:jc w:val="left"/>
        <w:rPr>
          <w:sz w:val="20"/>
        </w:rPr>
      </w:pPr>
      <w:r>
        <w:rPr>
          <w:sz w:val="20"/>
        </w:rPr>
        <w:t>Facilitating academic </w:t>
      </w:r>
      <w:r>
        <w:rPr>
          <w:spacing w:val="-3"/>
          <w:sz w:val="20"/>
        </w:rPr>
        <w:t>dishonesty: </w:t>
      </w:r>
      <w:r>
        <w:rPr>
          <w:sz w:val="20"/>
        </w:rPr>
        <w:t>The intentional </w:t>
      </w:r>
      <w:r>
        <w:rPr>
          <w:spacing w:val="-3"/>
          <w:sz w:val="20"/>
        </w:rPr>
        <w:t>or </w:t>
      </w:r>
      <w:r>
        <w:rPr>
          <w:sz w:val="20"/>
        </w:rPr>
        <w:t>knowing assistance </w:t>
      </w:r>
      <w:r>
        <w:rPr>
          <w:spacing w:val="-3"/>
          <w:sz w:val="20"/>
        </w:rPr>
        <w:t>or </w:t>
      </w:r>
      <w:r>
        <w:rPr>
          <w:sz w:val="20"/>
        </w:rPr>
        <w:t>attempted assistance </w:t>
      </w:r>
      <w:r>
        <w:rPr>
          <w:spacing w:val="-3"/>
          <w:sz w:val="20"/>
        </w:rPr>
        <w:t>of </w:t>
      </w:r>
      <w:r>
        <w:rPr>
          <w:sz w:val="20"/>
        </w:rPr>
        <w:t>another student to commit an act </w:t>
      </w:r>
      <w:r>
        <w:rPr>
          <w:spacing w:val="-3"/>
          <w:sz w:val="20"/>
        </w:rPr>
        <w:t>of </w:t>
      </w:r>
      <w:r>
        <w:rPr>
          <w:sz w:val="20"/>
        </w:rPr>
        <w:t>academic</w:t>
      </w:r>
      <w:r>
        <w:rPr>
          <w:spacing w:val="-9"/>
          <w:sz w:val="20"/>
        </w:rPr>
        <w:t> </w:t>
      </w:r>
      <w:r>
        <w:rPr>
          <w:sz w:val="20"/>
        </w:rPr>
        <w:t>misconduct.</w:t>
      </w:r>
    </w:p>
    <w:p>
      <w:pPr>
        <w:spacing w:line="249" w:lineRule="auto" w:before="184"/>
        <w:ind w:left="199" w:right="245" w:firstLine="0"/>
        <w:jc w:val="left"/>
        <w:rPr>
          <w:i/>
          <w:sz w:val="20"/>
        </w:rPr>
      </w:pPr>
      <w:r>
        <w:rPr>
          <w:sz w:val="20"/>
        </w:rPr>
        <w:t>Student misconduct in research and scholarly work falls under the purview of the University of Maryland, Baltimore County document </w:t>
      </w:r>
      <w:r>
        <w:rPr>
          <w:i/>
          <w:sz w:val="20"/>
        </w:rPr>
        <w:t>Policy and Procedures </w:t>
      </w:r>
      <w:r>
        <w:rPr>
          <w:i/>
          <w:sz w:val="20"/>
        </w:rPr>
        <w:t>Concerning Misconduct in Scientific Work </w:t>
      </w:r>
      <w:r>
        <w:rPr>
          <w:sz w:val="20"/>
        </w:rPr>
        <w:t>or the University of Maryland, Baltimore document </w:t>
      </w:r>
      <w:r>
        <w:rPr>
          <w:i/>
          <w:sz w:val="20"/>
        </w:rPr>
        <w:t>Policy and </w:t>
      </w:r>
      <w:r>
        <w:rPr>
          <w:i/>
          <w:sz w:val="20"/>
        </w:rPr>
        <w:t>Procedures Concerning Misconduct in Scholarly Work.</w:t>
      </w:r>
    </w:p>
    <w:p>
      <w:pPr>
        <w:pStyle w:val="BodyText"/>
        <w:spacing w:line="249" w:lineRule="auto" w:before="182"/>
        <w:ind w:left="199" w:right="184"/>
      </w:pPr>
      <w:r>
        <w:rPr/>
        <w:t>All graduate students of the University of Maryland Graduate School, Baltimore (UMGSB) are subject to the standards of academic integrity required by the UMGSB and standards of academic integrity specific to a graduate program approved by the Graduate School. For example, the master’s in science nursing programs have additional standards. Students also are subject to the possible penalties for academic misconduct described in this document. Students also must observe any additional standards announced by faculty members for particular courses.</w:t>
      </w:r>
    </w:p>
    <w:p>
      <w:pPr>
        <w:pStyle w:val="BodyText"/>
        <w:spacing w:line="249" w:lineRule="auto" w:before="191"/>
        <w:ind w:left="199" w:right="38"/>
      </w:pPr>
      <w:r>
        <w:rPr/>
        <w:t>Each faculty member is responsible </w:t>
      </w:r>
      <w:r>
        <w:rPr>
          <w:spacing w:val="-4"/>
        </w:rPr>
        <w:t>for </w:t>
      </w:r>
      <w:r>
        <w:rPr/>
        <w:t>maintaining academic integrity in their courses and has the authority, using </w:t>
      </w:r>
      <w:r>
        <w:rPr>
          <w:spacing w:val="-3"/>
        </w:rPr>
        <w:t>proper </w:t>
      </w:r>
      <w:r>
        <w:rPr/>
        <w:t>procedures and reasonable judgment, to determine whether a student has engaged in academic misconduct. The faculty member must decide whether the misconduct involves a less serious infraction susceptible to resolution by informal methods </w:t>
      </w:r>
      <w:r>
        <w:rPr>
          <w:spacing w:val="-3"/>
        </w:rPr>
        <w:t>or </w:t>
      </w:r>
      <w:r>
        <w:rPr/>
        <w:t>a more serious infraction requiring severe and stigmatizing penalty, such as suspension </w:t>
      </w:r>
      <w:r>
        <w:rPr>
          <w:spacing w:val="-3"/>
        </w:rPr>
        <w:t>or </w:t>
      </w:r>
      <w:r>
        <w:rPr/>
        <w:t>expulsion. Once the faculty member has made an initial determination </w:t>
      </w:r>
      <w:r>
        <w:rPr>
          <w:spacing w:val="-3"/>
        </w:rPr>
        <w:t>of </w:t>
      </w:r>
      <w:r>
        <w:rPr/>
        <w:t>academic misconduct, they shall initiate the process explained as </w:t>
      </w:r>
      <w:r>
        <w:rPr>
          <w:spacing w:val="-3"/>
        </w:rPr>
        <w:t>follows. </w:t>
      </w:r>
      <w:r>
        <w:rPr/>
        <w:t>The faculty member should make initial determination </w:t>
      </w:r>
      <w:r>
        <w:rPr>
          <w:spacing w:val="-3"/>
        </w:rPr>
        <w:t>of </w:t>
      </w:r>
      <w:r>
        <w:rPr/>
        <w:t>academic misconduct within two weeks of the infraction, if possible, and the entire </w:t>
      </w:r>
      <w:r>
        <w:rPr>
          <w:spacing w:val="-3"/>
        </w:rPr>
        <w:t>process </w:t>
      </w:r>
      <w:r>
        <w:rPr/>
        <w:t>should </w:t>
      </w:r>
      <w:r>
        <w:rPr>
          <w:spacing w:val="-3"/>
        </w:rPr>
        <w:t>be </w:t>
      </w:r>
      <w:r>
        <w:rPr/>
        <w:t>completed within 90 </w:t>
      </w:r>
      <w:r>
        <w:rPr>
          <w:spacing w:val="-4"/>
        </w:rPr>
        <w:t>days, </w:t>
      </w:r>
      <w:r>
        <w:rPr/>
        <w:t>if</w:t>
      </w:r>
      <w:r>
        <w:rPr>
          <w:spacing w:val="9"/>
        </w:rPr>
        <w:t> </w:t>
      </w:r>
      <w:r>
        <w:rPr/>
        <w:t>feasible.</w:t>
      </w:r>
    </w:p>
    <w:p>
      <w:pPr>
        <w:pStyle w:val="Heading4"/>
        <w:numPr>
          <w:ilvl w:val="0"/>
          <w:numId w:val="19"/>
        </w:numPr>
        <w:tabs>
          <w:tab w:pos="421" w:val="left" w:leader="none"/>
        </w:tabs>
        <w:spacing w:line="240" w:lineRule="auto" w:before="173" w:after="0"/>
        <w:ind w:left="420" w:right="0" w:hanging="220"/>
        <w:jc w:val="left"/>
      </w:pPr>
      <w:r>
        <w:rPr/>
        <w:t>Less Serious Infractions</w:t>
      </w:r>
    </w:p>
    <w:p>
      <w:pPr>
        <w:pStyle w:val="BodyText"/>
        <w:spacing w:line="249" w:lineRule="auto" w:before="188"/>
        <w:ind w:right="72"/>
      </w:pPr>
      <w:r>
        <w:rPr/>
        <w:t>Examples of infractions that can be considered less serious are:</w:t>
      </w:r>
    </w:p>
    <w:p>
      <w:pPr>
        <w:pStyle w:val="ListParagraph"/>
        <w:numPr>
          <w:ilvl w:val="1"/>
          <w:numId w:val="19"/>
        </w:numPr>
        <w:tabs>
          <w:tab w:pos="632" w:val="left" w:leader="none"/>
        </w:tabs>
        <w:spacing w:line="249" w:lineRule="auto" w:before="179" w:after="0"/>
        <w:ind w:left="631" w:right="751" w:hanging="216"/>
        <w:jc w:val="left"/>
        <w:rPr>
          <w:sz w:val="20"/>
        </w:rPr>
      </w:pPr>
      <w:r>
        <w:rPr>
          <w:sz w:val="20"/>
        </w:rPr>
        <w:t>Minor instances </w:t>
      </w:r>
      <w:r>
        <w:rPr>
          <w:spacing w:val="-3"/>
          <w:sz w:val="20"/>
        </w:rPr>
        <w:t>of </w:t>
      </w:r>
      <w:r>
        <w:rPr>
          <w:sz w:val="20"/>
        </w:rPr>
        <w:t>plagiarism </w:t>
      </w:r>
      <w:r>
        <w:rPr>
          <w:spacing w:val="-3"/>
          <w:sz w:val="20"/>
        </w:rPr>
        <w:t>or </w:t>
      </w:r>
      <w:r>
        <w:rPr>
          <w:sz w:val="20"/>
        </w:rPr>
        <w:t>cheating </w:t>
      </w:r>
      <w:r>
        <w:rPr>
          <w:spacing w:val="-5"/>
          <w:sz w:val="20"/>
        </w:rPr>
        <w:t>on </w:t>
      </w:r>
      <w:r>
        <w:rPr>
          <w:sz w:val="20"/>
        </w:rPr>
        <w:t>examinations </w:t>
      </w:r>
      <w:r>
        <w:rPr>
          <w:spacing w:val="-5"/>
          <w:sz w:val="20"/>
        </w:rPr>
        <w:t>or </w:t>
      </w:r>
      <w:r>
        <w:rPr>
          <w:sz w:val="20"/>
        </w:rPr>
        <w:t>papers required </w:t>
      </w:r>
      <w:r>
        <w:rPr>
          <w:spacing w:val="-4"/>
          <w:sz w:val="20"/>
        </w:rPr>
        <w:t>for </w:t>
      </w:r>
      <w:r>
        <w:rPr>
          <w:sz w:val="20"/>
        </w:rPr>
        <w:t>a</w:t>
      </w:r>
      <w:r>
        <w:rPr>
          <w:spacing w:val="12"/>
          <w:sz w:val="20"/>
        </w:rPr>
        <w:t> </w:t>
      </w:r>
      <w:r>
        <w:rPr>
          <w:sz w:val="20"/>
        </w:rPr>
        <w:t>course.</w:t>
      </w:r>
    </w:p>
    <w:p>
      <w:pPr>
        <w:pStyle w:val="ListParagraph"/>
        <w:numPr>
          <w:ilvl w:val="1"/>
          <w:numId w:val="19"/>
        </w:numPr>
        <w:tabs>
          <w:tab w:pos="632" w:val="left" w:leader="none"/>
        </w:tabs>
        <w:spacing w:line="249" w:lineRule="auto" w:before="184" w:after="0"/>
        <w:ind w:left="631" w:right="707" w:hanging="216"/>
        <w:jc w:val="left"/>
        <w:rPr>
          <w:sz w:val="20"/>
        </w:rPr>
      </w:pPr>
      <w:r>
        <w:rPr>
          <w:sz w:val="20"/>
        </w:rPr>
        <w:t>Minor fabrication </w:t>
      </w:r>
      <w:r>
        <w:rPr>
          <w:spacing w:val="-3"/>
          <w:sz w:val="20"/>
        </w:rPr>
        <w:t>or </w:t>
      </w:r>
      <w:r>
        <w:rPr>
          <w:sz w:val="20"/>
        </w:rPr>
        <w:t>falsification </w:t>
      </w:r>
      <w:r>
        <w:rPr>
          <w:spacing w:val="-3"/>
          <w:sz w:val="20"/>
        </w:rPr>
        <w:t>of </w:t>
      </w:r>
      <w:r>
        <w:rPr>
          <w:sz w:val="20"/>
        </w:rPr>
        <w:t>data </w:t>
      </w:r>
      <w:r>
        <w:rPr>
          <w:spacing w:val="-4"/>
          <w:sz w:val="20"/>
        </w:rPr>
        <w:t>for </w:t>
      </w:r>
      <w:r>
        <w:rPr>
          <w:sz w:val="20"/>
        </w:rPr>
        <w:t>a laboratory report </w:t>
      </w:r>
      <w:r>
        <w:rPr>
          <w:spacing w:val="-4"/>
          <w:sz w:val="20"/>
        </w:rPr>
        <w:t>for </w:t>
      </w:r>
      <w:r>
        <w:rPr>
          <w:sz w:val="20"/>
        </w:rPr>
        <w:t>a</w:t>
      </w:r>
      <w:r>
        <w:rPr>
          <w:spacing w:val="2"/>
          <w:sz w:val="20"/>
        </w:rPr>
        <w:t> </w:t>
      </w:r>
      <w:r>
        <w:rPr>
          <w:sz w:val="20"/>
        </w:rPr>
        <w:t>course.</w:t>
      </w:r>
    </w:p>
    <w:p>
      <w:pPr>
        <w:pStyle w:val="ListParagraph"/>
        <w:numPr>
          <w:ilvl w:val="1"/>
          <w:numId w:val="19"/>
        </w:numPr>
        <w:tabs>
          <w:tab w:pos="632" w:val="left" w:leader="none"/>
        </w:tabs>
        <w:spacing w:line="240" w:lineRule="auto" w:before="179" w:after="0"/>
        <w:ind w:left="631" w:right="0" w:hanging="216"/>
        <w:jc w:val="left"/>
        <w:rPr>
          <w:sz w:val="20"/>
        </w:rPr>
      </w:pPr>
      <w:r>
        <w:rPr>
          <w:sz w:val="20"/>
        </w:rPr>
        <w:t>Facilitating academic dishonesty by students in</w:t>
      </w:r>
      <w:r>
        <w:rPr>
          <w:spacing w:val="-19"/>
          <w:sz w:val="20"/>
        </w:rPr>
        <w:t> </w:t>
      </w:r>
      <w:r>
        <w:rPr>
          <w:sz w:val="20"/>
        </w:rPr>
        <w:t>an</w:t>
      </w:r>
    </w:p>
    <w:p>
      <w:pPr>
        <w:pStyle w:val="BodyText"/>
        <w:spacing w:before="99"/>
        <w:ind w:left="631"/>
      </w:pPr>
      <w:r>
        <w:rPr/>
        <w:br w:type="column"/>
      </w:r>
      <w:r>
        <w:rPr/>
        <w:t>academic exercise.</w:t>
      </w:r>
    </w:p>
    <w:p>
      <w:pPr>
        <w:pStyle w:val="BodyText"/>
        <w:spacing w:line="249" w:lineRule="auto" w:before="188"/>
        <w:ind w:left="199" w:right="595"/>
      </w:pPr>
      <w:r>
        <w:rPr/>
        <w:t>After identifying academic misconduct and providing written notification and obtaining written authorization from the associate dean or the dean’s designee, the faculty member has authority to resolve less serious cases of academic misconduct by means of informal methods such as warning, counseling, additional assignments, or grading. A typical penalty that has been exacted is to assign a zero grade for the exercise and compute the course grade including the zero grade for the exercise. The student may be reprimanded by the instructors, and the Graduate School can send letters of reprimand with the threat of dismissal should there be further occurrence. Such informal methods shall not be considered to be severe or stigmatizing.</w:t>
      </w:r>
    </w:p>
    <w:p>
      <w:pPr>
        <w:pStyle w:val="BodyText"/>
        <w:spacing w:line="249" w:lineRule="auto" w:before="9"/>
        <w:ind w:left="199" w:right="606"/>
      </w:pPr>
      <w:r>
        <w:rPr/>
        <w:t>Confidential records </w:t>
      </w:r>
      <w:r>
        <w:rPr>
          <w:spacing w:val="-3"/>
        </w:rPr>
        <w:t>of </w:t>
      </w:r>
      <w:r>
        <w:rPr/>
        <w:t>authorized informal actions shall  </w:t>
      </w:r>
      <w:r>
        <w:rPr>
          <w:spacing w:val="-3"/>
        </w:rPr>
        <w:t>be </w:t>
      </w:r>
      <w:r>
        <w:rPr/>
        <w:t>kept by the associate dean </w:t>
      </w:r>
      <w:r>
        <w:rPr>
          <w:spacing w:val="-3"/>
        </w:rPr>
        <w:t>or </w:t>
      </w:r>
      <w:r>
        <w:rPr/>
        <w:t>the dean’s designee </w:t>
      </w:r>
      <w:r>
        <w:rPr>
          <w:spacing w:val="-4"/>
        </w:rPr>
        <w:t>for </w:t>
      </w:r>
      <w:r>
        <w:rPr/>
        <w:t>use of the Graduate Council Grievance Committee*. The GCGC may release only general statistical summaries </w:t>
      </w:r>
      <w:r>
        <w:rPr>
          <w:spacing w:val="-3"/>
        </w:rPr>
        <w:t>of </w:t>
      </w:r>
      <w:r>
        <w:rPr/>
        <w:t>such information and may not release identifying information.</w:t>
      </w:r>
    </w:p>
    <w:p>
      <w:pPr>
        <w:pStyle w:val="BodyText"/>
        <w:spacing w:line="249" w:lineRule="auto" w:before="187"/>
        <w:ind w:left="199" w:right="649"/>
      </w:pPr>
      <w:r>
        <w:rPr/>
        <w:t>Having made an initial determination </w:t>
      </w:r>
      <w:r>
        <w:rPr>
          <w:spacing w:val="-3"/>
        </w:rPr>
        <w:t>of </w:t>
      </w:r>
      <w:r>
        <w:rPr/>
        <w:t>academic misconduct involving a less serious infraction and having consulted the associate dean </w:t>
      </w:r>
      <w:r>
        <w:rPr>
          <w:spacing w:val="-3"/>
        </w:rPr>
        <w:t>or </w:t>
      </w:r>
      <w:r>
        <w:rPr/>
        <w:t>the dean’s designee </w:t>
      </w:r>
      <w:r>
        <w:rPr>
          <w:spacing w:val="-4"/>
        </w:rPr>
        <w:t>for </w:t>
      </w:r>
      <w:r>
        <w:rPr/>
        <w:t>authorization, the faculty member shall observe certain rights </w:t>
      </w:r>
      <w:r>
        <w:rPr>
          <w:spacing w:val="-3"/>
        </w:rPr>
        <w:t>of </w:t>
      </w:r>
      <w:r>
        <w:rPr/>
        <w:t>the student. The faculty member shall notify the student in writing within </w:t>
      </w:r>
      <w:r>
        <w:rPr>
          <w:spacing w:val="-3"/>
        </w:rPr>
        <w:t>five </w:t>
      </w:r>
      <w:r>
        <w:rPr/>
        <w:t>days, if feasible, of the initial determination </w:t>
      </w:r>
      <w:r>
        <w:rPr>
          <w:spacing w:val="-3"/>
        </w:rPr>
        <w:t>of </w:t>
      </w:r>
      <w:r>
        <w:rPr/>
        <w:t>academic misconduct and provide the student an opportunity within </w:t>
      </w:r>
      <w:r>
        <w:rPr>
          <w:spacing w:val="-3"/>
        </w:rPr>
        <w:t>five </w:t>
      </w:r>
      <w:r>
        <w:rPr/>
        <w:t>days of notification to give explanation. Should the student fail to offer an explanation </w:t>
      </w:r>
      <w:r>
        <w:rPr>
          <w:spacing w:val="-3"/>
        </w:rPr>
        <w:t>within </w:t>
      </w:r>
      <w:r>
        <w:rPr/>
        <w:t>the time frame, seek an </w:t>
      </w:r>
      <w:r>
        <w:rPr>
          <w:spacing w:val="-2"/>
        </w:rPr>
        <w:t>extension </w:t>
      </w:r>
      <w:r>
        <w:rPr>
          <w:spacing w:val="-4"/>
        </w:rPr>
        <w:t>for </w:t>
      </w:r>
      <w:r>
        <w:rPr/>
        <w:t>a </w:t>
      </w:r>
      <w:r>
        <w:rPr>
          <w:spacing w:val="-3"/>
        </w:rPr>
        <w:t>good </w:t>
      </w:r>
      <w:r>
        <w:rPr/>
        <w:t>faith reason, </w:t>
      </w:r>
      <w:r>
        <w:rPr>
          <w:spacing w:val="-3"/>
        </w:rPr>
        <w:t>or </w:t>
      </w:r>
      <w:r>
        <w:rPr/>
        <w:t>make a written request to the associate dean </w:t>
      </w:r>
      <w:r>
        <w:rPr>
          <w:spacing w:val="-3"/>
        </w:rPr>
        <w:t>or </w:t>
      </w:r>
      <w:r>
        <w:rPr/>
        <w:t>the dean’s designee </w:t>
      </w:r>
      <w:r>
        <w:rPr>
          <w:spacing w:val="-4"/>
        </w:rPr>
        <w:t>for </w:t>
      </w:r>
      <w:r>
        <w:rPr/>
        <w:t>a full hearing before the GCGC, the informal action shall become</w:t>
      </w:r>
      <w:r>
        <w:rPr>
          <w:spacing w:val="-17"/>
        </w:rPr>
        <w:t> </w:t>
      </w:r>
      <w:r>
        <w:rPr/>
        <w:t>final.</w:t>
      </w:r>
    </w:p>
    <w:p>
      <w:pPr>
        <w:pStyle w:val="BodyText"/>
        <w:spacing w:line="249" w:lineRule="auto" w:before="187"/>
        <w:ind w:left="199" w:right="711"/>
      </w:pPr>
      <w:r>
        <w:rPr/>
        <w:t>The faculty member’s informal action shall be final and conclusive and not subject to appeal within the University System of Maryland on grounds related to academic misconduct.</w:t>
      </w:r>
    </w:p>
    <w:p>
      <w:pPr>
        <w:pStyle w:val="Heading4"/>
        <w:numPr>
          <w:ilvl w:val="0"/>
          <w:numId w:val="19"/>
        </w:numPr>
        <w:tabs>
          <w:tab w:pos="426" w:val="left" w:leader="none"/>
        </w:tabs>
        <w:spacing w:line="240" w:lineRule="auto" w:before="171" w:after="0"/>
        <w:ind w:left="425" w:right="0" w:hanging="225"/>
        <w:jc w:val="left"/>
      </w:pPr>
      <w:r>
        <w:rPr/>
        <w:t>More Serious</w:t>
      </w:r>
      <w:r>
        <w:rPr>
          <w:spacing w:val="1"/>
        </w:rPr>
        <w:t> </w:t>
      </w:r>
      <w:r>
        <w:rPr/>
        <w:t>Infractions</w:t>
      </w:r>
    </w:p>
    <w:p>
      <w:pPr>
        <w:pStyle w:val="BodyText"/>
        <w:spacing w:before="183"/>
      </w:pPr>
      <w:r>
        <w:rPr/>
        <w:t>Infractions that can be considered more serious include:</w:t>
      </w:r>
    </w:p>
    <w:p>
      <w:pPr>
        <w:pStyle w:val="ListParagraph"/>
        <w:numPr>
          <w:ilvl w:val="1"/>
          <w:numId w:val="19"/>
        </w:numPr>
        <w:tabs>
          <w:tab w:pos="633" w:val="left" w:leader="none"/>
        </w:tabs>
        <w:spacing w:line="249" w:lineRule="auto" w:before="192" w:after="0"/>
        <w:ind w:left="632" w:right="1363" w:hanging="216"/>
        <w:jc w:val="left"/>
        <w:rPr>
          <w:sz w:val="20"/>
        </w:rPr>
      </w:pPr>
      <w:r>
        <w:rPr>
          <w:sz w:val="20"/>
        </w:rPr>
        <w:t>Major instances </w:t>
      </w:r>
      <w:r>
        <w:rPr>
          <w:spacing w:val="-3"/>
          <w:sz w:val="20"/>
        </w:rPr>
        <w:t>of </w:t>
      </w:r>
      <w:r>
        <w:rPr>
          <w:sz w:val="20"/>
        </w:rPr>
        <w:t>plagiarism </w:t>
      </w:r>
      <w:r>
        <w:rPr>
          <w:spacing w:val="-5"/>
          <w:sz w:val="20"/>
        </w:rPr>
        <w:t>or </w:t>
      </w:r>
      <w:r>
        <w:rPr>
          <w:sz w:val="20"/>
        </w:rPr>
        <w:t>cheating </w:t>
      </w:r>
      <w:r>
        <w:rPr>
          <w:spacing w:val="-3"/>
          <w:sz w:val="20"/>
        </w:rPr>
        <w:t>on </w:t>
      </w:r>
      <w:r>
        <w:rPr>
          <w:sz w:val="20"/>
        </w:rPr>
        <w:t>examinations </w:t>
      </w:r>
      <w:r>
        <w:rPr>
          <w:spacing w:val="-5"/>
          <w:sz w:val="20"/>
        </w:rPr>
        <w:t>or </w:t>
      </w:r>
      <w:r>
        <w:rPr>
          <w:sz w:val="20"/>
        </w:rPr>
        <w:t>papers </w:t>
      </w:r>
      <w:r>
        <w:rPr>
          <w:spacing w:val="-4"/>
          <w:sz w:val="20"/>
        </w:rPr>
        <w:t>for </w:t>
      </w:r>
      <w:r>
        <w:rPr>
          <w:sz w:val="20"/>
        </w:rPr>
        <w:t>a</w:t>
      </w:r>
      <w:r>
        <w:rPr>
          <w:spacing w:val="19"/>
          <w:sz w:val="20"/>
        </w:rPr>
        <w:t> </w:t>
      </w:r>
      <w:r>
        <w:rPr>
          <w:sz w:val="20"/>
        </w:rPr>
        <w:t>course.</w:t>
      </w:r>
    </w:p>
    <w:p>
      <w:pPr>
        <w:pStyle w:val="ListParagraph"/>
        <w:numPr>
          <w:ilvl w:val="1"/>
          <w:numId w:val="19"/>
        </w:numPr>
        <w:tabs>
          <w:tab w:pos="633" w:val="left" w:leader="none"/>
        </w:tabs>
        <w:spacing w:line="249" w:lineRule="auto" w:before="179" w:after="0"/>
        <w:ind w:left="632" w:right="924" w:hanging="216"/>
        <w:jc w:val="left"/>
        <w:rPr>
          <w:sz w:val="20"/>
        </w:rPr>
      </w:pPr>
      <w:r>
        <w:rPr>
          <w:sz w:val="20"/>
        </w:rPr>
        <w:t>Fabrication </w:t>
      </w:r>
      <w:r>
        <w:rPr>
          <w:spacing w:val="-3"/>
          <w:sz w:val="20"/>
        </w:rPr>
        <w:t>or </w:t>
      </w:r>
      <w:r>
        <w:rPr>
          <w:sz w:val="20"/>
        </w:rPr>
        <w:t>falsification </w:t>
      </w:r>
      <w:r>
        <w:rPr>
          <w:spacing w:val="-3"/>
          <w:sz w:val="20"/>
        </w:rPr>
        <w:t>of </w:t>
      </w:r>
      <w:r>
        <w:rPr>
          <w:sz w:val="20"/>
        </w:rPr>
        <w:t>data </w:t>
      </w:r>
      <w:r>
        <w:rPr>
          <w:spacing w:val="-4"/>
          <w:sz w:val="20"/>
        </w:rPr>
        <w:t>for </w:t>
      </w:r>
      <w:r>
        <w:rPr>
          <w:sz w:val="20"/>
        </w:rPr>
        <w:t>publication, thesis, </w:t>
      </w:r>
      <w:r>
        <w:rPr>
          <w:spacing w:val="-5"/>
          <w:sz w:val="20"/>
        </w:rPr>
        <w:t>or</w:t>
      </w:r>
      <w:r>
        <w:rPr>
          <w:spacing w:val="11"/>
          <w:sz w:val="20"/>
        </w:rPr>
        <w:t> </w:t>
      </w:r>
      <w:r>
        <w:rPr>
          <w:sz w:val="20"/>
        </w:rPr>
        <w:t>dissertation.</w:t>
      </w:r>
    </w:p>
    <w:p>
      <w:pPr>
        <w:pStyle w:val="ListParagraph"/>
        <w:numPr>
          <w:ilvl w:val="1"/>
          <w:numId w:val="19"/>
        </w:numPr>
        <w:tabs>
          <w:tab w:pos="633" w:val="left" w:leader="none"/>
        </w:tabs>
        <w:spacing w:line="249" w:lineRule="auto" w:before="184" w:after="0"/>
        <w:ind w:left="632" w:right="737" w:hanging="216"/>
        <w:jc w:val="left"/>
        <w:rPr>
          <w:sz w:val="20"/>
        </w:rPr>
      </w:pPr>
      <w:r>
        <w:rPr>
          <w:sz w:val="20"/>
        </w:rPr>
        <w:t>A pattern </w:t>
      </w:r>
      <w:r>
        <w:rPr>
          <w:spacing w:val="-4"/>
          <w:sz w:val="20"/>
        </w:rPr>
        <w:t>of, </w:t>
      </w:r>
      <w:r>
        <w:rPr>
          <w:spacing w:val="-3"/>
          <w:sz w:val="20"/>
        </w:rPr>
        <w:t>or </w:t>
      </w:r>
      <w:r>
        <w:rPr>
          <w:sz w:val="20"/>
        </w:rPr>
        <w:t>repeated occurrences of, less serious infractions.</w:t>
      </w:r>
    </w:p>
    <w:p>
      <w:pPr>
        <w:pStyle w:val="BodyText"/>
        <w:spacing w:before="179"/>
      </w:pPr>
      <w:r>
        <w:rPr/>
        <w:t>Having made a final determination of more serious</w:t>
      </w:r>
    </w:p>
    <w:p>
      <w:pPr>
        <w:spacing w:after="0"/>
        <w:sectPr>
          <w:pgSz w:w="12240" w:h="15840"/>
          <w:pgMar w:header="746" w:footer="0" w:top="1320" w:bottom="280" w:left="880" w:right="300"/>
          <w:cols w:num="2" w:equalWidth="0">
            <w:col w:w="5002" w:space="484"/>
            <w:col w:w="5574"/>
          </w:cols>
        </w:sectPr>
      </w:pPr>
    </w:p>
    <w:p>
      <w:pPr>
        <w:pStyle w:val="BodyText"/>
        <w:spacing w:line="249" w:lineRule="auto" w:before="100"/>
        <w:ind w:right="41"/>
      </w:pPr>
      <w:r>
        <w:rPr/>
        <w:t>academic misconduct, the faculty member shall notify the student in writing within five days, if feasible. The student shall have an opportunity within 10 days to respond and give an explanation to the faculty member before the determination of more serious academic misconduct can be made final by the faculty member.</w:t>
      </w:r>
    </w:p>
    <w:p>
      <w:pPr>
        <w:pStyle w:val="BodyText"/>
        <w:spacing w:line="249" w:lineRule="auto" w:before="182"/>
        <w:ind w:right="55"/>
      </w:pPr>
      <w:r>
        <w:rPr/>
        <w:t>After making an initial determination </w:t>
      </w:r>
      <w:r>
        <w:rPr>
          <w:spacing w:val="-3"/>
        </w:rPr>
        <w:t>of </w:t>
      </w:r>
      <w:r>
        <w:rPr/>
        <w:t>an instance </w:t>
      </w:r>
      <w:r>
        <w:rPr>
          <w:spacing w:val="-3"/>
        </w:rPr>
        <w:t>of </w:t>
      </w:r>
      <w:r>
        <w:rPr/>
        <w:t>more serious academic misconduct requiring severe and stigmatizing penalty, the faculty member shall within </w:t>
      </w:r>
      <w:r>
        <w:rPr>
          <w:spacing w:val="-3"/>
        </w:rPr>
        <w:t>five days </w:t>
      </w:r>
      <w:r>
        <w:rPr/>
        <w:t>send a letter to the associate dean </w:t>
      </w:r>
      <w:r>
        <w:rPr>
          <w:spacing w:val="-3"/>
        </w:rPr>
        <w:t>or </w:t>
      </w:r>
      <w:r>
        <w:rPr/>
        <w:t>the dean’s designee. The faculty member’s letter shall describe the academic misconduct and recommend suspension, probation, expulsion, </w:t>
      </w:r>
      <w:r>
        <w:rPr>
          <w:spacing w:val="-3"/>
        </w:rPr>
        <w:t>or </w:t>
      </w:r>
      <w:r>
        <w:rPr/>
        <w:t>other action commensurate </w:t>
      </w:r>
      <w:r>
        <w:rPr>
          <w:spacing w:val="-3"/>
        </w:rPr>
        <w:t>with </w:t>
      </w:r>
      <w:r>
        <w:rPr/>
        <w:t>the seriousness and circumstances </w:t>
      </w:r>
      <w:r>
        <w:rPr>
          <w:spacing w:val="-3"/>
        </w:rPr>
        <w:t>of </w:t>
      </w:r>
      <w:r>
        <w:rPr/>
        <w:t>the misconduct. The faculty member shall send a copy of the letter to the student, to the graduate program director, and to the department </w:t>
      </w:r>
      <w:r>
        <w:rPr>
          <w:spacing w:val="-2"/>
        </w:rPr>
        <w:t>chair. </w:t>
      </w:r>
      <w:r>
        <w:rPr/>
        <w:t>The associate dean </w:t>
      </w:r>
      <w:r>
        <w:rPr>
          <w:spacing w:val="-3"/>
        </w:rPr>
        <w:t>or </w:t>
      </w:r>
      <w:r>
        <w:rPr/>
        <w:t>the dean’s designee will notify the registrar, if appropriate, to prevent the student from dropping the course, thereby evading a penalty. The letter to the student shall include a copy of this policy. The faculty member also shall make reasonable efforts to preserve any evidence that might </w:t>
      </w:r>
      <w:r>
        <w:rPr>
          <w:spacing w:val="-3"/>
        </w:rPr>
        <w:t>be </w:t>
      </w:r>
      <w:r>
        <w:rPr/>
        <w:t>needed by the GCGC in the event </w:t>
      </w:r>
      <w:r>
        <w:rPr>
          <w:spacing w:val="-3"/>
        </w:rPr>
        <w:t>of </w:t>
      </w:r>
      <w:r>
        <w:rPr/>
        <w:t>an appeal by the</w:t>
      </w:r>
      <w:r>
        <w:rPr>
          <w:spacing w:val="-11"/>
        </w:rPr>
        <w:t> </w:t>
      </w:r>
      <w:r>
        <w:rPr/>
        <w:t>student.</w:t>
      </w:r>
    </w:p>
    <w:p>
      <w:pPr>
        <w:pStyle w:val="Heading4"/>
        <w:numPr>
          <w:ilvl w:val="0"/>
          <w:numId w:val="19"/>
        </w:numPr>
        <w:tabs>
          <w:tab w:pos="426" w:val="left" w:leader="none"/>
        </w:tabs>
        <w:spacing w:line="240" w:lineRule="auto" w:before="178" w:after="0"/>
        <w:ind w:left="425" w:right="0" w:hanging="225"/>
        <w:jc w:val="left"/>
      </w:pPr>
      <w:r>
        <w:rPr>
          <w:spacing w:val="-3"/>
        </w:rPr>
        <w:t>Appeals </w:t>
      </w:r>
      <w:r>
        <w:rPr/>
        <w:t>and</w:t>
      </w:r>
      <w:r>
        <w:rPr>
          <w:spacing w:val="5"/>
        </w:rPr>
        <w:t> </w:t>
      </w:r>
      <w:r>
        <w:rPr/>
        <w:t>Hearings</w:t>
      </w:r>
    </w:p>
    <w:p>
      <w:pPr>
        <w:pStyle w:val="BodyText"/>
        <w:spacing w:line="249" w:lineRule="auto" w:before="183"/>
        <w:ind w:right="88"/>
      </w:pPr>
      <w:r>
        <w:rPr/>
        <w:t>When the faculty member has filed </w:t>
      </w:r>
      <w:r>
        <w:rPr>
          <w:spacing w:val="-3"/>
        </w:rPr>
        <w:t>with </w:t>
      </w:r>
      <w:r>
        <w:rPr/>
        <w:t>the associate </w:t>
      </w:r>
      <w:r>
        <w:rPr>
          <w:spacing w:val="-3"/>
        </w:rPr>
        <w:t>dean or </w:t>
      </w:r>
      <w:r>
        <w:rPr/>
        <w:t>the dean’s designee a letter establishing academic misconduct requiring severe </w:t>
      </w:r>
      <w:r>
        <w:rPr>
          <w:spacing w:val="-3"/>
        </w:rPr>
        <w:t>or </w:t>
      </w:r>
      <w:r>
        <w:rPr/>
        <w:t>stigmatizing penalty, the student shall have the right to a hearing before the GCGC. The student must file a written request </w:t>
      </w:r>
      <w:r>
        <w:rPr>
          <w:spacing w:val="-4"/>
        </w:rPr>
        <w:t>for </w:t>
      </w:r>
      <w:r>
        <w:rPr/>
        <w:t>a hearing </w:t>
      </w:r>
      <w:r>
        <w:rPr>
          <w:spacing w:val="-3"/>
        </w:rPr>
        <w:t>with </w:t>
      </w:r>
      <w:r>
        <w:rPr/>
        <w:t>the associate dean </w:t>
      </w:r>
      <w:r>
        <w:rPr>
          <w:spacing w:val="-3"/>
        </w:rPr>
        <w:t>or </w:t>
      </w:r>
      <w:r>
        <w:rPr/>
        <w:t>the dean’s designee within </w:t>
      </w:r>
      <w:r>
        <w:rPr>
          <w:spacing w:val="-3"/>
        </w:rPr>
        <w:t>10 </w:t>
      </w:r>
      <w:r>
        <w:rPr>
          <w:spacing w:val="-4"/>
        </w:rPr>
        <w:t>days </w:t>
      </w:r>
      <w:r>
        <w:rPr/>
        <w:t>of notification. </w:t>
      </w:r>
      <w:r>
        <w:rPr>
          <w:spacing w:val="-3"/>
        </w:rPr>
        <w:t>When </w:t>
      </w:r>
      <w:r>
        <w:rPr/>
        <w:t>a student requests a hearing in a case involving severe </w:t>
      </w:r>
      <w:r>
        <w:rPr>
          <w:spacing w:val="-3"/>
        </w:rPr>
        <w:t>or </w:t>
      </w:r>
      <w:r>
        <w:rPr/>
        <w:t>stigmatizing penalty, the </w:t>
      </w:r>
      <w:r>
        <w:rPr>
          <w:spacing w:val="-3"/>
        </w:rPr>
        <w:t>UMGSB </w:t>
      </w:r>
      <w:r>
        <w:rPr/>
        <w:t>administration shall provide facilities and personnel requested by the chair </w:t>
      </w:r>
      <w:r>
        <w:rPr>
          <w:spacing w:val="-3"/>
        </w:rPr>
        <w:t>of </w:t>
      </w:r>
      <w:r>
        <w:rPr/>
        <w:t>the </w:t>
      </w:r>
      <w:r>
        <w:rPr>
          <w:spacing w:val="-3"/>
        </w:rPr>
        <w:t>GCGC </w:t>
      </w:r>
      <w:r>
        <w:rPr>
          <w:spacing w:val="-4"/>
        </w:rPr>
        <w:t>for </w:t>
      </w:r>
      <w:r>
        <w:rPr/>
        <w:t>the purpose of providing due process. If the faculty member recommends suspension </w:t>
      </w:r>
      <w:r>
        <w:rPr>
          <w:spacing w:val="-3"/>
        </w:rPr>
        <w:t>or </w:t>
      </w:r>
      <w:r>
        <w:rPr/>
        <w:t>expulsion, the </w:t>
      </w:r>
      <w:r>
        <w:rPr>
          <w:spacing w:val="-3"/>
        </w:rPr>
        <w:t>GCGC </w:t>
      </w:r>
      <w:r>
        <w:rPr/>
        <w:t>shall (unless the student </w:t>
      </w:r>
      <w:r>
        <w:rPr>
          <w:spacing w:val="-3"/>
        </w:rPr>
        <w:t>waives </w:t>
      </w:r>
      <w:r>
        <w:rPr/>
        <w:t>the right to a hearing) automatically conduct a hearing to determine if there is enough evidence of misconduct, </w:t>
      </w:r>
      <w:r>
        <w:rPr>
          <w:spacing w:val="-3"/>
        </w:rPr>
        <w:t>or </w:t>
      </w:r>
      <w:r>
        <w:rPr/>
        <w:t>history of misconduct, to justify suspension </w:t>
      </w:r>
      <w:r>
        <w:rPr>
          <w:spacing w:val="-3"/>
        </w:rPr>
        <w:t>or</w:t>
      </w:r>
      <w:r>
        <w:rPr>
          <w:spacing w:val="3"/>
        </w:rPr>
        <w:t> </w:t>
      </w:r>
      <w:r>
        <w:rPr/>
        <w:t>expulsion.</w:t>
      </w:r>
    </w:p>
    <w:p>
      <w:pPr>
        <w:pStyle w:val="BodyText"/>
        <w:spacing w:line="249" w:lineRule="auto" w:before="194"/>
        <w:ind w:right="25"/>
      </w:pPr>
      <w:r>
        <w:rPr/>
        <w:t>Upon its notification of a hearing request, the dean of the Graduate School will appoint a three-person committee from among members of the GCGC. The GCGC should conduct an investigation, gather evidence, and interview witnesses to determine the facts. The investigation shall include a statement from the faculty member describing the situation and action, a statement from the student including reason for the hearing request, and all statements by witnesses. The associate dean or the dean’s designee shall circulate the statements to GCGC members, noting that</w:t>
      </w:r>
    </w:p>
    <w:p>
      <w:pPr>
        <w:pStyle w:val="BodyText"/>
        <w:spacing w:line="249" w:lineRule="auto" w:before="97"/>
        <w:ind w:right="627"/>
      </w:pPr>
      <w:r>
        <w:rPr/>
        <w:br w:type="column"/>
      </w:r>
      <w:r>
        <w:rPr/>
        <w:t>confidential items must </w:t>
      </w:r>
      <w:r>
        <w:rPr>
          <w:spacing w:val="-3"/>
        </w:rPr>
        <w:t>be </w:t>
      </w:r>
      <w:r>
        <w:rPr/>
        <w:t>kept in a secure location. The GCGC also shall </w:t>
      </w:r>
      <w:r>
        <w:rPr>
          <w:spacing w:val="-2"/>
        </w:rPr>
        <w:t>obtain </w:t>
      </w:r>
      <w:r>
        <w:rPr/>
        <w:t>any additional information requested by the faculty member, student, </w:t>
      </w:r>
      <w:r>
        <w:rPr>
          <w:spacing w:val="-3"/>
        </w:rPr>
        <w:t>or </w:t>
      </w:r>
      <w:r>
        <w:rPr/>
        <w:t>committee members. If requested </w:t>
      </w:r>
      <w:r>
        <w:rPr>
          <w:spacing w:val="-3"/>
        </w:rPr>
        <w:t>by </w:t>
      </w:r>
      <w:r>
        <w:rPr/>
        <w:t>the chair </w:t>
      </w:r>
      <w:r>
        <w:rPr>
          <w:spacing w:val="-3"/>
        </w:rPr>
        <w:t>of </w:t>
      </w:r>
      <w:r>
        <w:rPr/>
        <w:t>the GCGC, the associate dean </w:t>
      </w:r>
      <w:r>
        <w:rPr>
          <w:spacing w:val="-3"/>
        </w:rPr>
        <w:t>or </w:t>
      </w:r>
      <w:r>
        <w:rPr/>
        <w:t>the dean’s designee shall provide the GCGC the record </w:t>
      </w:r>
      <w:r>
        <w:rPr>
          <w:spacing w:val="-3"/>
        </w:rPr>
        <w:t>of </w:t>
      </w:r>
      <w:r>
        <w:rPr/>
        <w:t>academic misconduct </w:t>
      </w:r>
      <w:r>
        <w:rPr>
          <w:spacing w:val="-3"/>
        </w:rPr>
        <w:t>of </w:t>
      </w:r>
      <w:r>
        <w:rPr/>
        <w:t>any student requesting a hearing. The GCGC should, if necessary, hold a pre-hearing meeting </w:t>
      </w:r>
      <w:r>
        <w:rPr>
          <w:spacing w:val="-3"/>
        </w:rPr>
        <w:t>of </w:t>
      </w:r>
      <w:r>
        <w:rPr/>
        <w:t>committee members to discuss the investigation. Copies </w:t>
      </w:r>
      <w:r>
        <w:rPr>
          <w:spacing w:val="-3"/>
        </w:rPr>
        <w:t>of </w:t>
      </w:r>
      <w:r>
        <w:rPr/>
        <w:t>all items </w:t>
      </w:r>
      <w:r>
        <w:rPr>
          <w:spacing w:val="-3"/>
        </w:rPr>
        <w:t>of </w:t>
      </w:r>
      <w:r>
        <w:rPr/>
        <w:t>evidence should </w:t>
      </w:r>
      <w:r>
        <w:rPr>
          <w:spacing w:val="-3"/>
        </w:rPr>
        <w:t>be </w:t>
      </w:r>
      <w:r>
        <w:rPr/>
        <w:t>sent to the faculty member and the student or, if the evidence cannot </w:t>
      </w:r>
      <w:r>
        <w:rPr>
          <w:spacing w:val="-3"/>
        </w:rPr>
        <w:t>be </w:t>
      </w:r>
      <w:r>
        <w:rPr/>
        <w:t>copied, the associate dean </w:t>
      </w:r>
      <w:r>
        <w:rPr>
          <w:spacing w:val="-5"/>
        </w:rPr>
        <w:t>or </w:t>
      </w:r>
      <w:r>
        <w:rPr/>
        <w:t>the dean’s designee should arrange </w:t>
      </w:r>
      <w:r>
        <w:rPr>
          <w:spacing w:val="-4"/>
        </w:rPr>
        <w:t>for  </w:t>
      </w:r>
      <w:r>
        <w:rPr/>
        <w:t>the evidence to </w:t>
      </w:r>
      <w:r>
        <w:rPr>
          <w:spacing w:val="-3"/>
        </w:rPr>
        <w:t>be </w:t>
      </w:r>
      <w:r>
        <w:rPr/>
        <w:t>inspected by these parties at a convenient</w:t>
      </w:r>
      <w:r>
        <w:rPr>
          <w:spacing w:val="-11"/>
        </w:rPr>
        <w:t> </w:t>
      </w:r>
      <w:r>
        <w:rPr/>
        <w:t>time.</w:t>
      </w:r>
    </w:p>
    <w:p>
      <w:pPr>
        <w:pStyle w:val="BodyText"/>
        <w:spacing w:line="249" w:lineRule="auto" w:before="187"/>
        <w:ind w:right="626"/>
      </w:pPr>
      <w:r>
        <w:rPr/>
        <w:t>The GCGC then shall schedule a hearing, conducted by the chair </w:t>
      </w:r>
      <w:r>
        <w:rPr>
          <w:spacing w:val="-3"/>
        </w:rPr>
        <w:t>of </w:t>
      </w:r>
      <w:r>
        <w:rPr/>
        <w:t>the GCGC, allowing sufficient time — including continuations if necessary — </w:t>
      </w:r>
      <w:r>
        <w:rPr>
          <w:spacing w:val="-4"/>
        </w:rPr>
        <w:t>for </w:t>
      </w:r>
      <w:r>
        <w:rPr/>
        <w:t>the committee to </w:t>
      </w:r>
      <w:r>
        <w:rPr>
          <w:spacing w:val="-3"/>
        </w:rPr>
        <w:t>be </w:t>
      </w:r>
      <w:r>
        <w:rPr/>
        <w:t>satisfied that further inquiry would turn </w:t>
      </w:r>
      <w:r>
        <w:rPr>
          <w:spacing w:val="-3"/>
        </w:rPr>
        <w:t>up </w:t>
      </w:r>
      <w:r>
        <w:rPr/>
        <w:t>no new material. If feasible, the hearing should </w:t>
      </w:r>
      <w:r>
        <w:rPr>
          <w:spacing w:val="-3"/>
        </w:rPr>
        <w:t>be </w:t>
      </w:r>
      <w:r>
        <w:rPr/>
        <w:t>scheduled within 30 </w:t>
      </w:r>
      <w:r>
        <w:rPr>
          <w:spacing w:val="-4"/>
        </w:rPr>
        <w:t>days </w:t>
      </w:r>
      <w:r>
        <w:rPr>
          <w:spacing w:val="-3"/>
        </w:rPr>
        <w:t>of </w:t>
      </w:r>
      <w:r>
        <w:rPr/>
        <w:t>the GCGC’s notice </w:t>
      </w:r>
      <w:r>
        <w:rPr>
          <w:spacing w:val="-3"/>
        </w:rPr>
        <w:t>of </w:t>
      </w:r>
      <w:r>
        <w:rPr/>
        <w:t>a hearing request. At least three members </w:t>
      </w:r>
      <w:r>
        <w:rPr>
          <w:spacing w:val="-3"/>
        </w:rPr>
        <w:t>of </w:t>
      </w:r>
      <w:r>
        <w:rPr/>
        <w:t>the GCGC must attend a hearing to form a quorum. Hearings will </w:t>
      </w:r>
      <w:r>
        <w:rPr>
          <w:spacing w:val="-3"/>
        </w:rPr>
        <w:t>be </w:t>
      </w:r>
      <w:r>
        <w:rPr/>
        <w:t>held in </w:t>
      </w:r>
      <w:r>
        <w:rPr>
          <w:spacing w:val="-3"/>
        </w:rPr>
        <w:t>closed </w:t>
      </w:r>
      <w:r>
        <w:rPr/>
        <w:t>session and </w:t>
      </w:r>
      <w:r>
        <w:rPr>
          <w:spacing w:val="-3"/>
        </w:rPr>
        <w:t>will be </w:t>
      </w:r>
      <w:r>
        <w:rPr/>
        <w:t>tape recorded. Accidental erasure </w:t>
      </w:r>
      <w:r>
        <w:rPr>
          <w:spacing w:val="-3"/>
        </w:rPr>
        <w:t>of </w:t>
      </w:r>
      <w:r>
        <w:rPr/>
        <w:t>the tapes, failure </w:t>
      </w:r>
      <w:r>
        <w:rPr>
          <w:spacing w:val="-3"/>
        </w:rPr>
        <w:t>of </w:t>
      </w:r>
      <w:r>
        <w:rPr/>
        <w:t>the recording equipment, </w:t>
      </w:r>
      <w:r>
        <w:rPr>
          <w:spacing w:val="-3"/>
        </w:rPr>
        <w:t>or poor </w:t>
      </w:r>
      <w:r>
        <w:rPr/>
        <w:t>quality of the recording will not </w:t>
      </w:r>
      <w:r>
        <w:rPr>
          <w:spacing w:val="-3"/>
        </w:rPr>
        <w:t>be </w:t>
      </w:r>
      <w:r>
        <w:rPr/>
        <w:t>grounds </w:t>
      </w:r>
      <w:r>
        <w:rPr>
          <w:spacing w:val="-4"/>
        </w:rPr>
        <w:t>for </w:t>
      </w:r>
      <w:r>
        <w:rPr/>
        <w:t>appeal. The faculty member and the student shall attend the hearing. Witnesses may </w:t>
      </w:r>
      <w:r>
        <w:rPr>
          <w:spacing w:val="-3"/>
        </w:rPr>
        <w:t>be </w:t>
      </w:r>
      <w:r>
        <w:rPr/>
        <w:t>present at the hearing only during their </w:t>
      </w:r>
      <w:r>
        <w:rPr>
          <w:spacing w:val="-4"/>
        </w:rPr>
        <w:t>own </w:t>
      </w:r>
      <w:r>
        <w:rPr/>
        <w:t>testimonies </w:t>
      </w:r>
      <w:r>
        <w:rPr>
          <w:spacing w:val="-2"/>
        </w:rPr>
        <w:t>except </w:t>
      </w:r>
      <w:r>
        <w:rPr>
          <w:spacing w:val="-3"/>
        </w:rPr>
        <w:t>with </w:t>
      </w:r>
      <w:r>
        <w:rPr/>
        <w:t>the permission </w:t>
      </w:r>
      <w:r>
        <w:rPr>
          <w:spacing w:val="-3"/>
        </w:rPr>
        <w:t>of </w:t>
      </w:r>
      <w:r>
        <w:rPr/>
        <w:t>both the student and the </w:t>
      </w:r>
      <w:r>
        <w:rPr>
          <w:spacing w:val="-3"/>
        </w:rPr>
        <w:t>chair of </w:t>
      </w:r>
      <w:r>
        <w:rPr/>
        <w:t>the GCGC. Legal counsel </w:t>
      </w:r>
      <w:r>
        <w:rPr>
          <w:spacing w:val="-4"/>
        </w:rPr>
        <w:t>for  </w:t>
      </w:r>
      <w:r>
        <w:rPr/>
        <w:t>the student </w:t>
      </w:r>
      <w:r>
        <w:rPr>
          <w:spacing w:val="-3"/>
        </w:rPr>
        <w:t>or </w:t>
      </w:r>
      <w:r>
        <w:rPr/>
        <w:t>the University may </w:t>
      </w:r>
      <w:r>
        <w:rPr>
          <w:spacing w:val="-3"/>
        </w:rPr>
        <w:t>be </w:t>
      </w:r>
      <w:r>
        <w:rPr/>
        <w:t>present at the hearing in </w:t>
      </w:r>
      <w:r>
        <w:rPr>
          <w:spacing w:val="-3"/>
        </w:rPr>
        <w:t>an </w:t>
      </w:r>
      <w:r>
        <w:rPr/>
        <w:t>advisory role. Legal counsel shall not function as an advocate. The student shall have the right to state </w:t>
      </w:r>
      <w:r>
        <w:rPr>
          <w:spacing w:val="-4"/>
        </w:rPr>
        <w:t>their </w:t>
      </w:r>
      <w:r>
        <w:rPr/>
        <w:t>case, offer explanations and interpretations </w:t>
      </w:r>
      <w:r>
        <w:rPr>
          <w:spacing w:val="-3"/>
        </w:rPr>
        <w:t>of </w:t>
      </w:r>
      <w:r>
        <w:rPr/>
        <w:t>each item </w:t>
      </w:r>
      <w:r>
        <w:rPr>
          <w:spacing w:val="-3"/>
        </w:rPr>
        <w:t>of </w:t>
      </w:r>
      <w:r>
        <w:rPr/>
        <w:t>evidence and testimony, and ask questions </w:t>
      </w:r>
      <w:r>
        <w:rPr>
          <w:spacing w:val="-3"/>
        </w:rPr>
        <w:t>of </w:t>
      </w:r>
      <w:r>
        <w:rPr/>
        <w:t>the faculty member and witnesses. The faculty member may offer interpretations </w:t>
      </w:r>
      <w:r>
        <w:rPr>
          <w:spacing w:val="-3"/>
        </w:rPr>
        <w:t>of </w:t>
      </w:r>
      <w:r>
        <w:rPr/>
        <w:t>the evidence and testimony and ask questions as necessary. Each committee member may ask questions. The proceedings </w:t>
      </w:r>
      <w:r>
        <w:rPr>
          <w:spacing w:val="-3"/>
        </w:rPr>
        <w:t>of </w:t>
      </w:r>
      <w:r>
        <w:rPr/>
        <w:t>the hearing are to </w:t>
      </w:r>
      <w:r>
        <w:rPr>
          <w:spacing w:val="-3"/>
        </w:rPr>
        <w:t>be </w:t>
      </w:r>
      <w:r>
        <w:rPr/>
        <w:t>confidential and are not to </w:t>
      </w:r>
      <w:r>
        <w:rPr>
          <w:spacing w:val="-3"/>
        </w:rPr>
        <w:t>be </w:t>
      </w:r>
      <w:r>
        <w:rPr/>
        <w:t>discussed outside the hearing.</w:t>
      </w:r>
    </w:p>
    <w:p>
      <w:pPr>
        <w:pStyle w:val="BodyText"/>
        <w:spacing w:before="6"/>
        <w:ind w:left="0"/>
        <w:rPr>
          <w:sz w:val="17"/>
        </w:rPr>
      </w:pPr>
    </w:p>
    <w:p>
      <w:pPr>
        <w:pStyle w:val="BodyText"/>
        <w:spacing w:line="249" w:lineRule="auto" w:before="0"/>
        <w:ind w:right="754"/>
      </w:pPr>
      <w:r>
        <w:rPr/>
        <w:t>Members of the GCGC who are present throughout the hearing shall discuss the case in closed session as soon as possible after the hearing. They then vote on whether to uphold the faculty member’s initial determination of academic misconduct. When a faculty member’s recommendation of suspension or expulsion is involved, the GCGC also votes whether to uphold the recommendation. No votes in absentia shall be counted.</w:t>
      </w:r>
    </w:p>
    <w:p>
      <w:pPr>
        <w:pStyle w:val="BodyText"/>
        <w:spacing w:line="249" w:lineRule="auto" w:before="184"/>
        <w:ind w:right="648"/>
        <w:jc w:val="both"/>
      </w:pPr>
      <w:r>
        <w:rPr/>
        <w:t>The GCGC shall send its findings and recommendations in writing to the associate dean or the dean’s designee within 10 days of the hearing, if possible. (A dissenting opinion</w:t>
      </w:r>
    </w:p>
    <w:p>
      <w:pPr>
        <w:spacing w:after="0" w:line="249" w:lineRule="auto"/>
        <w:jc w:val="both"/>
        <w:sectPr>
          <w:headerReference w:type="even" r:id="rId143"/>
          <w:headerReference w:type="default" r:id="rId144"/>
          <w:pgSz w:w="12240" w:h="15840"/>
          <w:pgMar w:header="746" w:footer="0" w:top="1320" w:bottom="280" w:left="880" w:right="300"/>
          <w:cols w:num="2" w:equalWidth="0">
            <w:col w:w="5010" w:space="476"/>
            <w:col w:w="5574"/>
          </w:cols>
        </w:sectPr>
      </w:pPr>
    </w:p>
    <w:p>
      <w:pPr>
        <w:pStyle w:val="BodyText"/>
        <w:spacing w:line="249" w:lineRule="auto" w:before="100"/>
        <w:ind w:left="199" w:right="50"/>
      </w:pPr>
      <w:r>
        <w:rPr/>
        <w:t>may </w:t>
      </w:r>
      <w:r>
        <w:rPr>
          <w:spacing w:val="-3"/>
        </w:rPr>
        <w:t>be </w:t>
      </w:r>
      <w:r>
        <w:rPr/>
        <w:t>submitted and filed by any GCGC member.) The associate dean </w:t>
      </w:r>
      <w:r>
        <w:rPr>
          <w:spacing w:val="-3"/>
        </w:rPr>
        <w:t>or </w:t>
      </w:r>
      <w:r>
        <w:rPr/>
        <w:t>the dean’s designee will act </w:t>
      </w:r>
      <w:r>
        <w:rPr>
          <w:spacing w:val="-3"/>
        </w:rPr>
        <w:t>upon </w:t>
      </w:r>
      <w:r>
        <w:rPr/>
        <w:t>the recommendations </w:t>
      </w:r>
      <w:r>
        <w:rPr>
          <w:spacing w:val="-3"/>
        </w:rPr>
        <w:t>of </w:t>
      </w:r>
      <w:r>
        <w:rPr/>
        <w:t>the report and notify the student, faculty member, and other necessary parties </w:t>
      </w:r>
      <w:r>
        <w:rPr>
          <w:spacing w:val="-3"/>
        </w:rPr>
        <w:t>of </w:t>
      </w:r>
      <w:r>
        <w:rPr/>
        <w:t>the results of the determination. If the GCGC determines that the faculty member acted improperly </w:t>
      </w:r>
      <w:r>
        <w:rPr>
          <w:spacing w:val="-3"/>
        </w:rPr>
        <w:t>or </w:t>
      </w:r>
      <w:r>
        <w:rPr/>
        <w:t>mistakenly in </w:t>
      </w:r>
      <w:r>
        <w:rPr>
          <w:spacing w:val="-3"/>
        </w:rPr>
        <w:t>their </w:t>
      </w:r>
      <w:r>
        <w:rPr/>
        <w:t>initial determination </w:t>
      </w:r>
      <w:r>
        <w:rPr>
          <w:spacing w:val="-3"/>
        </w:rPr>
        <w:t>of </w:t>
      </w:r>
      <w:r>
        <w:rPr/>
        <w:t>more serious academic misconduct, it may recommend that the associate dean </w:t>
      </w:r>
      <w:r>
        <w:rPr>
          <w:spacing w:val="-3"/>
        </w:rPr>
        <w:t>or </w:t>
      </w:r>
      <w:r>
        <w:rPr/>
        <w:t>the dean’s designee expunge the notice </w:t>
      </w:r>
      <w:r>
        <w:rPr>
          <w:spacing w:val="-3"/>
        </w:rPr>
        <w:t>of </w:t>
      </w:r>
      <w:r>
        <w:rPr/>
        <w:t>academic misconduct </w:t>
      </w:r>
      <w:r>
        <w:rPr>
          <w:spacing w:val="-5"/>
        </w:rPr>
        <w:t>or </w:t>
      </w:r>
      <w:r>
        <w:rPr/>
        <w:t>attach a letter </w:t>
      </w:r>
      <w:r>
        <w:rPr>
          <w:spacing w:val="-3"/>
        </w:rPr>
        <w:t>of </w:t>
      </w:r>
      <w:r>
        <w:rPr/>
        <w:t>explanation to the notice. The </w:t>
      </w:r>
      <w:r>
        <w:rPr>
          <w:spacing w:val="-3"/>
        </w:rPr>
        <w:t>GCGC  </w:t>
      </w:r>
      <w:r>
        <w:rPr/>
        <w:t>may, in its report to the associate dean </w:t>
      </w:r>
      <w:r>
        <w:rPr>
          <w:spacing w:val="-3"/>
        </w:rPr>
        <w:t>or </w:t>
      </w:r>
      <w:r>
        <w:rPr/>
        <w:t>the dean’s designee, include </w:t>
      </w:r>
      <w:r>
        <w:rPr>
          <w:spacing w:val="-3"/>
        </w:rPr>
        <w:t>other </w:t>
      </w:r>
      <w:r>
        <w:rPr/>
        <w:t>penalties. While the GCGC may not impose grade alterations based </w:t>
      </w:r>
      <w:r>
        <w:rPr>
          <w:spacing w:val="-3"/>
        </w:rPr>
        <w:t>on </w:t>
      </w:r>
      <w:r>
        <w:rPr/>
        <w:t>the content </w:t>
      </w:r>
      <w:r>
        <w:rPr>
          <w:spacing w:val="-3"/>
        </w:rPr>
        <w:t>of </w:t>
      </w:r>
      <w:r>
        <w:rPr/>
        <w:t>the student’s work, it has the authority to uphold the grade sanctions recommended by the faculty member if the student is found to have engaged in academic misconduct. The associate dean </w:t>
      </w:r>
      <w:r>
        <w:rPr>
          <w:spacing w:val="-3"/>
        </w:rPr>
        <w:t>or </w:t>
      </w:r>
      <w:r>
        <w:rPr/>
        <w:t>the dean’s designee’s notification letter shall direct the student to the dean </w:t>
      </w:r>
      <w:r>
        <w:rPr>
          <w:spacing w:val="-3"/>
        </w:rPr>
        <w:t>of </w:t>
      </w:r>
      <w:r>
        <w:rPr/>
        <w:t>the Graduate School should he </w:t>
      </w:r>
      <w:r>
        <w:rPr>
          <w:spacing w:val="-3"/>
        </w:rPr>
        <w:t>or </w:t>
      </w:r>
      <w:r>
        <w:rPr/>
        <w:t>she want to appeal the decision. The GCGC also shall send the dean </w:t>
      </w:r>
      <w:r>
        <w:rPr>
          <w:spacing w:val="-3"/>
        </w:rPr>
        <w:t>of </w:t>
      </w:r>
      <w:r>
        <w:rPr/>
        <w:t>the Graduate </w:t>
      </w:r>
      <w:r>
        <w:rPr>
          <w:spacing w:val="-2"/>
        </w:rPr>
        <w:t>School </w:t>
      </w:r>
      <w:r>
        <w:rPr/>
        <w:t>the documents and records used as evidence in the</w:t>
      </w:r>
      <w:r>
        <w:rPr>
          <w:spacing w:val="-14"/>
        </w:rPr>
        <w:t> </w:t>
      </w:r>
      <w:r>
        <w:rPr/>
        <w:t>case.</w:t>
      </w:r>
    </w:p>
    <w:p>
      <w:pPr>
        <w:pStyle w:val="BodyText"/>
        <w:spacing w:line="249" w:lineRule="auto" w:before="193"/>
        <w:ind w:right="99"/>
      </w:pPr>
      <w:r>
        <w:rPr/>
        <w:t>The student has the right to appeal to the dean of the Graduate School. The appeal must be in writing and must be filed within 10 days of receiving the GCGC report. The dean will review the GCGC report and may uphold the decision, reverse the decision, modify the decision or penalties, or refer the case back to the GCGC. In any case, the decision of the dean of the Graduate School is final.</w:t>
      </w:r>
    </w:p>
    <w:p>
      <w:pPr>
        <w:pStyle w:val="BodyText"/>
        <w:spacing w:line="249" w:lineRule="auto" w:before="187"/>
        <w:ind w:right="144"/>
      </w:pPr>
      <w:r>
        <w:rPr/>
        <w:t>The dean of the Graduate School shall maintain a confidential file of academic misconduct communications that shall constitute the student’s record of academic conduct. The dean of the Graduate School may place appropriate notations on the student’s transcript and provide the academic misconduct record of any student to outside institutions making inquiry appropriate under the federal Buckley Amendment laws.</w:t>
      </w:r>
    </w:p>
    <w:p>
      <w:pPr>
        <w:pStyle w:val="BodyText"/>
        <w:spacing w:line="249" w:lineRule="auto" w:before="183"/>
        <w:ind w:right="194"/>
      </w:pPr>
      <w:r>
        <w:rPr/>
        <w:t>*The GCGC is composed of three graduate faculty members from each campus — the University of Maryland, Baltimore and the University of Maryland, Baltimore County. GCGC members may be members of the Graduate Council and are appointed by the respective deans of the Graduate School to a term of two years. The initial appointment of one year for two members assures continuity of membership on the committee. Monthly meeting times will be set for the GCGC and any grievances that are filed will be heard at these times.</w:t>
      </w:r>
    </w:p>
    <w:p>
      <w:pPr>
        <w:pStyle w:val="BodyText"/>
        <w:spacing w:line="249" w:lineRule="auto" w:before="8"/>
        <w:ind w:right="38"/>
      </w:pPr>
      <w:r>
        <w:rPr/>
        <w:t>Additional meeting times may </w:t>
      </w:r>
      <w:r>
        <w:rPr>
          <w:spacing w:val="-3"/>
        </w:rPr>
        <w:t>be </w:t>
      </w:r>
      <w:r>
        <w:rPr/>
        <w:t>scheduled as needed. When a grievance is filed, all parties </w:t>
      </w:r>
      <w:r>
        <w:rPr>
          <w:spacing w:val="-3"/>
        </w:rPr>
        <w:t>of </w:t>
      </w:r>
      <w:r>
        <w:rPr/>
        <w:t>the grievance and the members </w:t>
      </w:r>
      <w:r>
        <w:rPr>
          <w:spacing w:val="-3"/>
        </w:rPr>
        <w:t>of </w:t>
      </w:r>
      <w:r>
        <w:rPr/>
        <w:t>the GCGC will </w:t>
      </w:r>
      <w:r>
        <w:rPr>
          <w:spacing w:val="-3"/>
        </w:rPr>
        <w:t>be </w:t>
      </w:r>
      <w:r>
        <w:rPr/>
        <w:t>asked if there </w:t>
      </w:r>
      <w:r>
        <w:rPr>
          <w:spacing w:val="-3"/>
        </w:rPr>
        <w:t>would be  </w:t>
      </w:r>
      <w:r>
        <w:rPr/>
        <w:t>a conflict </w:t>
      </w:r>
      <w:r>
        <w:rPr>
          <w:spacing w:val="-3"/>
        </w:rPr>
        <w:t>of </w:t>
      </w:r>
      <w:r>
        <w:rPr/>
        <w:t>interest </w:t>
      </w:r>
      <w:r>
        <w:rPr>
          <w:spacing w:val="-3"/>
        </w:rPr>
        <w:t>with </w:t>
      </w:r>
      <w:r>
        <w:rPr/>
        <w:t>members </w:t>
      </w:r>
      <w:r>
        <w:rPr>
          <w:spacing w:val="-3"/>
        </w:rPr>
        <w:t>of </w:t>
      </w:r>
      <w:r>
        <w:rPr/>
        <w:t>the committee </w:t>
      </w:r>
      <w:r>
        <w:rPr>
          <w:spacing w:val="-3"/>
        </w:rPr>
        <w:t>or</w:t>
      </w:r>
      <w:r>
        <w:rPr>
          <w:spacing w:val="19"/>
        </w:rPr>
        <w:t> </w:t>
      </w:r>
      <w:r>
        <w:rPr/>
        <w:t>any</w:t>
      </w:r>
    </w:p>
    <w:p>
      <w:pPr>
        <w:pStyle w:val="BodyText"/>
        <w:spacing w:line="249" w:lineRule="auto" w:before="95"/>
        <w:ind w:right="608"/>
      </w:pPr>
      <w:r>
        <w:rPr/>
        <w:br w:type="column"/>
      </w:r>
      <w:r>
        <w:rPr/>
        <w:t>party filing the grievance. The dean of the Graduate School will select three members of the GCGC who have no conflict of interest with any party affected by the grievance to serve on a panel to hear the case. Two members of the panel will be from the campus of the person filing the grievance. A panel may be augmented by two Graduate Student Association members of the Graduate Council (or other selected students) for the deliberation of academic misconduct grievances. The GCGC panel will serve as an informal fact-finding body, taking written statements from all participants and interviewing witnesses. The investigation may take the form of a hearing in which statements from all participants may be reviewed and the participants questioned. Legal counsel may be present at the hearing in an advisory role but shall not function as an advocate. Every consideration will be taken to ensure the confidentiality of witnesses. The GCGC panel will deliberate in closed session and make its recommendations to the associate dean or the dean’s designee. Original documents of the proceedings and records of the hearing also will be submitted to the associate dean or the dean’s designee.</w:t>
      </w:r>
    </w:p>
    <w:p>
      <w:pPr>
        <w:spacing w:line="249" w:lineRule="auto" w:before="194"/>
        <w:ind w:left="200" w:right="816" w:firstLine="0"/>
        <w:jc w:val="left"/>
        <w:rPr>
          <w:i/>
          <w:sz w:val="20"/>
        </w:rPr>
      </w:pPr>
      <w:r>
        <w:rPr>
          <w:i/>
          <w:sz w:val="20"/>
        </w:rPr>
        <w:t>(Approved and adopted by the Graduate Council, </w:t>
      </w:r>
      <w:r>
        <w:rPr>
          <w:i/>
          <w:sz w:val="20"/>
        </w:rPr>
        <w:t>September 1993; revised July 23, 1998; revised Nov. 25,</w:t>
      </w:r>
    </w:p>
    <w:p>
      <w:pPr>
        <w:spacing w:before="1"/>
        <w:ind w:left="200" w:right="0" w:firstLine="0"/>
        <w:jc w:val="left"/>
        <w:rPr>
          <w:i/>
          <w:sz w:val="20"/>
        </w:rPr>
      </w:pPr>
      <w:r>
        <w:rPr>
          <w:i/>
          <w:sz w:val="20"/>
        </w:rPr>
        <w:t>2002)</w:t>
      </w:r>
    </w:p>
    <w:p>
      <w:pPr>
        <w:pStyle w:val="Heading4"/>
        <w:spacing w:before="181"/>
      </w:pPr>
      <w:r>
        <w:rPr/>
        <w:t>Ombuds-Committee</w:t>
      </w:r>
    </w:p>
    <w:p>
      <w:pPr>
        <w:pStyle w:val="BodyText"/>
        <w:spacing w:line="249" w:lineRule="auto" w:before="183"/>
        <w:ind w:right="711"/>
      </w:pPr>
      <w:r>
        <w:rPr/>
        <w:t>The purpose of the Graduate School Ombuds-Committee (GSOC) is to provide mediation services when disagreements or differences of opinion arise between a graduate student and their advisor or graduate program that: (a) cannot be successfully resolved at the program level; (b) are serious enough in nature to jeopardize the student’s ability to complete their training; and (c) do not relate to issues that fall under other policies.* The GSOC will consist of three experienced faculty members appointed by the dean of the Graduate School for a period of two years.**</w:t>
      </w:r>
    </w:p>
    <w:p>
      <w:pPr>
        <w:pStyle w:val="BodyText"/>
        <w:spacing w:line="249" w:lineRule="auto" w:before="190"/>
        <w:ind w:right="654"/>
      </w:pPr>
      <w:r>
        <w:rPr>
          <w:b/>
        </w:rPr>
        <w:t>Rationale: </w:t>
      </w:r>
      <w:r>
        <w:rPr/>
        <w:t>It is recognized that disagreements between students and their advisors occur during training. In most cases, such problems can and should be worked out by the student, advisor, and program, possibly with the assistance of the student’s dissertation committee. If this is not possible, however, the situation should be brought to the attention of the associate dean or the dean’s designee, who will, in turn, inform the GSOC. The GSOC will assist the student, advisor, and program to develop a strategy to resolve the situation. The GSOC will provide all parties an opportunity for full consideration of their positions and ensure that all relevant Graduate School rules and guidelines are followed.</w:t>
      </w:r>
    </w:p>
    <w:p>
      <w:pPr>
        <w:spacing w:after="0" w:line="249" w:lineRule="auto"/>
        <w:sectPr>
          <w:pgSz w:w="12240" w:h="15840"/>
          <w:pgMar w:header="746" w:footer="0" w:top="1320" w:bottom="280" w:left="880" w:right="300"/>
          <w:cols w:num="2" w:equalWidth="0">
            <w:col w:w="5002" w:space="484"/>
            <w:col w:w="5574"/>
          </w:cols>
        </w:sectPr>
      </w:pPr>
    </w:p>
    <w:p>
      <w:pPr>
        <w:pStyle w:val="Heading6"/>
        <w:spacing w:before="100"/>
      </w:pPr>
      <w:r>
        <w:rPr/>
        <w:t>Procedures:</w:t>
      </w:r>
    </w:p>
    <w:p>
      <w:pPr>
        <w:pStyle w:val="ListParagraph"/>
        <w:numPr>
          <w:ilvl w:val="1"/>
          <w:numId w:val="19"/>
        </w:numPr>
        <w:tabs>
          <w:tab w:pos="632" w:val="left" w:leader="none"/>
        </w:tabs>
        <w:spacing w:line="249" w:lineRule="auto" w:before="187" w:after="0"/>
        <w:ind w:left="631" w:right="194" w:hanging="216"/>
        <w:jc w:val="left"/>
        <w:rPr>
          <w:sz w:val="20"/>
        </w:rPr>
      </w:pPr>
      <w:r>
        <w:rPr>
          <w:sz w:val="20"/>
        </w:rPr>
        <w:t>The student must first inform the </w:t>
      </w:r>
      <w:r>
        <w:rPr>
          <w:spacing w:val="-3"/>
          <w:sz w:val="20"/>
        </w:rPr>
        <w:t>director of </w:t>
      </w:r>
      <w:r>
        <w:rPr>
          <w:sz w:val="20"/>
        </w:rPr>
        <w:t>their graduate program that a serious problem exists. It is the director’s responsibility to review the situation and attempt to resolve it according to the rules and guidelines </w:t>
      </w:r>
      <w:r>
        <w:rPr>
          <w:spacing w:val="-3"/>
          <w:sz w:val="20"/>
        </w:rPr>
        <w:t>of </w:t>
      </w:r>
      <w:r>
        <w:rPr>
          <w:sz w:val="20"/>
        </w:rPr>
        <w:t>the program and any Graduate </w:t>
      </w:r>
      <w:r>
        <w:rPr>
          <w:spacing w:val="-4"/>
          <w:sz w:val="20"/>
        </w:rPr>
        <w:t>School </w:t>
      </w:r>
      <w:r>
        <w:rPr>
          <w:sz w:val="20"/>
        </w:rPr>
        <w:t>rules </w:t>
      </w:r>
      <w:r>
        <w:rPr>
          <w:spacing w:val="-3"/>
          <w:sz w:val="20"/>
        </w:rPr>
        <w:t>or </w:t>
      </w:r>
      <w:r>
        <w:rPr>
          <w:sz w:val="20"/>
        </w:rPr>
        <w:t>guidelines that are</w:t>
      </w:r>
      <w:r>
        <w:rPr>
          <w:spacing w:val="-1"/>
          <w:sz w:val="20"/>
        </w:rPr>
        <w:t> </w:t>
      </w:r>
      <w:r>
        <w:rPr>
          <w:sz w:val="20"/>
        </w:rPr>
        <w:t>applicable.</w:t>
      </w:r>
    </w:p>
    <w:p>
      <w:pPr>
        <w:pStyle w:val="ListParagraph"/>
        <w:numPr>
          <w:ilvl w:val="1"/>
          <w:numId w:val="19"/>
        </w:numPr>
        <w:tabs>
          <w:tab w:pos="632" w:val="left" w:leader="none"/>
        </w:tabs>
        <w:spacing w:line="249" w:lineRule="auto" w:before="187" w:after="0"/>
        <w:ind w:left="631" w:right="305" w:hanging="216"/>
        <w:jc w:val="left"/>
        <w:rPr>
          <w:sz w:val="20"/>
        </w:rPr>
      </w:pPr>
      <w:r>
        <w:rPr>
          <w:sz w:val="20"/>
        </w:rPr>
        <w:t>In the event that the advisor is also the program director, the program should select another faculty member </w:t>
      </w:r>
      <w:r>
        <w:rPr>
          <w:spacing w:val="-3"/>
          <w:sz w:val="20"/>
        </w:rPr>
        <w:t>or </w:t>
      </w:r>
      <w:r>
        <w:rPr>
          <w:sz w:val="20"/>
        </w:rPr>
        <w:t>form a committee </w:t>
      </w:r>
      <w:r>
        <w:rPr>
          <w:spacing w:val="-3"/>
          <w:sz w:val="20"/>
        </w:rPr>
        <w:t>of </w:t>
      </w:r>
      <w:r>
        <w:rPr>
          <w:sz w:val="20"/>
        </w:rPr>
        <w:t>faculty members from within the program to mediate the</w:t>
      </w:r>
      <w:r>
        <w:rPr>
          <w:spacing w:val="-21"/>
          <w:sz w:val="20"/>
        </w:rPr>
        <w:t> </w:t>
      </w:r>
      <w:r>
        <w:rPr>
          <w:sz w:val="20"/>
        </w:rPr>
        <w:t>problem.</w:t>
      </w:r>
    </w:p>
    <w:p>
      <w:pPr>
        <w:pStyle w:val="ListParagraph"/>
        <w:numPr>
          <w:ilvl w:val="1"/>
          <w:numId w:val="19"/>
        </w:numPr>
        <w:tabs>
          <w:tab w:pos="632" w:val="left" w:leader="none"/>
        </w:tabs>
        <w:spacing w:line="249" w:lineRule="auto" w:before="181" w:after="0"/>
        <w:ind w:left="631" w:right="38" w:hanging="216"/>
        <w:jc w:val="left"/>
        <w:rPr>
          <w:sz w:val="20"/>
        </w:rPr>
      </w:pPr>
      <w:r>
        <w:rPr>
          <w:sz w:val="20"/>
        </w:rPr>
        <w:t>If efforts at the program </w:t>
      </w:r>
      <w:r>
        <w:rPr>
          <w:spacing w:val="-3"/>
          <w:sz w:val="20"/>
        </w:rPr>
        <w:t>level </w:t>
      </w:r>
      <w:r>
        <w:rPr>
          <w:sz w:val="20"/>
        </w:rPr>
        <w:t>fail to resolve the situation, </w:t>
      </w:r>
      <w:r>
        <w:rPr>
          <w:spacing w:val="-3"/>
          <w:sz w:val="20"/>
        </w:rPr>
        <w:t>or </w:t>
      </w:r>
      <w:r>
        <w:rPr>
          <w:sz w:val="20"/>
        </w:rPr>
        <w:t>if the program fails to act, the student may contact the associate dean </w:t>
      </w:r>
      <w:r>
        <w:rPr>
          <w:spacing w:val="-3"/>
          <w:sz w:val="20"/>
        </w:rPr>
        <w:t>or </w:t>
      </w:r>
      <w:r>
        <w:rPr>
          <w:sz w:val="20"/>
        </w:rPr>
        <w:t>the dean’s designee. The student should present the problem to the associate dean </w:t>
      </w:r>
      <w:r>
        <w:rPr>
          <w:spacing w:val="-3"/>
          <w:sz w:val="20"/>
        </w:rPr>
        <w:t>or </w:t>
      </w:r>
      <w:r>
        <w:rPr>
          <w:sz w:val="20"/>
        </w:rPr>
        <w:t>the dean’s designee in writing, describing the situation in detail and outlining what was done at the program </w:t>
      </w:r>
      <w:r>
        <w:rPr>
          <w:spacing w:val="-3"/>
          <w:sz w:val="20"/>
        </w:rPr>
        <w:t>level </w:t>
      </w:r>
      <w:r>
        <w:rPr>
          <w:sz w:val="20"/>
        </w:rPr>
        <w:t>to attempt to resolve</w:t>
      </w:r>
      <w:r>
        <w:rPr>
          <w:spacing w:val="-2"/>
          <w:sz w:val="20"/>
        </w:rPr>
        <w:t> </w:t>
      </w:r>
      <w:r>
        <w:rPr>
          <w:sz w:val="20"/>
        </w:rPr>
        <w:t>it.</w:t>
      </w:r>
    </w:p>
    <w:p>
      <w:pPr>
        <w:pStyle w:val="ListParagraph"/>
        <w:numPr>
          <w:ilvl w:val="1"/>
          <w:numId w:val="19"/>
        </w:numPr>
        <w:tabs>
          <w:tab w:pos="632" w:val="left" w:leader="none"/>
        </w:tabs>
        <w:spacing w:line="249" w:lineRule="auto" w:before="187" w:after="0"/>
        <w:ind w:left="631" w:right="123" w:hanging="216"/>
        <w:jc w:val="left"/>
        <w:rPr>
          <w:sz w:val="20"/>
        </w:rPr>
      </w:pPr>
      <w:r>
        <w:rPr>
          <w:sz w:val="20"/>
        </w:rPr>
        <w:t>The associate dean </w:t>
      </w:r>
      <w:r>
        <w:rPr>
          <w:spacing w:val="-3"/>
          <w:sz w:val="20"/>
        </w:rPr>
        <w:t>or </w:t>
      </w:r>
      <w:r>
        <w:rPr>
          <w:sz w:val="20"/>
        </w:rPr>
        <w:t>the dean’s designee will provide the student’s information to the GSOC. The GSOC will request information, also to </w:t>
      </w:r>
      <w:r>
        <w:rPr>
          <w:spacing w:val="-3"/>
          <w:sz w:val="20"/>
        </w:rPr>
        <w:t>be </w:t>
      </w:r>
      <w:r>
        <w:rPr>
          <w:sz w:val="20"/>
        </w:rPr>
        <w:t>submitted in writing, from the program director, stating the program’s position and describing efforts that were made to resolve the situation. The advisor also may provide input at this time, but such input must </w:t>
      </w:r>
      <w:r>
        <w:rPr>
          <w:spacing w:val="-3"/>
          <w:sz w:val="20"/>
        </w:rPr>
        <w:t>be </w:t>
      </w:r>
      <w:r>
        <w:rPr>
          <w:sz w:val="20"/>
        </w:rPr>
        <w:t>submitted through the program</w:t>
      </w:r>
      <w:r>
        <w:rPr>
          <w:spacing w:val="-5"/>
          <w:sz w:val="20"/>
        </w:rPr>
        <w:t> </w:t>
      </w:r>
      <w:r>
        <w:rPr>
          <w:sz w:val="20"/>
        </w:rPr>
        <w:t>director.</w:t>
      </w:r>
    </w:p>
    <w:p>
      <w:pPr>
        <w:pStyle w:val="ListParagraph"/>
        <w:numPr>
          <w:ilvl w:val="1"/>
          <w:numId w:val="19"/>
        </w:numPr>
        <w:tabs>
          <w:tab w:pos="632" w:val="left" w:leader="none"/>
        </w:tabs>
        <w:spacing w:line="249" w:lineRule="auto" w:before="183" w:after="0"/>
        <w:ind w:left="631" w:right="90" w:hanging="216"/>
        <w:jc w:val="left"/>
        <w:rPr>
          <w:sz w:val="20"/>
        </w:rPr>
      </w:pPr>
      <w:r>
        <w:rPr>
          <w:sz w:val="20"/>
        </w:rPr>
        <w:t>The GSOC will review all relevant material</w:t>
      </w:r>
      <w:r>
        <w:rPr>
          <w:spacing w:val="-28"/>
          <w:sz w:val="20"/>
        </w:rPr>
        <w:t> </w:t>
      </w:r>
      <w:r>
        <w:rPr>
          <w:sz w:val="20"/>
        </w:rPr>
        <w:t>provided by the student and program director. The GSOC may request additional information and meet </w:t>
      </w:r>
      <w:r>
        <w:rPr>
          <w:spacing w:val="-3"/>
          <w:sz w:val="20"/>
        </w:rPr>
        <w:t>with </w:t>
      </w:r>
      <w:r>
        <w:rPr>
          <w:sz w:val="20"/>
        </w:rPr>
        <w:t>the parties involved. Upon completion </w:t>
      </w:r>
      <w:r>
        <w:rPr>
          <w:spacing w:val="-3"/>
          <w:sz w:val="20"/>
        </w:rPr>
        <w:t>of </w:t>
      </w:r>
      <w:r>
        <w:rPr>
          <w:sz w:val="20"/>
        </w:rPr>
        <w:t>its </w:t>
      </w:r>
      <w:r>
        <w:rPr>
          <w:spacing w:val="-3"/>
          <w:sz w:val="20"/>
        </w:rPr>
        <w:t>review, </w:t>
      </w:r>
      <w:r>
        <w:rPr>
          <w:sz w:val="20"/>
        </w:rPr>
        <w:t>the GSOC will make recommendations </w:t>
      </w:r>
      <w:r>
        <w:rPr>
          <w:spacing w:val="-4"/>
          <w:sz w:val="20"/>
        </w:rPr>
        <w:t>for </w:t>
      </w:r>
      <w:r>
        <w:rPr>
          <w:sz w:val="20"/>
        </w:rPr>
        <w:t>resolution </w:t>
      </w:r>
      <w:r>
        <w:rPr>
          <w:spacing w:val="-3"/>
          <w:sz w:val="20"/>
        </w:rPr>
        <w:t>of </w:t>
      </w:r>
      <w:r>
        <w:rPr>
          <w:sz w:val="20"/>
        </w:rPr>
        <w:t>the situation in writing to the student, advisor, program, and associate dean </w:t>
      </w:r>
      <w:r>
        <w:rPr>
          <w:spacing w:val="-3"/>
          <w:sz w:val="20"/>
        </w:rPr>
        <w:t>or </w:t>
      </w:r>
      <w:r>
        <w:rPr>
          <w:sz w:val="20"/>
        </w:rPr>
        <w:t>the dean’s</w:t>
      </w:r>
      <w:r>
        <w:rPr>
          <w:spacing w:val="-9"/>
          <w:sz w:val="20"/>
        </w:rPr>
        <w:t> </w:t>
      </w:r>
      <w:r>
        <w:rPr>
          <w:sz w:val="20"/>
        </w:rPr>
        <w:t>designee.</w:t>
      </w:r>
    </w:p>
    <w:p>
      <w:pPr>
        <w:pStyle w:val="ListParagraph"/>
        <w:numPr>
          <w:ilvl w:val="1"/>
          <w:numId w:val="19"/>
        </w:numPr>
        <w:tabs>
          <w:tab w:pos="632" w:val="left" w:leader="none"/>
        </w:tabs>
        <w:spacing w:line="249" w:lineRule="auto" w:before="188" w:after="0"/>
        <w:ind w:left="631" w:right="163" w:hanging="216"/>
        <w:jc w:val="left"/>
        <w:rPr>
          <w:sz w:val="20"/>
        </w:rPr>
      </w:pPr>
      <w:r>
        <w:rPr>
          <w:sz w:val="20"/>
        </w:rPr>
        <w:t>The final decision as to the appropriate resolution </w:t>
      </w:r>
      <w:r>
        <w:rPr>
          <w:spacing w:val="-5"/>
          <w:sz w:val="20"/>
        </w:rPr>
        <w:t>of </w:t>
      </w:r>
      <w:r>
        <w:rPr>
          <w:sz w:val="20"/>
        </w:rPr>
        <w:t>all cases will rest </w:t>
      </w:r>
      <w:r>
        <w:rPr>
          <w:spacing w:val="-3"/>
          <w:sz w:val="20"/>
        </w:rPr>
        <w:t>with </w:t>
      </w:r>
      <w:r>
        <w:rPr>
          <w:sz w:val="20"/>
        </w:rPr>
        <w:t>the dean </w:t>
      </w:r>
      <w:r>
        <w:rPr>
          <w:spacing w:val="-3"/>
          <w:sz w:val="20"/>
        </w:rPr>
        <w:t>of </w:t>
      </w:r>
      <w:r>
        <w:rPr>
          <w:sz w:val="20"/>
        </w:rPr>
        <w:t>the Graduate School.</w:t>
      </w:r>
    </w:p>
    <w:p>
      <w:pPr>
        <w:pStyle w:val="ListParagraph"/>
        <w:numPr>
          <w:ilvl w:val="1"/>
          <w:numId w:val="19"/>
        </w:numPr>
        <w:tabs>
          <w:tab w:pos="632" w:val="left" w:leader="none"/>
        </w:tabs>
        <w:spacing w:line="249" w:lineRule="auto" w:before="180" w:after="0"/>
        <w:ind w:left="631" w:right="95" w:hanging="216"/>
        <w:jc w:val="left"/>
        <w:rPr>
          <w:sz w:val="20"/>
        </w:rPr>
      </w:pPr>
      <w:r>
        <w:rPr>
          <w:sz w:val="20"/>
        </w:rPr>
        <w:t>If a GSOC member has </w:t>
      </w:r>
      <w:r>
        <w:rPr>
          <w:spacing w:val="-3"/>
          <w:sz w:val="20"/>
        </w:rPr>
        <w:t>been involved </w:t>
      </w:r>
      <w:r>
        <w:rPr>
          <w:sz w:val="20"/>
        </w:rPr>
        <w:t>in a </w:t>
      </w:r>
      <w:r>
        <w:rPr>
          <w:spacing w:val="-2"/>
          <w:sz w:val="20"/>
        </w:rPr>
        <w:t>matter </w:t>
      </w:r>
      <w:r>
        <w:rPr>
          <w:sz w:val="20"/>
        </w:rPr>
        <w:t>before it reaches the GSOC, the member will not participate in the deliberations. The associate dean </w:t>
      </w:r>
      <w:r>
        <w:rPr>
          <w:spacing w:val="-3"/>
          <w:sz w:val="20"/>
        </w:rPr>
        <w:t>or </w:t>
      </w:r>
      <w:r>
        <w:rPr>
          <w:sz w:val="20"/>
        </w:rPr>
        <w:t>the dean’s designee will name one alternate member to the GSOC </w:t>
      </w:r>
      <w:r>
        <w:rPr>
          <w:spacing w:val="-4"/>
          <w:sz w:val="20"/>
        </w:rPr>
        <w:t>for </w:t>
      </w:r>
      <w:r>
        <w:rPr>
          <w:sz w:val="20"/>
        </w:rPr>
        <w:t>the</w:t>
      </w:r>
      <w:r>
        <w:rPr>
          <w:spacing w:val="-1"/>
          <w:sz w:val="20"/>
        </w:rPr>
        <w:t> </w:t>
      </w:r>
      <w:r>
        <w:rPr>
          <w:sz w:val="20"/>
        </w:rPr>
        <w:t>matter.</w:t>
      </w:r>
    </w:p>
    <w:p>
      <w:pPr>
        <w:pStyle w:val="BodyText"/>
        <w:spacing w:line="249" w:lineRule="auto" w:before="186"/>
        <w:ind w:left="198" w:right="110"/>
      </w:pPr>
      <w:r>
        <w:rPr/>
        <w:t>*Note, for example, that instances of alleged arbitrary and capricious grading, sexual harassment, student academic misconduct, and other misconduct are dealt with under other Graduate School policies or University policies.</w:t>
      </w:r>
    </w:p>
    <w:p>
      <w:pPr>
        <w:pStyle w:val="BodyText"/>
        <w:spacing w:before="180"/>
        <w:ind w:left="198"/>
      </w:pPr>
      <w:r>
        <w:rPr/>
        <w:t>**Initially, the three faculty members will be appointed to</w:t>
      </w:r>
    </w:p>
    <w:p>
      <w:pPr>
        <w:pStyle w:val="BodyText"/>
        <w:spacing w:line="249" w:lineRule="auto" w:before="96"/>
        <w:ind w:left="198" w:right="734"/>
      </w:pPr>
      <w:r>
        <w:rPr/>
        <w:br w:type="column"/>
      </w:r>
      <w:r>
        <w:rPr/>
        <w:t>staggered terms, as follows: one to a term of one year and two to a term of two years. This will provide for overlapping terms in subsequent years.</w:t>
      </w:r>
    </w:p>
    <w:p>
      <w:pPr>
        <w:pStyle w:val="Heading4"/>
        <w:spacing w:before="165"/>
      </w:pPr>
      <w:r>
        <w:rPr/>
        <w:t>FERPA Notice</w:t>
      </w:r>
    </w:p>
    <w:p>
      <w:pPr>
        <w:pStyle w:val="BodyText"/>
        <w:spacing w:line="249" w:lineRule="auto" w:before="188"/>
        <w:ind w:right="588"/>
      </w:pPr>
      <w:r>
        <w:rPr/>
        <w:t>Pursuant to the Family Educational Rights and Privacy Act (FERPA) and the UMB Confidentiality and Disclosure of Student Records Policy, this notice is given to students to advise them that the following information about a student is directory information subject to disclosure by the University upon request: name; address; telephone listing; date and place of birth; photograph; major field of study; dates of attendance; degrees and awards received; and most recent previous educational institution attended. The directory information concerning a student may be disclosed even in the absence of consent unless the student, within three weeks of the first day of the semester in which the student begins each school year, files written notice informing the University not to disclose information in any or all of the categories. Notice not to disclose may be filed with the office of student affairs at the student’s school.</w:t>
      </w:r>
    </w:p>
    <w:p>
      <w:pPr>
        <w:pStyle w:val="BodyText"/>
        <w:spacing w:line="249" w:lineRule="auto" w:before="189"/>
        <w:ind w:right="628"/>
      </w:pPr>
      <w:r>
        <w:rPr/>
        <w:t>The complete Family Educational Rights and Privacy Act policy — including terms and guidelines of student rights of access to educational records — is published in UMB’s </w:t>
      </w:r>
      <w:r>
        <w:rPr>
          <w:i/>
        </w:rPr>
        <w:t>Student Answer Book </w:t>
      </w:r>
      <w:r>
        <w:rPr/>
        <w:t>and is available at </w:t>
      </w:r>
      <w:hyperlink r:id="rId140">
        <w:r>
          <w:rPr/>
          <w:t>www.umaryland.edu/policies/#student.</w:t>
        </w:r>
      </w:hyperlink>
    </w:p>
    <w:p>
      <w:pPr>
        <w:pStyle w:val="Heading4"/>
        <w:spacing w:line="228" w:lineRule="auto" w:before="180"/>
        <w:ind w:right="1561"/>
      </w:pPr>
      <w:r>
        <w:rPr/>
        <w:t>Graduate Council Grievance</w:t>
      </w:r>
      <w:r>
        <w:rPr>
          <w:spacing w:val="-15"/>
        </w:rPr>
        <w:t> </w:t>
      </w:r>
      <w:r>
        <w:rPr/>
        <w:t>Committee Guidelines</w:t>
      </w:r>
    </w:p>
    <w:p>
      <w:pPr>
        <w:pStyle w:val="Heading6"/>
        <w:spacing w:line="249" w:lineRule="auto" w:before="185"/>
        <w:ind w:right="1512"/>
      </w:pPr>
      <w:r>
        <w:rPr/>
        <w:t>Appeal </w:t>
      </w:r>
      <w:r>
        <w:rPr>
          <w:spacing w:val="-3"/>
        </w:rPr>
        <w:t>of </w:t>
      </w:r>
      <w:r>
        <w:rPr/>
        <w:t>Academic Dismissal and Academic Misconduct</w:t>
      </w:r>
    </w:p>
    <w:p>
      <w:pPr>
        <w:pStyle w:val="BodyText"/>
        <w:spacing w:line="249" w:lineRule="auto" w:before="184"/>
        <w:ind w:right="643"/>
      </w:pPr>
      <w:r>
        <w:rPr/>
        <w:t>This is a formal hearing for academic cases that have not been resolved at the department level. After the hearing, which takes place as set forth under “Format,” which follows, the GCGC will deliberate in closed session and recommend a decision and action to the dean of the Graduate School. The hearing is chaired by a member of the GCGC. The committee is staffed by the nonvoting administrative assistant of the dean of the Graduate School who will record the hearing for archival purposes only.</w:t>
      </w:r>
    </w:p>
    <w:p>
      <w:pPr>
        <w:pStyle w:val="Heading6"/>
        <w:spacing w:before="184"/>
      </w:pPr>
      <w:r>
        <w:rPr/>
        <w:t>Format</w:t>
      </w:r>
    </w:p>
    <w:p>
      <w:pPr>
        <w:pStyle w:val="ListParagraph"/>
        <w:numPr>
          <w:ilvl w:val="0"/>
          <w:numId w:val="20"/>
        </w:numPr>
        <w:tabs>
          <w:tab w:pos="632" w:val="left" w:leader="none"/>
        </w:tabs>
        <w:spacing w:line="249" w:lineRule="auto" w:before="193" w:after="0"/>
        <w:ind w:left="631" w:right="1104" w:hanging="216"/>
        <w:jc w:val="left"/>
        <w:rPr>
          <w:sz w:val="20"/>
        </w:rPr>
      </w:pPr>
      <w:r>
        <w:rPr>
          <w:sz w:val="20"/>
        </w:rPr>
        <w:t>Chair’s introduction and summary of issues and process</w:t>
      </w:r>
      <w:r>
        <w:rPr>
          <w:spacing w:val="1"/>
          <w:sz w:val="20"/>
        </w:rPr>
        <w:t> </w:t>
      </w:r>
      <w:r>
        <w:rPr>
          <w:spacing w:val="-3"/>
          <w:sz w:val="20"/>
        </w:rPr>
        <w:t>overview.</w:t>
      </w:r>
    </w:p>
    <w:p>
      <w:pPr>
        <w:pStyle w:val="ListParagraph"/>
        <w:numPr>
          <w:ilvl w:val="0"/>
          <w:numId w:val="20"/>
        </w:numPr>
        <w:tabs>
          <w:tab w:pos="632" w:val="left" w:leader="none"/>
        </w:tabs>
        <w:spacing w:line="249" w:lineRule="auto" w:before="179" w:after="0"/>
        <w:ind w:left="631" w:right="910" w:hanging="216"/>
        <w:jc w:val="left"/>
        <w:rPr>
          <w:sz w:val="20"/>
        </w:rPr>
      </w:pPr>
      <w:r>
        <w:rPr>
          <w:sz w:val="20"/>
        </w:rPr>
        <w:t>Department representative’s presentation </w:t>
      </w:r>
      <w:r>
        <w:rPr>
          <w:spacing w:val="-3"/>
          <w:sz w:val="20"/>
        </w:rPr>
        <w:t>of </w:t>
      </w:r>
      <w:r>
        <w:rPr>
          <w:sz w:val="20"/>
        </w:rPr>
        <w:t>issues (15 minutes</w:t>
      </w:r>
      <w:r>
        <w:rPr>
          <w:spacing w:val="-3"/>
          <w:sz w:val="20"/>
        </w:rPr>
        <w:t> </w:t>
      </w:r>
      <w:r>
        <w:rPr>
          <w:sz w:val="20"/>
        </w:rPr>
        <w:t>maximum).</w:t>
      </w:r>
    </w:p>
    <w:p>
      <w:pPr>
        <w:pStyle w:val="ListParagraph"/>
        <w:numPr>
          <w:ilvl w:val="0"/>
          <w:numId w:val="20"/>
        </w:numPr>
        <w:tabs>
          <w:tab w:pos="632" w:val="left" w:leader="none"/>
        </w:tabs>
        <w:spacing w:line="249" w:lineRule="auto" w:before="184" w:after="0"/>
        <w:ind w:left="631" w:right="1554" w:hanging="216"/>
        <w:jc w:val="left"/>
        <w:rPr>
          <w:sz w:val="20"/>
        </w:rPr>
      </w:pPr>
      <w:r>
        <w:rPr>
          <w:sz w:val="20"/>
        </w:rPr>
        <w:t>Student presentation </w:t>
      </w:r>
      <w:r>
        <w:rPr>
          <w:spacing w:val="-3"/>
          <w:sz w:val="20"/>
        </w:rPr>
        <w:t>of </w:t>
      </w:r>
      <w:r>
        <w:rPr>
          <w:sz w:val="20"/>
        </w:rPr>
        <w:t>issues (15 minutes maximum).</w:t>
      </w:r>
    </w:p>
    <w:p>
      <w:pPr>
        <w:spacing w:after="0" w:line="249" w:lineRule="auto"/>
        <w:jc w:val="left"/>
        <w:rPr>
          <w:sz w:val="20"/>
        </w:rPr>
        <w:sectPr>
          <w:headerReference w:type="default" r:id="rId145"/>
          <w:headerReference w:type="even" r:id="rId146"/>
          <w:pgSz w:w="12240" w:h="15840"/>
          <w:pgMar w:header="746" w:footer="0" w:top="1320" w:bottom="280" w:left="880" w:right="300"/>
          <w:pgNumType w:start="253"/>
          <w:cols w:num="2" w:equalWidth="0">
            <w:col w:w="4982" w:space="505"/>
            <w:col w:w="5573"/>
          </w:cols>
        </w:sectPr>
      </w:pPr>
    </w:p>
    <w:p>
      <w:pPr>
        <w:pStyle w:val="ListParagraph"/>
        <w:numPr>
          <w:ilvl w:val="0"/>
          <w:numId w:val="20"/>
        </w:numPr>
        <w:tabs>
          <w:tab w:pos="632" w:val="left" w:leader="none"/>
        </w:tabs>
        <w:spacing w:line="249" w:lineRule="auto" w:before="100" w:after="0"/>
        <w:ind w:left="631" w:right="130" w:hanging="215"/>
        <w:jc w:val="left"/>
        <w:rPr>
          <w:sz w:val="20"/>
        </w:rPr>
      </w:pPr>
      <w:r>
        <w:rPr>
          <w:sz w:val="20"/>
        </w:rPr>
        <w:t>Optional: Presentation by witnesses (limited to three per side and a maximum </w:t>
      </w:r>
      <w:r>
        <w:rPr>
          <w:spacing w:val="-3"/>
          <w:sz w:val="20"/>
        </w:rPr>
        <w:t>of </w:t>
      </w:r>
      <w:r>
        <w:rPr>
          <w:sz w:val="20"/>
        </w:rPr>
        <w:t>15 minutes per side)</w:t>
      </w:r>
    </w:p>
    <w:p>
      <w:pPr>
        <w:pStyle w:val="ListParagraph"/>
        <w:numPr>
          <w:ilvl w:val="0"/>
          <w:numId w:val="20"/>
        </w:numPr>
        <w:tabs>
          <w:tab w:pos="632" w:val="left" w:leader="none"/>
        </w:tabs>
        <w:spacing w:line="240" w:lineRule="auto" w:before="179" w:after="0"/>
        <w:ind w:left="631" w:right="0" w:hanging="215"/>
        <w:jc w:val="left"/>
        <w:rPr>
          <w:sz w:val="20"/>
        </w:rPr>
      </w:pPr>
      <w:r>
        <w:rPr>
          <w:sz w:val="20"/>
        </w:rPr>
        <w:t>Questions by committee</w:t>
      </w:r>
      <w:r>
        <w:rPr>
          <w:spacing w:val="-8"/>
          <w:sz w:val="20"/>
        </w:rPr>
        <w:t> </w:t>
      </w:r>
      <w:r>
        <w:rPr>
          <w:sz w:val="20"/>
        </w:rPr>
        <w:t>members.</w:t>
      </w:r>
    </w:p>
    <w:p>
      <w:pPr>
        <w:pStyle w:val="ListParagraph"/>
        <w:numPr>
          <w:ilvl w:val="0"/>
          <w:numId w:val="20"/>
        </w:numPr>
        <w:tabs>
          <w:tab w:pos="632" w:val="left" w:leader="none"/>
        </w:tabs>
        <w:spacing w:line="240" w:lineRule="auto" w:before="192" w:after="0"/>
        <w:ind w:left="631" w:right="0" w:hanging="215"/>
        <w:jc w:val="left"/>
        <w:rPr>
          <w:sz w:val="20"/>
        </w:rPr>
      </w:pPr>
      <w:r>
        <w:rPr>
          <w:sz w:val="20"/>
        </w:rPr>
        <w:t>All presenters and witnesses are</w:t>
      </w:r>
      <w:r>
        <w:rPr>
          <w:spacing w:val="-6"/>
          <w:sz w:val="20"/>
        </w:rPr>
        <w:t> </w:t>
      </w:r>
      <w:r>
        <w:rPr>
          <w:sz w:val="20"/>
        </w:rPr>
        <w:t>excused.</w:t>
      </w:r>
    </w:p>
    <w:p>
      <w:pPr>
        <w:pStyle w:val="ListParagraph"/>
        <w:numPr>
          <w:ilvl w:val="0"/>
          <w:numId w:val="20"/>
        </w:numPr>
        <w:tabs>
          <w:tab w:pos="632" w:val="left" w:leader="none"/>
        </w:tabs>
        <w:spacing w:line="240" w:lineRule="auto" w:before="188" w:after="0"/>
        <w:ind w:left="631" w:right="0" w:hanging="215"/>
        <w:jc w:val="left"/>
        <w:rPr>
          <w:sz w:val="20"/>
        </w:rPr>
      </w:pPr>
      <w:r>
        <w:rPr>
          <w:sz w:val="20"/>
        </w:rPr>
        <w:t>Deliberations by committee</w:t>
      </w:r>
      <w:r>
        <w:rPr>
          <w:spacing w:val="-8"/>
          <w:sz w:val="20"/>
        </w:rPr>
        <w:t> </w:t>
      </w:r>
      <w:r>
        <w:rPr>
          <w:sz w:val="20"/>
        </w:rPr>
        <w:t>members.</w:t>
      </w:r>
    </w:p>
    <w:p>
      <w:pPr>
        <w:pStyle w:val="ListParagraph"/>
        <w:numPr>
          <w:ilvl w:val="0"/>
          <w:numId w:val="20"/>
        </w:numPr>
        <w:tabs>
          <w:tab w:pos="632" w:val="left" w:leader="none"/>
        </w:tabs>
        <w:spacing w:line="249" w:lineRule="auto" w:before="192" w:after="0"/>
        <w:ind w:left="631" w:right="162" w:hanging="215"/>
        <w:jc w:val="left"/>
        <w:rPr>
          <w:sz w:val="20"/>
        </w:rPr>
      </w:pPr>
      <w:r>
        <w:rPr>
          <w:sz w:val="20"/>
        </w:rPr>
        <w:t>Written recommendation to the associate dean </w:t>
      </w:r>
      <w:r>
        <w:rPr>
          <w:spacing w:val="-3"/>
          <w:sz w:val="20"/>
        </w:rPr>
        <w:t>or </w:t>
      </w:r>
      <w:r>
        <w:rPr>
          <w:sz w:val="20"/>
        </w:rPr>
        <w:t>dean </w:t>
      </w:r>
      <w:r>
        <w:rPr>
          <w:spacing w:val="-3"/>
          <w:sz w:val="20"/>
        </w:rPr>
        <w:t>of </w:t>
      </w:r>
      <w:r>
        <w:rPr>
          <w:sz w:val="20"/>
        </w:rPr>
        <w:t>the Graduate </w:t>
      </w:r>
      <w:r>
        <w:rPr>
          <w:spacing w:val="-3"/>
          <w:sz w:val="20"/>
        </w:rPr>
        <w:t>School </w:t>
      </w:r>
      <w:r>
        <w:rPr>
          <w:sz w:val="20"/>
        </w:rPr>
        <w:t>(within 15 calendar </w:t>
      </w:r>
      <w:r>
        <w:rPr>
          <w:spacing w:val="-3"/>
          <w:sz w:val="20"/>
        </w:rPr>
        <w:t>days, </w:t>
      </w:r>
      <w:r>
        <w:rPr>
          <w:sz w:val="20"/>
        </w:rPr>
        <w:t>unless extended </w:t>
      </w:r>
      <w:r>
        <w:rPr>
          <w:spacing w:val="-3"/>
          <w:sz w:val="20"/>
        </w:rPr>
        <w:t>by </w:t>
      </w:r>
      <w:r>
        <w:rPr>
          <w:sz w:val="20"/>
        </w:rPr>
        <w:t>the associate dean </w:t>
      </w:r>
      <w:r>
        <w:rPr>
          <w:spacing w:val="-5"/>
          <w:sz w:val="20"/>
        </w:rPr>
        <w:t>or </w:t>
      </w:r>
      <w:r>
        <w:rPr>
          <w:spacing w:val="-3"/>
          <w:sz w:val="20"/>
        </w:rPr>
        <w:t>dean </w:t>
      </w:r>
      <w:r>
        <w:rPr>
          <w:sz w:val="20"/>
        </w:rPr>
        <w:t>of the Graduate </w:t>
      </w:r>
      <w:r>
        <w:rPr>
          <w:spacing w:val="-3"/>
          <w:sz w:val="20"/>
        </w:rPr>
        <w:t>School, with </w:t>
      </w:r>
      <w:r>
        <w:rPr>
          <w:sz w:val="20"/>
        </w:rPr>
        <w:t>notice </w:t>
      </w:r>
      <w:r>
        <w:rPr>
          <w:spacing w:val="-3"/>
          <w:sz w:val="20"/>
        </w:rPr>
        <w:t>of </w:t>
      </w:r>
      <w:r>
        <w:rPr>
          <w:sz w:val="20"/>
        </w:rPr>
        <w:t>the extension given to all parties — the grievant(s) and the department — in</w:t>
      </w:r>
      <w:r>
        <w:rPr>
          <w:spacing w:val="2"/>
          <w:sz w:val="20"/>
        </w:rPr>
        <w:t> </w:t>
      </w:r>
      <w:r>
        <w:rPr>
          <w:sz w:val="20"/>
        </w:rPr>
        <w:t>writing.</w:t>
      </w:r>
    </w:p>
    <w:p>
      <w:pPr>
        <w:pStyle w:val="Heading6"/>
        <w:spacing w:before="182"/>
        <w:ind w:left="199"/>
      </w:pPr>
      <w:r>
        <w:rPr/>
        <w:t>Preparation</w:t>
      </w:r>
    </w:p>
    <w:p>
      <w:pPr>
        <w:pStyle w:val="BodyText"/>
        <w:spacing w:line="249" w:lineRule="auto" w:before="192"/>
        <w:ind w:left="199" w:right="38"/>
      </w:pPr>
      <w:r>
        <w:rPr/>
        <w:t>All materials that the grievance committee are to review must </w:t>
      </w:r>
      <w:r>
        <w:rPr>
          <w:spacing w:val="-3"/>
        </w:rPr>
        <w:t>be </w:t>
      </w:r>
      <w:r>
        <w:rPr/>
        <w:t>submitted to the Graduate </w:t>
      </w:r>
      <w:r>
        <w:rPr>
          <w:spacing w:val="-2"/>
        </w:rPr>
        <w:t>School </w:t>
      </w:r>
      <w:r>
        <w:rPr/>
        <w:t>at least two weeks (14 </w:t>
      </w:r>
      <w:r>
        <w:rPr>
          <w:spacing w:val="-3"/>
        </w:rPr>
        <w:t>days) </w:t>
      </w:r>
      <w:r>
        <w:rPr/>
        <w:t>in advance of the hearing, at which time such materials will </w:t>
      </w:r>
      <w:r>
        <w:rPr>
          <w:spacing w:val="-3"/>
        </w:rPr>
        <w:t>be </w:t>
      </w:r>
      <w:r>
        <w:rPr/>
        <w:t>distributed to all parties to the grievance and to the members </w:t>
      </w:r>
      <w:r>
        <w:rPr>
          <w:spacing w:val="-3"/>
        </w:rPr>
        <w:t>of </w:t>
      </w:r>
      <w:r>
        <w:rPr/>
        <w:t>the </w:t>
      </w:r>
      <w:r>
        <w:rPr>
          <w:spacing w:val="-3"/>
        </w:rPr>
        <w:t>GCGC. </w:t>
      </w:r>
      <w:r>
        <w:rPr/>
        <w:t>Thereafter, to the extent that any of the parties wish to have additional materials considered by members </w:t>
      </w:r>
      <w:r>
        <w:rPr>
          <w:spacing w:val="-3"/>
        </w:rPr>
        <w:t>of </w:t>
      </w:r>
      <w:r>
        <w:rPr/>
        <w:t>the committee, such materials must </w:t>
      </w:r>
      <w:r>
        <w:rPr>
          <w:spacing w:val="-3"/>
        </w:rPr>
        <w:t>be </w:t>
      </w:r>
      <w:r>
        <w:rPr/>
        <w:t>received by the Graduate School no later than one </w:t>
      </w:r>
      <w:r>
        <w:rPr>
          <w:spacing w:val="-4"/>
        </w:rPr>
        <w:t>week </w:t>
      </w:r>
      <w:r>
        <w:rPr/>
        <w:t>(seven </w:t>
      </w:r>
      <w:r>
        <w:rPr>
          <w:spacing w:val="-3"/>
        </w:rPr>
        <w:t>days) </w:t>
      </w:r>
      <w:r>
        <w:rPr/>
        <w:t>in advance </w:t>
      </w:r>
      <w:r>
        <w:rPr>
          <w:spacing w:val="-3"/>
        </w:rPr>
        <w:t>of </w:t>
      </w:r>
      <w:r>
        <w:rPr/>
        <w:t>the scheduled date </w:t>
      </w:r>
      <w:r>
        <w:rPr>
          <w:spacing w:val="-3"/>
        </w:rPr>
        <w:t>of </w:t>
      </w:r>
      <w:r>
        <w:rPr/>
        <w:t>the hearing, at which time all such additional written materials </w:t>
      </w:r>
      <w:r>
        <w:rPr>
          <w:spacing w:val="-3"/>
        </w:rPr>
        <w:t>will be </w:t>
      </w:r>
      <w:r>
        <w:rPr/>
        <w:t>distributed to the parties as </w:t>
      </w:r>
      <w:r>
        <w:rPr>
          <w:spacing w:val="-3"/>
        </w:rPr>
        <w:t>well  </w:t>
      </w:r>
      <w:r>
        <w:rPr/>
        <w:t>as to the members </w:t>
      </w:r>
      <w:r>
        <w:rPr>
          <w:spacing w:val="-3"/>
        </w:rPr>
        <w:t>of </w:t>
      </w:r>
      <w:r>
        <w:rPr/>
        <w:t>the GCGC. The Graduate </w:t>
      </w:r>
      <w:r>
        <w:rPr>
          <w:spacing w:val="-3"/>
        </w:rPr>
        <w:t>School </w:t>
      </w:r>
      <w:r>
        <w:rPr/>
        <w:t>will pay for reasonable reproduction costs, but the </w:t>
      </w:r>
      <w:r>
        <w:rPr>
          <w:spacing w:val="-3"/>
        </w:rPr>
        <w:t>cost </w:t>
      </w:r>
      <w:r>
        <w:rPr/>
        <w:t>of reproducing voluminous packets (i.e., those exceeding 50 pages) will </w:t>
      </w:r>
      <w:r>
        <w:rPr>
          <w:spacing w:val="-3"/>
        </w:rPr>
        <w:t>be </w:t>
      </w:r>
      <w:r>
        <w:rPr/>
        <w:t>charged to the submitting party (the student </w:t>
      </w:r>
      <w:r>
        <w:rPr>
          <w:spacing w:val="-3"/>
        </w:rPr>
        <w:t>or </w:t>
      </w:r>
      <w:r>
        <w:rPr/>
        <w:t>the</w:t>
      </w:r>
      <w:r>
        <w:rPr>
          <w:spacing w:val="3"/>
        </w:rPr>
        <w:t> </w:t>
      </w:r>
      <w:r>
        <w:rPr/>
        <w:t>department).</w:t>
      </w:r>
    </w:p>
    <w:p>
      <w:pPr>
        <w:pStyle w:val="BodyText"/>
        <w:spacing w:line="249" w:lineRule="auto" w:before="190"/>
        <w:ind w:left="199" w:right="335"/>
      </w:pPr>
      <w:r>
        <w:rPr/>
        <w:t>The proceedings will be recorded for archival purposes only.</w:t>
      </w:r>
    </w:p>
    <w:p>
      <w:pPr>
        <w:pStyle w:val="BodyText"/>
        <w:spacing w:line="249" w:lineRule="auto" w:before="183"/>
        <w:ind w:left="199" w:right="346"/>
        <w:jc w:val="both"/>
      </w:pPr>
      <w:r>
        <w:rPr/>
        <w:t>If witnesses are to be called by either side, their names must be received by the Graduate School, in writing, at least one week (seven days) before the hearing.</w:t>
      </w:r>
    </w:p>
    <w:p>
      <w:pPr>
        <w:pStyle w:val="BodyText"/>
        <w:spacing w:line="249" w:lineRule="auto" w:before="180"/>
        <w:ind w:left="199" w:right="29"/>
      </w:pPr>
      <w:r>
        <w:rPr/>
        <w:t>Presentation of the issues should be concise and relevant. Obviously, the case is complex, or it would not have reached this stage. The points of dispute or ambiguity may be summarized or illustrated by anecdote. Experience suggests that the best approach is to minimize formalized presentations and allow the committee members maximum time for questions.</w:t>
      </w:r>
    </w:p>
    <w:p>
      <w:pPr>
        <w:pStyle w:val="Heading6"/>
        <w:spacing w:before="188"/>
        <w:ind w:left="199"/>
      </w:pPr>
      <w:r>
        <w:rPr/>
        <w:t>Attorneys</w:t>
      </w:r>
    </w:p>
    <w:p>
      <w:pPr>
        <w:pStyle w:val="BodyText"/>
        <w:spacing w:line="249" w:lineRule="auto" w:before="187"/>
        <w:ind w:left="199" w:right="90"/>
      </w:pPr>
      <w:r>
        <w:rPr/>
        <w:t>An attorney is neither necessary nor recommended. The GCGC described herein operates as part of an academic hearing, not a judicial proceeding. However, if the student</w:t>
      </w:r>
    </w:p>
    <w:p>
      <w:pPr>
        <w:pStyle w:val="BodyText"/>
        <w:spacing w:line="249" w:lineRule="auto" w:before="96"/>
        <w:ind w:left="199" w:right="888"/>
      </w:pPr>
      <w:r>
        <w:rPr/>
        <w:br w:type="column"/>
      </w:r>
      <w:r>
        <w:rPr/>
        <w:t>elects to have counsel present, the University’s attorney also must be afforded an opportunity to attend.</w:t>
      </w:r>
    </w:p>
    <w:p>
      <w:pPr>
        <w:pStyle w:val="BodyText"/>
        <w:spacing w:line="249" w:lineRule="auto" w:before="1"/>
        <w:ind w:left="199" w:right="644"/>
      </w:pPr>
      <w:r>
        <w:rPr/>
        <w:t>Accordingly, the student must notify the Graduate School, in writing, at least two weeks (14 days) before the hearing if the student intends to use an attorney. Once a lawyer has contacted the Graduate School on behalf of a student, all contact, written and oral, must be with approval of the Office of General Counsel. The lawyer(s)’ presence at the hearing does not change the proceedings. The lawyer(s) will not be able to examine witnesses, ask questions, or otherwise take part in the proceedings, except in an unobtrusive manner, in an advisory capacity to their clients.</w:t>
      </w:r>
    </w:p>
    <w:p>
      <w:pPr>
        <w:pStyle w:val="Heading4"/>
        <w:spacing w:before="172"/>
      </w:pPr>
      <w:r>
        <w:rPr/>
        <w:t>ADA Policy</w:t>
      </w:r>
    </w:p>
    <w:p>
      <w:pPr>
        <w:pStyle w:val="BodyText"/>
        <w:spacing w:line="249" w:lineRule="auto" w:before="188"/>
        <w:ind w:right="743"/>
      </w:pPr>
      <w:r>
        <w:rPr/>
        <w:t>The University of Maryland, Baltimore (UMB) is committed to the principles of equal access and opportunity for persons with disabilities, in compliance with the Americans with Disabilities Act of 1990 (ADA) and Section 504 of the Rehabilitation Act of 1973. UMB will not discriminate on the basis of disability against a qualified person with a disability in regard to application, acceptance, grading, advancement, training, discipline, graduation, or other aspects related to a student’s participation in an academic program of the University of Maryland, Baltimore. This applies to all University students, postdocs, and applicants for admission to the University.</w:t>
      </w:r>
    </w:p>
    <w:p>
      <w:pPr>
        <w:pStyle w:val="BodyText"/>
        <w:spacing w:line="249" w:lineRule="auto" w:before="187"/>
        <w:ind w:right="630"/>
      </w:pPr>
      <w:r>
        <w:rPr/>
        <w:t>The </w:t>
      </w:r>
      <w:r>
        <w:rPr>
          <w:spacing w:val="-3"/>
        </w:rPr>
        <w:t>UMB </w:t>
      </w:r>
      <w:r>
        <w:rPr/>
        <w:t>Accommodation </w:t>
      </w:r>
      <w:r>
        <w:rPr>
          <w:spacing w:val="-3"/>
        </w:rPr>
        <w:t>Process </w:t>
      </w:r>
      <w:r>
        <w:rPr/>
        <w:t>is an interactive process between the student, the Office of Educational Support and Disability Services, and the school. </w:t>
      </w:r>
      <w:r>
        <w:rPr>
          <w:spacing w:val="-3"/>
        </w:rPr>
        <w:t>UMB </w:t>
      </w:r>
      <w:r>
        <w:rPr/>
        <w:t>will make a reasonable accommodation </w:t>
      </w:r>
      <w:r>
        <w:rPr>
          <w:spacing w:val="-4"/>
        </w:rPr>
        <w:t>for </w:t>
      </w:r>
      <w:r>
        <w:rPr/>
        <w:t>a qualified person with a disability to allow the performance </w:t>
      </w:r>
      <w:r>
        <w:rPr>
          <w:spacing w:val="-3"/>
        </w:rPr>
        <w:t>of </w:t>
      </w:r>
      <w:r>
        <w:rPr/>
        <w:t>the essential requirements </w:t>
      </w:r>
      <w:r>
        <w:rPr>
          <w:spacing w:val="-3"/>
        </w:rPr>
        <w:t>of </w:t>
      </w:r>
      <w:r>
        <w:rPr/>
        <w:t>an academic program. </w:t>
      </w:r>
      <w:r>
        <w:rPr>
          <w:spacing w:val="-3"/>
        </w:rPr>
        <w:t>UMB </w:t>
      </w:r>
      <w:r>
        <w:rPr/>
        <w:t>will not make an accommodation if the accommodation alters the academic nature </w:t>
      </w:r>
      <w:r>
        <w:rPr>
          <w:spacing w:val="-3"/>
        </w:rPr>
        <w:t>of </w:t>
      </w:r>
      <w:r>
        <w:rPr/>
        <w:t>the program </w:t>
      </w:r>
      <w:r>
        <w:rPr>
          <w:spacing w:val="-3"/>
        </w:rPr>
        <w:t>or </w:t>
      </w:r>
      <w:r>
        <w:rPr/>
        <w:t>if it </w:t>
      </w:r>
      <w:r>
        <w:rPr>
          <w:spacing w:val="-3"/>
        </w:rPr>
        <w:t>would </w:t>
      </w:r>
      <w:r>
        <w:rPr/>
        <w:t>result in undue hardship to the University </w:t>
      </w:r>
      <w:r>
        <w:rPr>
          <w:spacing w:val="-3"/>
        </w:rPr>
        <w:t>or </w:t>
      </w:r>
      <w:r>
        <w:rPr/>
        <w:t>threaten health </w:t>
      </w:r>
      <w:r>
        <w:rPr>
          <w:spacing w:val="-3"/>
        </w:rPr>
        <w:t>or </w:t>
      </w:r>
      <w:r>
        <w:rPr/>
        <w:t>safety. </w:t>
      </w:r>
      <w:r>
        <w:rPr>
          <w:spacing w:val="-3"/>
        </w:rPr>
        <w:t>For </w:t>
      </w:r>
      <w:r>
        <w:rPr/>
        <w:t>more information, please </w:t>
      </w:r>
      <w:r>
        <w:rPr>
          <w:spacing w:val="-3"/>
        </w:rPr>
        <w:t>see </w:t>
      </w:r>
      <w:hyperlink r:id="rId147">
        <w:r>
          <w:rPr/>
          <w:t>www.umaryland.edu/disabilityservices.</w:t>
        </w:r>
      </w:hyperlink>
    </w:p>
    <w:p>
      <w:pPr>
        <w:pStyle w:val="Heading4"/>
        <w:spacing w:before="174"/>
      </w:pPr>
      <w:r>
        <w:rPr/>
        <w:t>Technical Standards</w:t>
      </w:r>
    </w:p>
    <w:p>
      <w:pPr>
        <w:pStyle w:val="BodyText"/>
        <w:spacing w:line="249" w:lineRule="auto" w:before="184"/>
        <w:ind w:right="642"/>
      </w:pPr>
      <w:r>
        <w:rPr/>
        <w:t>The Graduate School does not have uniform technical standards and guidelines for admission and progression. Each school — and in some cases each program — may have its own standards and guidelines. A prospective or enrolled graduate student must consult the appropriate school/program student handbook or website for information about the standards students must satisfy, with or without reasonable accommodation, to be qualified.</w:t>
      </w:r>
    </w:p>
    <w:p>
      <w:pPr>
        <w:spacing w:after="0" w:line="249" w:lineRule="auto"/>
        <w:sectPr>
          <w:pgSz w:w="12240" w:h="15840"/>
          <w:pgMar w:header="746" w:footer="0" w:top="1320" w:bottom="280" w:left="880" w:right="300"/>
          <w:cols w:num="2" w:equalWidth="0">
            <w:col w:w="4969" w:space="518"/>
            <w:col w:w="5573"/>
          </w:cols>
        </w:sectPr>
      </w:pPr>
    </w:p>
    <w:p>
      <w:pPr>
        <w:pStyle w:val="Heading4"/>
        <w:spacing w:before="81"/>
      </w:pPr>
      <w:r>
        <w:rPr/>
        <w:t>Nondiscrimination</w:t>
      </w:r>
    </w:p>
    <w:p>
      <w:pPr>
        <w:pStyle w:val="BodyText"/>
        <w:spacing w:line="249" w:lineRule="auto" w:before="183"/>
        <w:ind w:right="6174"/>
      </w:pPr>
      <w:r>
        <w:rPr/>
        <w:t>The University of Maryland, Baltimore does not discriminate on the basis of race, color, religion, national origin or ancestry, sex, sexual orientation, gender identity or expression, physical or mental disability, marital status, veteran’s status, or age in its programs and activities. For more information, please see </w:t>
      </w:r>
      <w:hyperlink r:id="rId148">
        <w:r>
          <w:rPr>
            <w:color w:val="0000FF"/>
            <w:u w:val="single" w:color="0000FF"/>
          </w:rPr>
          <w:t>http://umaryland.edu/academicaffairs/policies</w:t>
        </w:r>
      </w:hyperlink>
    </w:p>
    <w:sectPr>
      <w:pgSz w:w="12240" w:h="15840"/>
      <w:pgMar w:header="746" w:footer="0" w:top="1320" w:bottom="280" w:left="88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Arial">
    <w:altName w:val="Arial"/>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type id="_x0000_t202" o:spt="202" coordsize="21600,21600" path="m,l,21600r21600,l21600,xe">
          <v:stroke joinstyle="miter"/>
          <v:path gradientshapeok="t" o:connecttype="rect"/>
        </v:shapetype>
        <v:shape style="position:absolute;margin-left:52pt;margin-top:37.542381pt;width:276.25pt;height:10.8pt;mso-position-horizontal-relative:page;mso-position-vertical-relative:page;z-index:-300640"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100</w:t>
                </w:r>
                <w:r>
                  <w:rPr/>
                  <w:fldChar w:fldCharType="end"/>
                </w:r>
                <w:r>
                  <w:rPr>
                    <w:sz w:val="16"/>
                  </w:rPr>
                  <w:t>| University of Maryland Baltimore Graduate School Graduate Catalog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2.3pt;height:10.8pt;mso-position-horizontal-relative:page;mso-position-vertical-relative:page;z-index:-300424"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30</w:t>
                </w:r>
                <w:r>
                  <w:rPr/>
                  <w:fldChar w:fldCharType="end"/>
                </w:r>
                <w:r>
                  <w:rPr>
                    <w:sz w:val="16"/>
                  </w:rPr>
                  <w:t>| University of Maryland Baltimore Graduate School Graduate Catalog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49pt;margin-top:37.542381pt;width:119.2pt;height:10.8pt;mso-position-horizontal-relative:page;mso-position-vertical-relative:page;z-index:-300400" type="#_x0000_t202" filled="false" stroked="false">
          <v:textbox inset="0,0,0,0">
            <w:txbxContent>
              <w:p>
                <w:pPr>
                  <w:spacing w:before="11"/>
                  <w:ind w:left="20" w:right="0" w:firstLine="0"/>
                  <w:jc w:val="left"/>
                  <w:rPr>
                    <w:sz w:val="16"/>
                  </w:rPr>
                </w:pPr>
                <w:r>
                  <w:rPr>
                    <w:sz w:val="16"/>
                  </w:rPr>
                  <w:t>Graduate School Programs| </w:t>
                </w:r>
                <w:r>
                  <w:rPr/>
                  <w:fldChar w:fldCharType="begin"/>
                </w:r>
                <w:r>
                  <w:rPr>
                    <w:sz w:val="16"/>
                  </w:rPr>
                  <w:instrText> PAGE </w:instrText>
                </w:r>
                <w:r>
                  <w:rPr/>
                  <w:fldChar w:fldCharType="separate"/>
                </w:r>
                <w:r>
                  <w:rPr/>
                  <w:t>101</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2.3pt;height:10.8pt;mso-position-horizontal-relative:page;mso-position-vertical-relative:page;z-index:-300376"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32</w:t>
                </w:r>
                <w:r>
                  <w:rPr/>
                  <w:fldChar w:fldCharType="end"/>
                </w:r>
                <w:r>
                  <w:rPr>
                    <w:sz w:val="16"/>
                  </w:rPr>
                  <w:t>| University of Maryland Baltimore Graduate School Graduate Catalog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5.65pt;height:10.8pt;mso-position-horizontal-relative:page;mso-position-vertical-relative:page;z-index:-300352" type="#_x0000_t202" filled="false" stroked="false">
          <v:textbox inset="0,0,0,0">
            <w:txbxContent>
              <w:p>
                <w:pPr>
                  <w:spacing w:before="11"/>
                  <w:ind w:left="20" w:right="0" w:firstLine="0"/>
                  <w:jc w:val="left"/>
                  <w:rPr>
                    <w:sz w:val="16"/>
                  </w:rPr>
                </w:pPr>
                <w:r>
                  <w:rPr>
                    <w:sz w:val="16"/>
                  </w:rPr>
                  <w:t>Course Descriptions| </w:t>
                </w:r>
                <w:r>
                  <w:rPr/>
                  <w:fldChar w:fldCharType="begin"/>
                </w:r>
                <w:r>
                  <w:rPr>
                    <w:sz w:val="16"/>
                  </w:rPr>
                  <w:instrText> PAGE </w:instrText>
                </w:r>
                <w:r>
                  <w:rPr/>
                  <w:fldChar w:fldCharType="separate"/>
                </w:r>
                <w:r>
                  <w:rPr/>
                  <w:t>107</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300328"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108</w:t>
                </w:r>
                <w:r>
                  <w:rPr/>
                  <w:fldChar w:fldCharType="end"/>
                </w:r>
                <w:r>
                  <w:rPr>
                    <w:sz w:val="16"/>
                  </w:rPr>
                  <w:t>| University of Maryland Baltimore Graduate School Graduate Catalog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300304" type="#_x0000_t202" filled="false" stroked="false">
          <v:textbox inset="0,0,0,0">
            <w:txbxContent>
              <w:p>
                <w:pPr>
                  <w:spacing w:before="11"/>
                  <w:ind w:left="20" w:right="0" w:firstLine="0"/>
                  <w:jc w:val="left"/>
                  <w:rPr>
                    <w:sz w:val="16"/>
                  </w:rPr>
                </w:pPr>
                <w:r>
                  <w:rPr>
                    <w:sz w:val="16"/>
                  </w:rPr>
                  <w:t>110| University of Maryland Baltimore Graduate School Graduate Catalog</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4.65pt;height:10.8pt;mso-position-horizontal-relative:page;mso-position-vertical-relative:page;z-index:-300280" type="#_x0000_t202" filled="false" stroked="false">
          <v:textbox inset="0,0,0,0">
            <w:txbxContent>
              <w:p>
                <w:pPr>
                  <w:spacing w:before="11"/>
                  <w:ind w:left="20" w:right="0" w:firstLine="0"/>
                  <w:jc w:val="left"/>
                  <w:rPr>
                    <w:sz w:val="16"/>
                  </w:rPr>
                </w:pPr>
                <w:r>
                  <w:rPr>
                    <w:sz w:val="16"/>
                  </w:rPr>
                  <w:t>Course Descriptions| 111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300256"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112</w:t>
                </w:r>
                <w:r>
                  <w:rPr/>
                  <w:fldChar w:fldCharType="end"/>
                </w:r>
                <w:r>
                  <w:rPr>
                    <w:sz w:val="16"/>
                  </w:rPr>
                  <w:t>| University of Maryland Baltimore Graduate School Graduate Catalog</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5.65pt;height:10.8pt;mso-position-horizontal-relative:page;mso-position-vertical-relative:page;z-index:-300232" type="#_x0000_t202" filled="false" stroked="false">
          <v:textbox inset="0,0,0,0">
            <w:txbxContent>
              <w:p>
                <w:pPr>
                  <w:spacing w:before="11"/>
                  <w:ind w:left="20" w:right="0" w:firstLine="0"/>
                  <w:jc w:val="left"/>
                  <w:rPr>
                    <w:sz w:val="16"/>
                  </w:rPr>
                </w:pPr>
                <w:r>
                  <w:rPr>
                    <w:sz w:val="16"/>
                  </w:rPr>
                  <w:t>Course Descriptions| </w:t>
                </w:r>
                <w:r>
                  <w:rPr/>
                  <w:fldChar w:fldCharType="begin"/>
                </w:r>
                <w:r>
                  <w:rPr>
                    <w:sz w:val="16"/>
                  </w:rPr>
                  <w:instrText> PAGE </w:instrText>
                </w:r>
                <w:r>
                  <w:rPr/>
                  <w:fldChar w:fldCharType="separate"/>
                </w:r>
                <w:r>
                  <w:rPr/>
                  <w:t>113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300208" type="#_x0000_t202" filled="false" stroked="false">
          <v:textbox inset="0,0,0,0">
            <w:txbxContent>
              <w:p>
                <w:pPr>
                  <w:spacing w:before="11"/>
                  <w:ind w:left="20" w:right="0" w:firstLine="0"/>
                  <w:jc w:val="left"/>
                  <w:rPr>
                    <w:sz w:val="16"/>
                  </w:rPr>
                </w:pPr>
                <w:r>
                  <w:rPr>
                    <w:sz w:val="16"/>
                  </w:rPr>
                  <w:t>120| University of Maryland Baltimore Graduate School Graduate Catalog</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81.399994pt;margin-top:37.542381pt;width:85.4pt;height:10.8pt;mso-position-horizontal-relative:page;mso-position-vertical-relative:page;z-index:-300616" type="#_x0000_t202" filled="false" stroked="false">
          <v:textbox inset="0,0,0,0">
            <w:txbxContent>
              <w:p>
                <w:pPr>
                  <w:spacing w:before="11"/>
                  <w:ind w:left="20" w:right="0" w:firstLine="0"/>
                  <w:jc w:val="left"/>
                  <w:rPr>
                    <w:sz w:val="16"/>
                  </w:rPr>
                </w:pPr>
                <w:r>
                  <w:rPr>
                    <w:sz w:val="16"/>
                  </w:rPr>
                  <w:t>General Information| 7</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4.65pt;height:10.8pt;mso-position-horizontal-relative:page;mso-position-vertical-relative:page;z-index:-300184" type="#_x0000_t202" filled="false" stroked="false">
          <v:textbox inset="0,0,0,0">
            <w:txbxContent>
              <w:p>
                <w:pPr>
                  <w:spacing w:before="11"/>
                  <w:ind w:left="20" w:right="0" w:firstLine="0"/>
                  <w:jc w:val="left"/>
                  <w:rPr>
                    <w:sz w:val="16"/>
                  </w:rPr>
                </w:pPr>
                <w:r>
                  <w:rPr>
                    <w:sz w:val="16"/>
                  </w:rPr>
                  <w:t>Course Descriptions| 121</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300160"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122</w:t>
                </w:r>
                <w:r>
                  <w:rPr/>
                  <w:fldChar w:fldCharType="end"/>
                </w:r>
                <w:r>
                  <w:rPr>
                    <w:sz w:val="16"/>
                  </w:rPr>
                  <w:t>| University of Maryland Baltimore Graduate School Graduate Catalog</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5.65pt;height:10.8pt;mso-position-horizontal-relative:page;mso-position-vertical-relative:page;z-index:-300136" type="#_x0000_t202" filled="false" stroked="false">
          <v:textbox inset="0,0,0,0">
            <w:txbxContent>
              <w:p>
                <w:pPr>
                  <w:spacing w:before="11"/>
                  <w:ind w:left="20" w:right="0" w:firstLine="0"/>
                  <w:jc w:val="left"/>
                  <w:rPr>
                    <w:sz w:val="16"/>
                  </w:rPr>
                </w:pPr>
                <w:r>
                  <w:rPr>
                    <w:sz w:val="16"/>
                  </w:rPr>
                  <w:t>Course Descriptions| </w:t>
                </w:r>
                <w:r>
                  <w:rPr/>
                  <w:fldChar w:fldCharType="begin"/>
                </w:r>
                <w:r>
                  <w:rPr>
                    <w:sz w:val="16"/>
                  </w:rPr>
                  <w:instrText> PAGE </w:instrText>
                </w:r>
                <w:r>
                  <w:rPr/>
                  <w:fldChar w:fldCharType="separate"/>
                </w:r>
                <w:r>
                  <w:rPr/>
                  <w:t>123</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300112" type="#_x0000_t202" filled="false" stroked="false">
          <v:textbox inset="0,0,0,0">
            <w:txbxContent>
              <w:p>
                <w:pPr>
                  <w:spacing w:before="11"/>
                  <w:ind w:left="20" w:right="0" w:firstLine="0"/>
                  <w:jc w:val="left"/>
                  <w:rPr>
                    <w:sz w:val="16"/>
                  </w:rPr>
                </w:pPr>
                <w:r>
                  <w:rPr>
                    <w:sz w:val="16"/>
                  </w:rPr>
                  <w:t>130| University of Maryland Baltimore Graduate School Graduate Catalog</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4.65pt;height:10.8pt;mso-position-horizontal-relative:page;mso-position-vertical-relative:page;z-index:-300088" type="#_x0000_t202" filled="false" stroked="false">
          <v:textbox inset="0,0,0,0">
            <w:txbxContent>
              <w:p>
                <w:pPr>
                  <w:spacing w:before="11"/>
                  <w:ind w:left="20" w:right="0" w:firstLine="0"/>
                  <w:jc w:val="left"/>
                  <w:rPr>
                    <w:sz w:val="16"/>
                  </w:rPr>
                </w:pPr>
                <w:r>
                  <w:rPr>
                    <w:sz w:val="16"/>
                  </w:rPr>
                  <w:t>Course Descriptions| 131</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300064"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132</w:t>
                </w:r>
                <w:r>
                  <w:rPr/>
                  <w:fldChar w:fldCharType="end"/>
                </w:r>
                <w:r>
                  <w:rPr>
                    <w:sz w:val="16"/>
                  </w:rPr>
                  <w:t>| University of Maryland Baltimore Graduate School Graduate Catalog</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5.65pt;height:10.8pt;mso-position-horizontal-relative:page;mso-position-vertical-relative:page;z-index:-300040" type="#_x0000_t202" filled="false" stroked="false">
          <v:textbox inset="0,0,0,0">
            <w:txbxContent>
              <w:p>
                <w:pPr>
                  <w:spacing w:before="11"/>
                  <w:ind w:left="20" w:right="0" w:firstLine="0"/>
                  <w:jc w:val="left"/>
                  <w:rPr>
                    <w:sz w:val="16"/>
                  </w:rPr>
                </w:pPr>
                <w:r>
                  <w:rPr>
                    <w:sz w:val="16"/>
                  </w:rPr>
                  <w:t>Course Descriptions| </w:t>
                </w:r>
                <w:r>
                  <w:rPr/>
                  <w:fldChar w:fldCharType="begin"/>
                </w:r>
                <w:r>
                  <w:rPr>
                    <w:sz w:val="16"/>
                  </w:rPr>
                  <w:instrText> PAGE </w:instrText>
                </w:r>
                <w:r>
                  <w:rPr/>
                  <w:fldChar w:fldCharType="separate"/>
                </w:r>
                <w:r>
                  <w:rPr/>
                  <w:t>133</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300016" type="#_x0000_t202" filled="false" stroked="false">
          <v:textbox inset="0,0,0,0">
            <w:txbxContent>
              <w:p>
                <w:pPr>
                  <w:spacing w:before="11"/>
                  <w:ind w:left="20" w:right="0" w:firstLine="0"/>
                  <w:jc w:val="left"/>
                  <w:rPr>
                    <w:sz w:val="16"/>
                  </w:rPr>
                </w:pPr>
                <w:r>
                  <w:rPr>
                    <w:sz w:val="16"/>
                  </w:rPr>
                  <w:t>140| University of Maryland Baltimore Graduate School Graduate Catalog</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4.65pt;height:10.8pt;mso-position-horizontal-relative:page;mso-position-vertical-relative:page;z-index:-299992" type="#_x0000_t202" filled="false" stroked="false">
          <v:textbox inset="0,0,0,0">
            <w:txbxContent>
              <w:p>
                <w:pPr>
                  <w:spacing w:before="11"/>
                  <w:ind w:left="20" w:right="0" w:firstLine="0"/>
                  <w:jc w:val="left"/>
                  <w:rPr>
                    <w:sz w:val="16"/>
                  </w:rPr>
                </w:pPr>
                <w:r>
                  <w:rPr>
                    <w:sz w:val="16"/>
                  </w:rPr>
                  <w:t>Course Descriptions| 141</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968"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142</w:t>
                </w:r>
                <w:r>
                  <w:rPr/>
                  <w:fldChar w:fldCharType="end"/>
                </w:r>
                <w:r>
                  <w:rPr>
                    <w:sz w:val="16"/>
                  </w:rPr>
                  <w:t>| University of Maryland Baltimore Graduate School Graduate Catalog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09pt;margin-top:37.542381pt;width:59.2pt;height:10.8pt;mso-position-horizontal-relative:page;mso-position-vertical-relative:page;z-index:-300592" type="#_x0000_t202" filled="false" stroked="false">
          <v:textbox inset="0,0,0,0">
            <w:txbxContent>
              <w:p>
                <w:pPr>
                  <w:spacing w:before="11"/>
                  <w:ind w:left="20" w:right="0" w:firstLine="0"/>
                  <w:jc w:val="left"/>
                  <w:rPr>
                    <w:sz w:val="16"/>
                  </w:rPr>
                </w:pPr>
                <w:r>
                  <w:rPr>
                    <w:sz w:val="16"/>
                  </w:rPr>
                  <w:t>Admissions| </w:t>
                </w:r>
                <w:r>
                  <w:rPr/>
                  <w:fldChar w:fldCharType="begin"/>
                </w:r>
                <w:r>
                  <w:rPr>
                    <w:sz w:val="16"/>
                  </w:rPr>
                  <w:instrText> PAGE </w:instrText>
                </w:r>
                <w:r>
                  <w:rPr/>
                  <w:fldChar w:fldCharType="separate"/>
                </w:r>
                <w:r>
                  <w:rPr/>
                  <w:t>11</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5.65pt;height:10.8pt;mso-position-horizontal-relative:page;mso-position-vertical-relative:page;z-index:-299944" type="#_x0000_t202" filled="false" stroked="false">
          <v:textbox inset="0,0,0,0">
            <w:txbxContent>
              <w:p>
                <w:pPr>
                  <w:spacing w:before="11"/>
                  <w:ind w:left="20" w:right="0" w:firstLine="0"/>
                  <w:jc w:val="left"/>
                  <w:rPr>
                    <w:sz w:val="16"/>
                  </w:rPr>
                </w:pPr>
                <w:r>
                  <w:rPr>
                    <w:sz w:val="16"/>
                  </w:rPr>
                  <w:t>Course Descriptions| </w:t>
                </w:r>
                <w:r>
                  <w:rPr/>
                  <w:fldChar w:fldCharType="begin"/>
                </w:r>
                <w:r>
                  <w:rPr>
                    <w:sz w:val="16"/>
                  </w:rPr>
                  <w:instrText> PAGE </w:instrText>
                </w:r>
                <w:r>
                  <w:rPr/>
                  <w:fldChar w:fldCharType="separate"/>
                </w:r>
                <w:r>
                  <w:rPr/>
                  <w:t>143</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920" type="#_x0000_t202" filled="false" stroked="false">
          <v:textbox inset="0,0,0,0">
            <w:txbxContent>
              <w:p>
                <w:pPr>
                  <w:spacing w:before="11"/>
                  <w:ind w:left="20" w:right="0" w:firstLine="0"/>
                  <w:jc w:val="left"/>
                  <w:rPr>
                    <w:sz w:val="16"/>
                  </w:rPr>
                </w:pPr>
                <w:r>
                  <w:rPr>
                    <w:sz w:val="16"/>
                  </w:rPr>
                  <w:t>150| University of Maryland Baltimore Graduate School Graduate Catalog</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4.65pt;height:10.8pt;mso-position-horizontal-relative:page;mso-position-vertical-relative:page;z-index:-299896" type="#_x0000_t202" filled="false" stroked="false">
          <v:textbox inset="0,0,0,0">
            <w:txbxContent>
              <w:p>
                <w:pPr>
                  <w:spacing w:before="11"/>
                  <w:ind w:left="20" w:right="0" w:firstLine="0"/>
                  <w:jc w:val="left"/>
                  <w:rPr>
                    <w:sz w:val="16"/>
                  </w:rPr>
                </w:pPr>
                <w:r>
                  <w:rPr>
                    <w:sz w:val="16"/>
                  </w:rPr>
                  <w:t>Course Descriptions| 151</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872"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152</w:t>
                </w:r>
                <w:r>
                  <w:rPr/>
                  <w:fldChar w:fldCharType="end"/>
                </w:r>
                <w:r>
                  <w:rPr>
                    <w:sz w:val="16"/>
                  </w:rPr>
                  <w:t>| University of Maryland Baltimore Graduate School Graduate Catalog</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5.65pt;height:10.8pt;mso-position-horizontal-relative:page;mso-position-vertical-relative:page;z-index:-299848" type="#_x0000_t202" filled="false" stroked="false">
          <v:textbox inset="0,0,0,0">
            <w:txbxContent>
              <w:p>
                <w:pPr>
                  <w:spacing w:before="11"/>
                  <w:ind w:left="20" w:right="0" w:firstLine="0"/>
                  <w:jc w:val="left"/>
                  <w:rPr>
                    <w:sz w:val="16"/>
                  </w:rPr>
                </w:pPr>
                <w:r>
                  <w:rPr>
                    <w:sz w:val="16"/>
                  </w:rPr>
                  <w:t>Course Descriptions| </w:t>
                </w:r>
                <w:r>
                  <w:rPr/>
                  <w:fldChar w:fldCharType="begin"/>
                </w:r>
                <w:r>
                  <w:rPr>
                    <w:sz w:val="16"/>
                  </w:rPr>
                  <w:instrText> PAGE </w:instrText>
                </w:r>
                <w:r>
                  <w:rPr/>
                  <w:fldChar w:fldCharType="separate"/>
                </w:r>
                <w:r>
                  <w:rPr/>
                  <w:t>153</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824" type="#_x0000_t202" filled="false" stroked="false">
          <v:textbox inset="0,0,0,0">
            <w:txbxContent>
              <w:p>
                <w:pPr>
                  <w:spacing w:before="11"/>
                  <w:ind w:left="20" w:right="0" w:firstLine="0"/>
                  <w:jc w:val="left"/>
                  <w:rPr>
                    <w:sz w:val="16"/>
                  </w:rPr>
                </w:pPr>
                <w:r>
                  <w:rPr>
                    <w:sz w:val="16"/>
                  </w:rPr>
                  <w:t>160| University of Maryland Baltimore Graduate School Graduate Catalog</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4.65pt;height:10.8pt;mso-position-horizontal-relative:page;mso-position-vertical-relative:page;z-index:-299800" type="#_x0000_t202" filled="false" stroked="false">
          <v:textbox inset="0,0,0,0">
            <w:txbxContent>
              <w:p>
                <w:pPr>
                  <w:spacing w:before="11"/>
                  <w:ind w:left="20" w:right="0" w:firstLine="0"/>
                  <w:jc w:val="left"/>
                  <w:rPr>
                    <w:sz w:val="16"/>
                  </w:rPr>
                </w:pPr>
                <w:r>
                  <w:rPr>
                    <w:sz w:val="16"/>
                  </w:rPr>
                  <w:t>Course Descriptions| 161</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776"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164</w:t>
                </w:r>
                <w:r>
                  <w:rPr/>
                  <w:fldChar w:fldCharType="end"/>
                </w:r>
                <w:r>
                  <w:rPr>
                    <w:sz w:val="16"/>
                  </w:rPr>
                  <w:t>| University of Maryland Baltimore Graduate School Graduate Catalog</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2.76001pt;margin-top:37.542381pt;width:95.65pt;height:10.8pt;mso-position-horizontal-relative:page;mso-position-vertical-relative:page;z-index:-299752" type="#_x0000_t202" filled="false" stroked="false">
          <v:textbox inset="0,0,0,0">
            <w:txbxContent>
              <w:p>
                <w:pPr>
                  <w:spacing w:before="11"/>
                  <w:ind w:left="20" w:right="0" w:firstLine="0"/>
                  <w:jc w:val="left"/>
                  <w:rPr>
                    <w:sz w:val="16"/>
                  </w:rPr>
                </w:pPr>
                <w:r>
                  <w:rPr>
                    <w:sz w:val="16"/>
                  </w:rPr>
                  <w:t>Course Descriptions| </w:t>
                </w:r>
                <w:r>
                  <w:rPr/>
                  <w:fldChar w:fldCharType="begin"/>
                </w:r>
                <w:r>
                  <w:rPr>
                    <w:sz w:val="16"/>
                  </w:rPr>
                  <w:instrText> PAGE </w:instrText>
                </w:r>
                <w:r>
                  <w:rPr/>
                  <w:fldChar w:fldCharType="separate"/>
                </w:r>
                <w:r>
                  <w:rPr/>
                  <w:t>163</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5.45pt;height:10.8pt;mso-position-horizontal-relative:page;mso-position-vertical-relative:page;z-index:-299728" type="#_x0000_t202" filled="false" stroked="false">
          <v:textbox inset="0,0,0,0">
            <w:txbxContent>
              <w:p>
                <w:pPr>
                  <w:spacing w:before="11"/>
                  <w:ind w:left="20" w:right="0" w:firstLine="0"/>
                  <w:jc w:val="left"/>
                  <w:rPr>
                    <w:sz w:val="16"/>
                  </w:rPr>
                </w:pPr>
                <w:r>
                  <w:rPr>
                    <w:sz w:val="16"/>
                  </w:rPr>
                  <w:t>Administration| 169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2.3pt;height:10.8pt;mso-position-horizontal-relative:page;mso-position-vertical-relative:page;z-index:-300568"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10</w:t>
                </w:r>
                <w:r>
                  <w:rPr/>
                  <w:fldChar w:fldCharType="end"/>
                </w:r>
                <w:r>
                  <w:rPr>
                    <w:sz w:val="16"/>
                  </w:rPr>
                  <w:t>| University of Maryland Baltimore Graduate School Graduate Catalog</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704" type="#_x0000_t202" filled="false" stroked="false">
          <v:textbox inset="0,0,0,0">
            <w:txbxContent>
              <w:p>
                <w:pPr>
                  <w:spacing w:before="11"/>
                  <w:ind w:left="20" w:right="0" w:firstLine="0"/>
                  <w:jc w:val="left"/>
                  <w:rPr>
                    <w:sz w:val="16"/>
                  </w:rPr>
                </w:pPr>
                <w:r>
                  <w:rPr>
                    <w:sz w:val="16"/>
                  </w:rPr>
                  <w:t>170| University of Maryland Baltimore Graduate School Graduate Catalog</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5.45pt;height:10.8pt;mso-position-horizontal-relative:page;mso-position-vertical-relative:page;z-index:-299680" type="#_x0000_t202" filled="false" stroked="false">
          <v:textbox inset="0,0,0,0">
            <w:txbxContent>
              <w:p>
                <w:pPr>
                  <w:spacing w:before="11"/>
                  <w:ind w:left="20" w:right="0" w:firstLine="0"/>
                  <w:jc w:val="left"/>
                  <w:rPr>
                    <w:sz w:val="16"/>
                  </w:rPr>
                </w:pPr>
                <w:r>
                  <w:rPr>
                    <w:sz w:val="16"/>
                  </w:rPr>
                  <w:t>Administration| 171</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656" type="#_x0000_t202" filled="false" stroked="false">
          <v:textbox inset="0,0,0,0">
            <w:txbxContent>
              <w:p>
                <w:pPr>
                  <w:spacing w:before="11"/>
                  <w:ind w:left="40" w:right="0" w:firstLine="0"/>
                  <w:jc w:val="left"/>
                  <w:rPr>
                    <w:sz w:val="16"/>
                  </w:rPr>
                </w:pPr>
                <w:r>
                  <w:rPr>
                    <w:sz w:val="16"/>
                  </w:rPr>
                  <w:t>172</w:t>
                </w:r>
                <w:r>
                  <w:rPr>
                    <w:sz w:val="16"/>
                  </w:rPr>
                  <w:t>| University of Maryland Baltimore Graduate School Graduate Catalog</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6.45pt;height:10.8pt;mso-position-horizontal-relative:page;mso-position-vertical-relative:page;z-index:-299632" type="#_x0000_t202" filled="false" stroked="false">
          <v:textbox inset="0,0,0,0">
            <w:txbxContent>
              <w:p>
                <w:pPr>
                  <w:spacing w:before="11"/>
                  <w:ind w:left="20" w:right="0" w:firstLine="0"/>
                  <w:jc w:val="left"/>
                  <w:rPr>
                    <w:sz w:val="16"/>
                  </w:rPr>
                </w:pPr>
                <w:r>
                  <w:rPr>
                    <w:sz w:val="16"/>
                  </w:rPr>
                  <w:t>Administration| </w:t>
                </w:r>
                <w:r>
                  <w:rPr/>
                  <w:fldChar w:fldCharType="begin"/>
                </w:r>
                <w:r>
                  <w:rPr>
                    <w:sz w:val="16"/>
                  </w:rPr>
                  <w:instrText> PAGE </w:instrText>
                </w:r>
                <w:r>
                  <w:rPr/>
                  <w:fldChar w:fldCharType="separate"/>
                </w:r>
                <w:r>
                  <w:rPr/>
                  <w:t>173</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608"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174</w:t>
                </w:r>
                <w:r>
                  <w:rPr/>
                  <w:fldChar w:fldCharType="end"/>
                </w:r>
                <w:r>
                  <w:rPr>
                    <w:sz w:val="16"/>
                  </w:rPr>
                  <w:t>| University of Maryland Baltimore Graduate School Graduate Catalog</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584" type="#_x0000_t202" filled="false" stroked="false">
          <v:textbox inset="0,0,0,0">
            <w:txbxContent>
              <w:p>
                <w:pPr>
                  <w:spacing w:before="11"/>
                  <w:ind w:left="20" w:right="0" w:firstLine="0"/>
                  <w:jc w:val="left"/>
                  <w:rPr>
                    <w:sz w:val="16"/>
                  </w:rPr>
                </w:pPr>
                <w:r>
                  <w:rPr>
                    <w:sz w:val="16"/>
                  </w:rPr>
                  <w:t>180| University of Maryland Baltimore Graduate School Graduate Catalog</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5.45pt;height:10.8pt;mso-position-horizontal-relative:page;mso-position-vertical-relative:page;z-index:-299560" type="#_x0000_t202" filled="false" stroked="false">
          <v:textbox inset="0,0,0,0">
            <w:txbxContent>
              <w:p>
                <w:pPr>
                  <w:spacing w:before="11"/>
                  <w:ind w:left="20" w:right="0" w:firstLine="0"/>
                  <w:jc w:val="left"/>
                  <w:rPr>
                    <w:sz w:val="16"/>
                  </w:rPr>
                </w:pPr>
                <w:r>
                  <w:rPr>
                    <w:sz w:val="16"/>
                  </w:rPr>
                  <w:t>Administration| 181</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536"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182</w:t>
                </w:r>
                <w:r>
                  <w:rPr/>
                  <w:fldChar w:fldCharType="end"/>
                </w:r>
                <w:r>
                  <w:rPr>
                    <w:sz w:val="16"/>
                  </w:rPr>
                  <w:t>| University of Maryland Baltimore Graduate School Graduate Catalog</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6.45pt;height:10.8pt;mso-position-horizontal-relative:page;mso-position-vertical-relative:page;z-index:-299512" type="#_x0000_t202" filled="false" stroked="false">
          <v:textbox inset="0,0,0,0">
            <w:txbxContent>
              <w:p>
                <w:pPr>
                  <w:spacing w:before="11"/>
                  <w:ind w:left="20" w:right="0" w:firstLine="0"/>
                  <w:jc w:val="left"/>
                  <w:rPr>
                    <w:sz w:val="16"/>
                  </w:rPr>
                </w:pPr>
                <w:r>
                  <w:rPr>
                    <w:sz w:val="16"/>
                  </w:rPr>
                  <w:t>Administration| </w:t>
                </w:r>
                <w:r>
                  <w:rPr/>
                  <w:fldChar w:fldCharType="begin"/>
                </w:r>
                <w:r>
                  <w:rPr>
                    <w:sz w:val="16"/>
                  </w:rPr>
                  <w:instrText> PAGE </w:instrText>
                </w:r>
                <w:r>
                  <w:rPr/>
                  <w:fldChar w:fldCharType="separate"/>
                </w:r>
                <w:r>
                  <w:rPr/>
                  <w:t>183</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488" type="#_x0000_t202" filled="false" stroked="false">
          <v:textbox inset="0,0,0,0">
            <w:txbxContent>
              <w:p>
                <w:pPr>
                  <w:spacing w:before="11"/>
                  <w:ind w:left="20" w:right="0" w:firstLine="0"/>
                  <w:jc w:val="left"/>
                  <w:rPr>
                    <w:sz w:val="16"/>
                  </w:rPr>
                </w:pPr>
                <w:r>
                  <w:rPr>
                    <w:sz w:val="16"/>
                  </w:rPr>
                  <w:t>190| University of Maryland Baltimore Graduate School Graduate Catalog</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14.440002pt;margin-top:37.542381pt;width:153.75pt;height:10.8pt;mso-position-horizontal-relative:page;mso-position-vertical-relative:page;z-index:-300544" type="#_x0000_t202" filled="false" stroked="false">
          <v:textbox inset="0,0,0,0">
            <w:txbxContent>
              <w:p>
                <w:pPr>
                  <w:spacing w:before="11"/>
                  <w:ind w:left="20" w:right="0" w:firstLine="0"/>
                  <w:jc w:val="left"/>
                  <w:rPr>
                    <w:sz w:val="16"/>
                  </w:rPr>
                </w:pPr>
                <w:r>
                  <w:rPr>
                    <w:sz w:val="16"/>
                  </w:rPr>
                  <w:t>Registration, Enrollment, and Grades| </w:t>
                </w:r>
                <w:r>
                  <w:rPr/>
                  <w:fldChar w:fldCharType="begin"/>
                </w:r>
                <w:r>
                  <w:rPr>
                    <w:sz w:val="16"/>
                  </w:rPr>
                  <w:instrText> PAGE </w:instrText>
                </w:r>
                <w:r>
                  <w:rPr/>
                  <w:fldChar w:fldCharType="separate"/>
                </w:r>
                <w:r>
                  <w:rPr/>
                  <w:t>15</w:t>
                </w:r>
                <w:r>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5.45pt;height:10.8pt;mso-position-horizontal-relative:page;mso-position-vertical-relative:page;z-index:-299464" type="#_x0000_t202" filled="false" stroked="false">
          <v:textbox inset="0,0,0,0">
            <w:txbxContent>
              <w:p>
                <w:pPr>
                  <w:spacing w:before="11"/>
                  <w:ind w:left="20" w:right="0" w:firstLine="0"/>
                  <w:jc w:val="left"/>
                  <w:rPr>
                    <w:sz w:val="16"/>
                  </w:rPr>
                </w:pPr>
                <w:r>
                  <w:rPr>
                    <w:sz w:val="16"/>
                  </w:rPr>
                  <w:t>Administration| 191</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440"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192</w:t>
                </w:r>
                <w:r>
                  <w:rPr/>
                  <w:fldChar w:fldCharType="end"/>
                </w:r>
                <w:r>
                  <w:rPr>
                    <w:sz w:val="16"/>
                  </w:rPr>
                  <w:t>| University of Maryland Baltimore Graduate School Graduate Catalog</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6.45pt;height:10.8pt;mso-position-horizontal-relative:page;mso-position-vertical-relative:page;z-index:-299416" type="#_x0000_t202" filled="false" stroked="false">
          <v:textbox inset="0,0,0,0">
            <w:txbxContent>
              <w:p>
                <w:pPr>
                  <w:spacing w:before="11"/>
                  <w:ind w:left="20" w:right="0" w:firstLine="0"/>
                  <w:jc w:val="left"/>
                  <w:rPr>
                    <w:sz w:val="16"/>
                  </w:rPr>
                </w:pPr>
                <w:r>
                  <w:rPr>
                    <w:sz w:val="16"/>
                  </w:rPr>
                  <w:t>Administration| </w:t>
                </w:r>
                <w:r>
                  <w:rPr/>
                  <w:fldChar w:fldCharType="begin"/>
                </w:r>
                <w:r>
                  <w:rPr>
                    <w:sz w:val="16"/>
                  </w:rPr>
                  <w:instrText> PAGE </w:instrText>
                </w:r>
                <w:r>
                  <w:rPr/>
                  <w:fldChar w:fldCharType="separate"/>
                </w:r>
                <w:r>
                  <w:rPr/>
                  <w:t>193</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392" type="#_x0000_t202" filled="false" stroked="false">
          <v:textbox inset="0,0,0,0">
            <w:txbxContent>
              <w:p>
                <w:pPr>
                  <w:spacing w:before="11"/>
                  <w:ind w:left="20" w:right="0" w:firstLine="0"/>
                  <w:jc w:val="left"/>
                  <w:rPr>
                    <w:sz w:val="16"/>
                  </w:rPr>
                </w:pPr>
                <w:r>
                  <w:rPr>
                    <w:sz w:val="16"/>
                  </w:rPr>
                  <w:t>210| University of Maryland Baltimore Graduate School Graduate Catalog</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5.45pt;height:10.8pt;mso-position-horizontal-relative:page;mso-position-vertical-relative:page;z-index:-299368" type="#_x0000_t202" filled="false" stroked="false">
          <v:textbox inset="0,0,0,0">
            <w:txbxContent>
              <w:p>
                <w:pPr>
                  <w:spacing w:before="11"/>
                  <w:ind w:left="20" w:right="0" w:firstLine="0"/>
                  <w:jc w:val="left"/>
                  <w:rPr>
                    <w:sz w:val="16"/>
                  </w:rPr>
                </w:pPr>
                <w:r>
                  <w:rPr>
                    <w:sz w:val="16"/>
                  </w:rPr>
                  <w:t>Administration| 211</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344"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212</w:t>
                </w:r>
                <w:r>
                  <w:rPr/>
                  <w:fldChar w:fldCharType="end"/>
                </w:r>
                <w:r>
                  <w:rPr>
                    <w:sz w:val="16"/>
                  </w:rPr>
                  <w:t>| University of Maryland Baltimore Graduate School Graduate Catalog</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6.45pt;height:10.8pt;mso-position-horizontal-relative:page;mso-position-vertical-relative:page;z-index:-299320" type="#_x0000_t202" filled="false" stroked="false">
          <v:textbox inset="0,0,0,0">
            <w:txbxContent>
              <w:p>
                <w:pPr>
                  <w:spacing w:before="11"/>
                  <w:ind w:left="20" w:right="0" w:firstLine="0"/>
                  <w:jc w:val="left"/>
                  <w:rPr>
                    <w:sz w:val="16"/>
                  </w:rPr>
                </w:pPr>
                <w:r>
                  <w:rPr>
                    <w:sz w:val="16"/>
                  </w:rPr>
                  <w:t>Administration| </w:t>
                </w:r>
                <w:r>
                  <w:rPr/>
                  <w:fldChar w:fldCharType="begin"/>
                </w:r>
                <w:r>
                  <w:rPr>
                    <w:sz w:val="16"/>
                  </w:rPr>
                  <w:instrText> PAGE </w:instrText>
                </w:r>
                <w:r>
                  <w:rPr/>
                  <w:fldChar w:fldCharType="separate"/>
                </w:r>
                <w:r>
                  <w:rPr/>
                  <w:t>213</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296" type="#_x0000_t202" filled="false" stroked="false">
          <v:textbox inset="0,0,0,0">
            <w:txbxContent>
              <w:p>
                <w:pPr>
                  <w:spacing w:before="11"/>
                  <w:ind w:left="20" w:right="0" w:firstLine="0"/>
                  <w:jc w:val="left"/>
                  <w:rPr>
                    <w:sz w:val="16"/>
                  </w:rPr>
                </w:pPr>
                <w:r>
                  <w:rPr>
                    <w:sz w:val="16"/>
                  </w:rPr>
                  <w:t>220| University of Maryland Baltimore Graduate School Graduate Catalog</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5.45pt;height:10.8pt;mso-position-horizontal-relative:page;mso-position-vertical-relative:page;z-index:-299272" type="#_x0000_t202" filled="false" stroked="false">
          <v:textbox inset="0,0,0,0">
            <w:txbxContent>
              <w:p>
                <w:pPr>
                  <w:spacing w:before="11"/>
                  <w:ind w:left="20" w:right="0" w:firstLine="0"/>
                  <w:jc w:val="left"/>
                  <w:rPr>
                    <w:sz w:val="16"/>
                  </w:rPr>
                </w:pPr>
                <w:r>
                  <w:rPr>
                    <w:sz w:val="16"/>
                  </w:rPr>
                  <w:t>Administration| 221</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248"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222</w:t>
                </w:r>
                <w:r>
                  <w:rPr/>
                  <w:fldChar w:fldCharType="end"/>
                </w:r>
                <w:r>
                  <w:rPr>
                    <w:sz w:val="16"/>
                  </w:rPr>
                  <w:t>| University of Maryland Baltimore Graduate School Graduate Catalog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2.3pt;height:10.8pt;mso-position-horizontal-relative:page;mso-position-vertical-relative:page;z-index:-300520"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16</w:t>
                </w:r>
                <w:r>
                  <w:rPr/>
                  <w:fldChar w:fldCharType="end"/>
                </w:r>
                <w:r>
                  <w:rPr>
                    <w:sz w:val="16"/>
                  </w:rPr>
                  <w:t>| University of Maryland Baltimore Graduate School Graduate Catalog</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6.45pt;height:10.8pt;mso-position-horizontal-relative:page;mso-position-vertical-relative:page;z-index:-299224" type="#_x0000_t202" filled="false" stroked="false">
          <v:textbox inset="0,0,0,0">
            <w:txbxContent>
              <w:p>
                <w:pPr>
                  <w:spacing w:before="11"/>
                  <w:ind w:left="20" w:right="0" w:firstLine="0"/>
                  <w:jc w:val="left"/>
                  <w:rPr>
                    <w:sz w:val="16"/>
                  </w:rPr>
                </w:pPr>
                <w:r>
                  <w:rPr>
                    <w:sz w:val="16"/>
                  </w:rPr>
                  <w:t>Administration| </w:t>
                </w:r>
                <w:r>
                  <w:rPr/>
                  <w:fldChar w:fldCharType="begin"/>
                </w:r>
                <w:r>
                  <w:rPr>
                    <w:sz w:val="16"/>
                  </w:rPr>
                  <w:instrText> PAGE </w:instrText>
                </w:r>
                <w:r>
                  <w:rPr/>
                  <w:fldChar w:fldCharType="separate"/>
                </w:r>
                <w:r>
                  <w:rPr/>
                  <w:t>223</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200" type="#_x0000_t202" filled="false" stroked="false">
          <v:textbox inset="0,0,0,0">
            <w:txbxContent>
              <w:p>
                <w:pPr>
                  <w:spacing w:before="11"/>
                  <w:ind w:left="20" w:right="0" w:firstLine="0"/>
                  <w:jc w:val="left"/>
                  <w:rPr>
                    <w:sz w:val="16"/>
                  </w:rPr>
                </w:pPr>
                <w:r>
                  <w:rPr>
                    <w:sz w:val="16"/>
                  </w:rPr>
                  <w:t>230| University of Maryland Baltimore Graduate School Graduate Catalog</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5.45pt;height:10.8pt;mso-position-horizontal-relative:page;mso-position-vertical-relative:page;z-index:-299176" type="#_x0000_t202" filled="false" stroked="false">
          <v:textbox inset="0,0,0,0">
            <w:txbxContent>
              <w:p>
                <w:pPr>
                  <w:spacing w:before="11"/>
                  <w:ind w:left="20" w:right="0" w:firstLine="0"/>
                  <w:jc w:val="left"/>
                  <w:rPr>
                    <w:sz w:val="16"/>
                  </w:rPr>
                </w:pPr>
                <w:r>
                  <w:rPr>
                    <w:sz w:val="16"/>
                  </w:rPr>
                  <w:t>Administration| 231</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152"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232</w:t>
                </w:r>
                <w:r>
                  <w:rPr/>
                  <w:fldChar w:fldCharType="end"/>
                </w:r>
                <w:r>
                  <w:rPr>
                    <w:sz w:val="16"/>
                  </w:rPr>
                  <w:t>| University of Maryland Baltimore Graduate School Graduate Catalog</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6.45pt;height:10.8pt;mso-position-horizontal-relative:page;mso-position-vertical-relative:page;z-index:-299128" type="#_x0000_t202" filled="false" stroked="false">
          <v:textbox inset="0,0,0,0">
            <w:txbxContent>
              <w:p>
                <w:pPr>
                  <w:spacing w:before="11"/>
                  <w:ind w:left="20" w:right="0" w:firstLine="0"/>
                  <w:jc w:val="left"/>
                  <w:rPr>
                    <w:sz w:val="16"/>
                  </w:rPr>
                </w:pPr>
                <w:r>
                  <w:rPr>
                    <w:sz w:val="16"/>
                  </w:rPr>
                  <w:t>Administration| </w:t>
                </w:r>
                <w:r>
                  <w:rPr/>
                  <w:fldChar w:fldCharType="begin"/>
                </w:r>
                <w:r>
                  <w:rPr>
                    <w:sz w:val="16"/>
                  </w:rPr>
                  <w:instrText> PAGE </w:instrText>
                </w:r>
                <w:r>
                  <w:rPr/>
                  <w:fldChar w:fldCharType="separate"/>
                </w:r>
                <w:r>
                  <w:rPr/>
                  <w:t>233</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9104" type="#_x0000_t202" filled="false" stroked="false">
          <v:textbox inset="0,0,0,0">
            <w:txbxContent>
              <w:p>
                <w:pPr>
                  <w:spacing w:before="11"/>
                  <w:ind w:left="20" w:right="0" w:firstLine="0"/>
                  <w:jc w:val="left"/>
                  <w:rPr>
                    <w:sz w:val="16"/>
                  </w:rPr>
                </w:pPr>
                <w:r>
                  <w:rPr>
                    <w:sz w:val="16"/>
                  </w:rPr>
                  <w:t>240| University of Maryland Baltimore Graduate School Graduate Catalog</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6.45pt;height:10.8pt;mso-position-horizontal-relative:page;mso-position-vertical-relative:page;z-index:-299080" type="#_x0000_t202" filled="false" stroked="false">
          <v:textbox inset="0,0,0,0">
            <w:txbxContent>
              <w:p>
                <w:pPr>
                  <w:spacing w:before="11"/>
                  <w:ind w:left="20" w:right="0" w:firstLine="0"/>
                  <w:jc w:val="left"/>
                  <w:rPr>
                    <w:sz w:val="16"/>
                  </w:rPr>
                </w:pPr>
                <w:r>
                  <w:rPr>
                    <w:sz w:val="16"/>
                  </w:rPr>
                  <w:t>Administration| </w:t>
                </w:r>
                <w:r>
                  <w:rPr>
                    <w:sz w:val="16"/>
                  </w:rPr>
                  <w:t>241</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9056"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242</w:t>
                </w:r>
                <w:r>
                  <w:rPr/>
                  <w:fldChar w:fldCharType="end"/>
                </w:r>
                <w:r>
                  <w:rPr>
                    <w:sz w:val="16"/>
                  </w:rPr>
                  <w:t>| University of Maryland Baltimore Graduate School Graduate Catalog</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91.959991pt;margin-top:37.542381pt;width:76.45pt;height:10.8pt;mso-position-horizontal-relative:page;mso-position-vertical-relative:page;z-index:-299032" type="#_x0000_t202" filled="false" stroked="false">
          <v:textbox inset="0,0,0,0">
            <w:txbxContent>
              <w:p>
                <w:pPr>
                  <w:spacing w:before="11"/>
                  <w:ind w:left="20" w:right="0" w:firstLine="0"/>
                  <w:jc w:val="left"/>
                  <w:rPr>
                    <w:sz w:val="16"/>
                  </w:rPr>
                </w:pPr>
                <w:r>
                  <w:rPr>
                    <w:sz w:val="16"/>
                  </w:rPr>
                  <w:t>Administration| </w:t>
                </w:r>
                <w:r>
                  <w:rPr/>
                  <w:fldChar w:fldCharType="begin"/>
                </w:r>
                <w:r>
                  <w:rPr>
                    <w:sz w:val="16"/>
                  </w:rPr>
                  <w:instrText> PAGE </w:instrText>
                </w:r>
                <w:r>
                  <w:rPr/>
                  <w:fldChar w:fldCharType="separate"/>
                </w:r>
                <w:r>
                  <w:rPr/>
                  <w:t>243</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17.880005pt;margin-top:37.542381pt;width:49.3pt;height:10.8pt;mso-position-horizontal-relative:page;mso-position-vertical-relative:page;z-index:-299008" type="#_x0000_t202" filled="false" stroked="false">
          <v:textbox inset="0,0,0,0">
            <w:txbxContent>
              <w:p>
                <w:pPr>
                  <w:spacing w:before="11"/>
                  <w:ind w:left="20" w:right="0" w:firstLine="0"/>
                  <w:jc w:val="left"/>
                  <w:rPr>
                    <w:sz w:val="16"/>
                  </w:rPr>
                </w:pPr>
                <w:r>
                  <w:rPr>
                    <w:sz w:val="16"/>
                  </w:rPr>
                  <w:t>Policies| 249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342.920013pt;margin-top:37.542381pt;width:225.25pt;height:10.8pt;mso-position-horizontal-relative:page;mso-position-vertical-relative:page;z-index:-300496" type="#_x0000_t202" filled="false" stroked="false">
          <v:textbox inset="0,0,0,0">
            <w:txbxContent>
              <w:p>
                <w:pPr>
                  <w:spacing w:before="11"/>
                  <w:ind w:left="20" w:right="0" w:firstLine="0"/>
                  <w:jc w:val="left"/>
                  <w:rPr>
                    <w:sz w:val="16"/>
                  </w:rPr>
                </w:pPr>
                <w:r>
                  <w:rPr>
                    <w:sz w:val="16"/>
                  </w:rPr>
                  <w:t>Academic Standards, Policies, and Degree Requirements| </w:t>
                </w:r>
                <w:r>
                  <w:rPr/>
                  <w:fldChar w:fldCharType="begin"/>
                </w:r>
                <w:r>
                  <w:rPr>
                    <w:sz w:val="16"/>
                  </w:rPr>
                  <w:instrText> PAGE </w:instrText>
                </w:r>
                <w:r>
                  <w:rPr/>
                  <w:fldChar w:fldCharType="separate"/>
                </w:r>
                <w:r>
                  <w:rPr/>
                  <w:t>19</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3pt;margin-top:37.542381pt;width:275.25pt;height:10.8pt;mso-position-horizontal-relative:page;mso-position-vertical-relative:page;z-index:-298984" type="#_x0000_t202" filled="false" stroked="false">
          <v:textbox inset="0,0,0,0">
            <w:txbxContent>
              <w:p>
                <w:pPr>
                  <w:spacing w:before="11"/>
                  <w:ind w:left="20" w:right="0" w:firstLine="0"/>
                  <w:jc w:val="left"/>
                  <w:rPr>
                    <w:sz w:val="16"/>
                  </w:rPr>
                </w:pPr>
                <w:r>
                  <w:rPr>
                    <w:sz w:val="16"/>
                  </w:rPr>
                  <w:t>250| University of Maryland Baltimore Graduate School Graduate Catalog</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17.880005pt;margin-top:37.542381pt;width:49.3pt;height:10.8pt;mso-position-horizontal-relative:page;mso-position-vertical-relative:page;z-index:-298960" type="#_x0000_t202" filled="false" stroked="false">
          <v:textbox inset="0,0,0,0">
            <w:txbxContent>
              <w:p>
                <w:pPr>
                  <w:spacing w:before="11"/>
                  <w:ind w:left="20" w:right="0" w:firstLine="0"/>
                  <w:jc w:val="left"/>
                  <w:rPr>
                    <w:sz w:val="16"/>
                  </w:rPr>
                </w:pPr>
                <w:r>
                  <w:rPr>
                    <w:sz w:val="16"/>
                  </w:rPr>
                  <w:t>Policies| 251</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8936" type="#_x0000_t202" filled="false" stroked="false">
          <v:textbox inset="0,0,0,0">
            <w:txbxContent>
              <w:p>
                <w:pPr>
                  <w:spacing w:before="11"/>
                  <w:ind w:left="40" w:right="0" w:firstLine="0"/>
                  <w:jc w:val="left"/>
                  <w:rPr>
                    <w:sz w:val="16"/>
                  </w:rPr>
                </w:pPr>
                <w:r>
                  <w:rPr>
                    <w:sz w:val="16"/>
                  </w:rPr>
                  <w:t>252</w:t>
                </w:r>
                <w:r>
                  <w:rPr>
                    <w:sz w:val="16"/>
                  </w:rPr>
                  <w:t>| University of Maryland Baltimore Graduate School Graduate Catalog</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17.880005pt;margin-top:37.542381pt;width:50.3pt;height:10.8pt;mso-position-horizontal-relative:page;mso-position-vertical-relative:page;z-index:-298912" type="#_x0000_t202" filled="false" stroked="false">
          <v:textbox inset="0,0,0,0">
            <w:txbxContent>
              <w:p>
                <w:pPr>
                  <w:spacing w:before="11"/>
                  <w:ind w:left="20" w:right="0" w:firstLine="0"/>
                  <w:jc w:val="left"/>
                  <w:rPr>
                    <w:sz w:val="16"/>
                  </w:rPr>
                </w:pPr>
                <w:r>
                  <w:rPr>
                    <w:sz w:val="16"/>
                  </w:rPr>
                  <w:t>Policies| </w:t>
                </w:r>
                <w:r>
                  <w:rPr/>
                  <w:fldChar w:fldCharType="begin"/>
                </w:r>
                <w:r>
                  <w:rPr>
                    <w:sz w:val="16"/>
                  </w:rPr>
                  <w:instrText> PAGE </w:instrText>
                </w:r>
                <w:r>
                  <w:rPr/>
                  <w:fldChar w:fldCharType="separate"/>
                </w:r>
                <w:r>
                  <w:rPr/>
                  <w:t>253</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6.25pt;height:10.8pt;mso-position-horizontal-relative:page;mso-position-vertical-relative:page;z-index:-298888"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254</w:t>
                </w:r>
                <w:r>
                  <w:rPr/>
                  <w:fldChar w:fldCharType="end"/>
                </w:r>
                <w:r>
                  <w:rPr>
                    <w:sz w:val="16"/>
                  </w:rPr>
                  <w:t>| University of Maryland Baltimore Graduate School Graduate Catalog</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52pt;margin-top:37.542381pt;width:272.3pt;height:10.8pt;mso-position-horizontal-relative:page;mso-position-vertical-relative:page;z-index:-300472" type="#_x0000_t202" filled="false" stroked="false">
          <v:textbox inset="0,0,0,0">
            <w:txbxContent>
              <w:p>
                <w:pPr>
                  <w:spacing w:before="11"/>
                  <w:ind w:left="40" w:right="0" w:firstLine="0"/>
                  <w:jc w:val="left"/>
                  <w:rPr>
                    <w:sz w:val="16"/>
                  </w:rPr>
                </w:pPr>
                <w:r>
                  <w:rPr/>
                  <w:fldChar w:fldCharType="begin"/>
                </w:r>
                <w:r>
                  <w:rPr>
                    <w:sz w:val="16"/>
                  </w:rPr>
                  <w:instrText> PAGE </w:instrText>
                </w:r>
                <w:r>
                  <w:rPr/>
                  <w:fldChar w:fldCharType="separate"/>
                </w:r>
                <w:r>
                  <w:rPr/>
                  <w:t>20</w:t>
                </w:r>
                <w:r>
                  <w:rPr/>
                  <w:fldChar w:fldCharType="end"/>
                </w:r>
                <w:r>
                  <w:rPr>
                    <w:sz w:val="16"/>
                  </w:rPr>
                  <w:t>| University of Maryland Baltimore Graduate School Graduate Catalog</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pPr>
    <w:r>
      <w:rPr/>
      <w:pict>
        <v:shape style="position:absolute;margin-left:471.320007pt;margin-top:37.542381pt;width:96.85pt;height:10.8pt;mso-position-horizontal-relative:page;mso-position-vertical-relative:page;z-index:-300448" type="#_x0000_t202" filled="false" stroked="false">
          <v:textbox inset="0,0,0,0">
            <w:txbxContent>
              <w:p>
                <w:pPr>
                  <w:spacing w:before="11"/>
                  <w:ind w:left="20" w:right="0" w:firstLine="0"/>
                  <w:jc w:val="left"/>
                  <w:rPr>
                    <w:sz w:val="16"/>
                  </w:rPr>
                </w:pPr>
                <w:r>
                  <w:rPr>
                    <w:sz w:val="16"/>
                  </w:rPr>
                  <w:t>Financial Information| </w:t>
                </w:r>
                <w:r>
                  <w:rPr/>
                  <w:fldChar w:fldCharType="begin"/>
                </w:r>
                <w:r>
                  <w:rPr>
                    <w:sz w:val="16"/>
                  </w:rPr>
                  <w:instrText> PAGE </w:instrText>
                </w:r>
                <w:r>
                  <w:rPr/>
                  <w:fldChar w:fldCharType="separate"/>
                </w:r>
                <w:r>
                  <w:rPr/>
                  <w:t>29</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632" w:hanging="216"/>
        <w:jc w:val="left"/>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1072" w:hanging="216"/>
      </w:pPr>
      <w:rPr>
        <w:rFonts w:hint="default"/>
        <w:lang w:val="en-us" w:eastAsia="en-us" w:bidi="en-us"/>
      </w:rPr>
    </w:lvl>
    <w:lvl w:ilvl="2">
      <w:start w:val="0"/>
      <w:numFmt w:val="bullet"/>
      <w:lvlText w:val="•"/>
      <w:lvlJc w:val="left"/>
      <w:pPr>
        <w:ind w:left="1505" w:hanging="216"/>
      </w:pPr>
      <w:rPr>
        <w:rFonts w:hint="default"/>
        <w:lang w:val="en-us" w:eastAsia="en-us" w:bidi="en-us"/>
      </w:rPr>
    </w:lvl>
    <w:lvl w:ilvl="3">
      <w:start w:val="0"/>
      <w:numFmt w:val="bullet"/>
      <w:lvlText w:val="•"/>
      <w:lvlJc w:val="left"/>
      <w:pPr>
        <w:ind w:left="1938" w:hanging="216"/>
      </w:pPr>
      <w:rPr>
        <w:rFonts w:hint="default"/>
        <w:lang w:val="en-us" w:eastAsia="en-us" w:bidi="en-us"/>
      </w:rPr>
    </w:lvl>
    <w:lvl w:ilvl="4">
      <w:start w:val="0"/>
      <w:numFmt w:val="bullet"/>
      <w:lvlText w:val="•"/>
      <w:lvlJc w:val="left"/>
      <w:pPr>
        <w:ind w:left="2371" w:hanging="216"/>
      </w:pPr>
      <w:rPr>
        <w:rFonts w:hint="default"/>
        <w:lang w:val="en-us" w:eastAsia="en-us" w:bidi="en-us"/>
      </w:rPr>
    </w:lvl>
    <w:lvl w:ilvl="5">
      <w:start w:val="0"/>
      <w:numFmt w:val="bullet"/>
      <w:lvlText w:val="•"/>
      <w:lvlJc w:val="left"/>
      <w:pPr>
        <w:ind w:left="2804" w:hanging="216"/>
      </w:pPr>
      <w:rPr>
        <w:rFonts w:hint="default"/>
        <w:lang w:val="en-us" w:eastAsia="en-us" w:bidi="en-us"/>
      </w:rPr>
    </w:lvl>
    <w:lvl w:ilvl="6">
      <w:start w:val="0"/>
      <w:numFmt w:val="bullet"/>
      <w:lvlText w:val="•"/>
      <w:lvlJc w:val="left"/>
      <w:pPr>
        <w:ind w:left="3237" w:hanging="216"/>
      </w:pPr>
      <w:rPr>
        <w:rFonts w:hint="default"/>
        <w:lang w:val="en-us" w:eastAsia="en-us" w:bidi="en-us"/>
      </w:rPr>
    </w:lvl>
    <w:lvl w:ilvl="7">
      <w:start w:val="0"/>
      <w:numFmt w:val="bullet"/>
      <w:lvlText w:val="•"/>
      <w:lvlJc w:val="left"/>
      <w:pPr>
        <w:ind w:left="3670" w:hanging="216"/>
      </w:pPr>
      <w:rPr>
        <w:rFonts w:hint="default"/>
        <w:lang w:val="en-us" w:eastAsia="en-us" w:bidi="en-us"/>
      </w:rPr>
    </w:lvl>
    <w:lvl w:ilvl="8">
      <w:start w:val="0"/>
      <w:numFmt w:val="bullet"/>
      <w:lvlText w:val="•"/>
      <w:lvlJc w:val="left"/>
      <w:pPr>
        <w:ind w:left="4103" w:hanging="216"/>
      </w:pPr>
      <w:rPr>
        <w:rFonts w:hint="default"/>
        <w:lang w:val="en-us" w:eastAsia="en-us" w:bidi="en-us"/>
      </w:rPr>
    </w:lvl>
  </w:abstractNum>
  <w:abstractNum w:abstractNumId="1">
    <w:multiLevelType w:val="hybridMultilevel"/>
    <w:lvl w:ilvl="0">
      <w:start w:val="0"/>
      <w:numFmt w:val="bullet"/>
      <w:lvlText w:val="•"/>
      <w:lvlJc w:val="left"/>
      <w:pPr>
        <w:ind w:left="632" w:hanging="216"/>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1133" w:hanging="216"/>
      </w:pPr>
      <w:rPr>
        <w:rFonts w:hint="default"/>
        <w:lang w:val="en-us" w:eastAsia="en-us" w:bidi="en-us"/>
      </w:rPr>
    </w:lvl>
    <w:lvl w:ilvl="2">
      <w:start w:val="0"/>
      <w:numFmt w:val="bullet"/>
      <w:lvlText w:val="•"/>
      <w:lvlJc w:val="left"/>
      <w:pPr>
        <w:ind w:left="1626" w:hanging="216"/>
      </w:pPr>
      <w:rPr>
        <w:rFonts w:hint="default"/>
        <w:lang w:val="en-us" w:eastAsia="en-us" w:bidi="en-us"/>
      </w:rPr>
    </w:lvl>
    <w:lvl w:ilvl="3">
      <w:start w:val="0"/>
      <w:numFmt w:val="bullet"/>
      <w:lvlText w:val="•"/>
      <w:lvlJc w:val="left"/>
      <w:pPr>
        <w:ind w:left="2120" w:hanging="216"/>
      </w:pPr>
      <w:rPr>
        <w:rFonts w:hint="default"/>
        <w:lang w:val="en-us" w:eastAsia="en-us" w:bidi="en-us"/>
      </w:rPr>
    </w:lvl>
    <w:lvl w:ilvl="4">
      <w:start w:val="0"/>
      <w:numFmt w:val="bullet"/>
      <w:lvlText w:val="•"/>
      <w:lvlJc w:val="left"/>
      <w:pPr>
        <w:ind w:left="2613" w:hanging="216"/>
      </w:pPr>
      <w:rPr>
        <w:rFonts w:hint="default"/>
        <w:lang w:val="en-us" w:eastAsia="en-us" w:bidi="en-us"/>
      </w:rPr>
    </w:lvl>
    <w:lvl w:ilvl="5">
      <w:start w:val="0"/>
      <w:numFmt w:val="bullet"/>
      <w:lvlText w:val="•"/>
      <w:lvlJc w:val="left"/>
      <w:pPr>
        <w:ind w:left="3107" w:hanging="216"/>
      </w:pPr>
      <w:rPr>
        <w:rFonts w:hint="default"/>
        <w:lang w:val="en-us" w:eastAsia="en-us" w:bidi="en-us"/>
      </w:rPr>
    </w:lvl>
    <w:lvl w:ilvl="6">
      <w:start w:val="0"/>
      <w:numFmt w:val="bullet"/>
      <w:lvlText w:val="•"/>
      <w:lvlJc w:val="left"/>
      <w:pPr>
        <w:ind w:left="3600" w:hanging="216"/>
      </w:pPr>
      <w:rPr>
        <w:rFonts w:hint="default"/>
        <w:lang w:val="en-us" w:eastAsia="en-us" w:bidi="en-us"/>
      </w:rPr>
    </w:lvl>
    <w:lvl w:ilvl="7">
      <w:start w:val="0"/>
      <w:numFmt w:val="bullet"/>
      <w:lvlText w:val="•"/>
      <w:lvlJc w:val="left"/>
      <w:pPr>
        <w:ind w:left="4093" w:hanging="216"/>
      </w:pPr>
      <w:rPr>
        <w:rFonts w:hint="default"/>
        <w:lang w:val="en-us" w:eastAsia="en-us" w:bidi="en-us"/>
      </w:rPr>
    </w:lvl>
    <w:lvl w:ilvl="8">
      <w:start w:val="0"/>
      <w:numFmt w:val="bullet"/>
      <w:lvlText w:val="•"/>
      <w:lvlJc w:val="left"/>
      <w:pPr>
        <w:ind w:left="4587" w:hanging="216"/>
      </w:pPr>
      <w:rPr>
        <w:rFonts w:hint="default"/>
        <w:lang w:val="en-us" w:eastAsia="en-us" w:bidi="en-us"/>
      </w:rPr>
    </w:lvl>
  </w:abstractNum>
  <w:abstractNum w:abstractNumId="0">
    <w:multiLevelType w:val="hybridMultilevel"/>
    <w:lvl w:ilvl="0">
      <w:start w:val="0"/>
      <w:numFmt w:val="bullet"/>
      <w:lvlText w:val="•"/>
      <w:lvlJc w:val="left"/>
      <w:pPr>
        <w:ind w:left="631" w:hanging="216"/>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1075" w:hanging="216"/>
      </w:pPr>
      <w:rPr>
        <w:rFonts w:hint="default"/>
        <w:lang w:val="en-us" w:eastAsia="en-us" w:bidi="en-us"/>
      </w:rPr>
    </w:lvl>
    <w:lvl w:ilvl="2">
      <w:start w:val="0"/>
      <w:numFmt w:val="bullet"/>
      <w:lvlText w:val="•"/>
      <w:lvlJc w:val="left"/>
      <w:pPr>
        <w:ind w:left="1510" w:hanging="216"/>
      </w:pPr>
      <w:rPr>
        <w:rFonts w:hint="default"/>
        <w:lang w:val="en-us" w:eastAsia="en-us" w:bidi="en-us"/>
      </w:rPr>
    </w:lvl>
    <w:lvl w:ilvl="3">
      <w:start w:val="0"/>
      <w:numFmt w:val="bullet"/>
      <w:lvlText w:val="•"/>
      <w:lvlJc w:val="left"/>
      <w:pPr>
        <w:ind w:left="1945" w:hanging="216"/>
      </w:pPr>
      <w:rPr>
        <w:rFonts w:hint="default"/>
        <w:lang w:val="en-us" w:eastAsia="en-us" w:bidi="en-us"/>
      </w:rPr>
    </w:lvl>
    <w:lvl w:ilvl="4">
      <w:start w:val="0"/>
      <w:numFmt w:val="bullet"/>
      <w:lvlText w:val="•"/>
      <w:lvlJc w:val="left"/>
      <w:pPr>
        <w:ind w:left="2380" w:hanging="216"/>
      </w:pPr>
      <w:rPr>
        <w:rFonts w:hint="default"/>
        <w:lang w:val="en-us" w:eastAsia="en-us" w:bidi="en-us"/>
      </w:rPr>
    </w:lvl>
    <w:lvl w:ilvl="5">
      <w:start w:val="0"/>
      <w:numFmt w:val="bullet"/>
      <w:lvlText w:val="•"/>
      <w:lvlJc w:val="left"/>
      <w:pPr>
        <w:ind w:left="2815" w:hanging="216"/>
      </w:pPr>
      <w:rPr>
        <w:rFonts w:hint="default"/>
        <w:lang w:val="en-us" w:eastAsia="en-us" w:bidi="en-us"/>
      </w:rPr>
    </w:lvl>
    <w:lvl w:ilvl="6">
      <w:start w:val="0"/>
      <w:numFmt w:val="bullet"/>
      <w:lvlText w:val="•"/>
      <w:lvlJc w:val="left"/>
      <w:pPr>
        <w:ind w:left="3251" w:hanging="216"/>
      </w:pPr>
      <w:rPr>
        <w:rFonts w:hint="default"/>
        <w:lang w:val="en-us" w:eastAsia="en-us" w:bidi="en-us"/>
      </w:rPr>
    </w:lvl>
    <w:lvl w:ilvl="7">
      <w:start w:val="0"/>
      <w:numFmt w:val="bullet"/>
      <w:lvlText w:val="•"/>
      <w:lvlJc w:val="left"/>
      <w:pPr>
        <w:ind w:left="3686" w:hanging="216"/>
      </w:pPr>
      <w:rPr>
        <w:rFonts w:hint="default"/>
        <w:lang w:val="en-us" w:eastAsia="en-us" w:bidi="en-us"/>
      </w:rPr>
    </w:lvl>
    <w:lvl w:ilvl="8">
      <w:start w:val="0"/>
      <w:numFmt w:val="bullet"/>
      <w:lvlText w:val="•"/>
      <w:lvlJc w:val="left"/>
      <w:pPr>
        <w:ind w:left="4121" w:hanging="216"/>
      </w:pPr>
      <w:rPr>
        <w:rFonts w:hint="default"/>
        <w:lang w:val="en-us" w:eastAsia="en-us" w:bidi="en-us"/>
      </w:rPr>
    </w:lvl>
  </w:abstractNum>
  <w:abstractNum w:abstractNumId="19">
    <w:multiLevelType w:val="hybridMultilevel"/>
    <w:lvl w:ilvl="0">
      <w:start w:val="1"/>
      <w:numFmt w:val="decimal"/>
      <w:lvlText w:val="%1."/>
      <w:lvlJc w:val="left"/>
      <w:pPr>
        <w:ind w:left="631" w:hanging="216"/>
        <w:jc w:val="left"/>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1133" w:hanging="216"/>
      </w:pPr>
      <w:rPr>
        <w:rFonts w:hint="default"/>
        <w:lang w:val="en-us" w:eastAsia="en-us" w:bidi="en-us"/>
      </w:rPr>
    </w:lvl>
    <w:lvl w:ilvl="2">
      <w:start w:val="0"/>
      <w:numFmt w:val="bullet"/>
      <w:lvlText w:val="•"/>
      <w:lvlJc w:val="left"/>
      <w:pPr>
        <w:ind w:left="1626" w:hanging="216"/>
      </w:pPr>
      <w:rPr>
        <w:rFonts w:hint="default"/>
        <w:lang w:val="en-us" w:eastAsia="en-us" w:bidi="en-us"/>
      </w:rPr>
    </w:lvl>
    <w:lvl w:ilvl="3">
      <w:start w:val="0"/>
      <w:numFmt w:val="bullet"/>
      <w:lvlText w:val="•"/>
      <w:lvlJc w:val="left"/>
      <w:pPr>
        <w:ind w:left="2120" w:hanging="216"/>
      </w:pPr>
      <w:rPr>
        <w:rFonts w:hint="default"/>
        <w:lang w:val="en-us" w:eastAsia="en-us" w:bidi="en-us"/>
      </w:rPr>
    </w:lvl>
    <w:lvl w:ilvl="4">
      <w:start w:val="0"/>
      <w:numFmt w:val="bullet"/>
      <w:lvlText w:val="•"/>
      <w:lvlJc w:val="left"/>
      <w:pPr>
        <w:ind w:left="2613" w:hanging="216"/>
      </w:pPr>
      <w:rPr>
        <w:rFonts w:hint="default"/>
        <w:lang w:val="en-us" w:eastAsia="en-us" w:bidi="en-us"/>
      </w:rPr>
    </w:lvl>
    <w:lvl w:ilvl="5">
      <w:start w:val="0"/>
      <w:numFmt w:val="bullet"/>
      <w:lvlText w:val="•"/>
      <w:lvlJc w:val="left"/>
      <w:pPr>
        <w:ind w:left="3106" w:hanging="216"/>
      </w:pPr>
      <w:rPr>
        <w:rFonts w:hint="default"/>
        <w:lang w:val="en-us" w:eastAsia="en-us" w:bidi="en-us"/>
      </w:rPr>
    </w:lvl>
    <w:lvl w:ilvl="6">
      <w:start w:val="0"/>
      <w:numFmt w:val="bullet"/>
      <w:lvlText w:val="•"/>
      <w:lvlJc w:val="left"/>
      <w:pPr>
        <w:ind w:left="3600" w:hanging="216"/>
      </w:pPr>
      <w:rPr>
        <w:rFonts w:hint="default"/>
        <w:lang w:val="en-us" w:eastAsia="en-us" w:bidi="en-us"/>
      </w:rPr>
    </w:lvl>
    <w:lvl w:ilvl="7">
      <w:start w:val="0"/>
      <w:numFmt w:val="bullet"/>
      <w:lvlText w:val="•"/>
      <w:lvlJc w:val="left"/>
      <w:pPr>
        <w:ind w:left="4093" w:hanging="216"/>
      </w:pPr>
      <w:rPr>
        <w:rFonts w:hint="default"/>
        <w:lang w:val="en-us" w:eastAsia="en-us" w:bidi="en-us"/>
      </w:rPr>
    </w:lvl>
    <w:lvl w:ilvl="8">
      <w:start w:val="0"/>
      <w:numFmt w:val="bullet"/>
      <w:lvlText w:val="•"/>
      <w:lvlJc w:val="left"/>
      <w:pPr>
        <w:ind w:left="4586" w:hanging="216"/>
      </w:pPr>
      <w:rPr>
        <w:rFonts w:hint="default"/>
        <w:lang w:val="en-us" w:eastAsia="en-us" w:bidi="en-us"/>
      </w:rPr>
    </w:lvl>
  </w:abstractNum>
  <w:abstractNum w:abstractNumId="18">
    <w:multiLevelType w:val="hybridMultilevel"/>
    <w:lvl w:ilvl="0">
      <w:start w:val="1"/>
      <w:numFmt w:val="decimal"/>
      <w:lvlText w:val="%1."/>
      <w:lvlJc w:val="left"/>
      <w:pPr>
        <w:ind w:left="420" w:hanging="221"/>
        <w:jc w:val="left"/>
      </w:pPr>
      <w:rPr>
        <w:rFonts w:hint="default" w:ascii="Times New Roman" w:hAnsi="Times New Roman" w:eastAsia="Times New Roman" w:cs="Times New Roman"/>
        <w:b/>
        <w:bCs/>
        <w:w w:val="100"/>
        <w:sz w:val="22"/>
        <w:szCs w:val="22"/>
        <w:lang w:val="en-us" w:eastAsia="en-us" w:bidi="en-us"/>
      </w:rPr>
    </w:lvl>
    <w:lvl w:ilvl="1">
      <w:start w:val="0"/>
      <w:numFmt w:val="bullet"/>
      <w:lvlText w:val="•"/>
      <w:lvlJc w:val="left"/>
      <w:pPr>
        <w:ind w:left="631" w:hanging="216"/>
      </w:pPr>
      <w:rPr>
        <w:rFonts w:hint="default" w:ascii="Times New Roman" w:hAnsi="Times New Roman" w:eastAsia="Times New Roman" w:cs="Times New Roman"/>
        <w:w w:val="100"/>
        <w:sz w:val="20"/>
        <w:szCs w:val="20"/>
        <w:lang w:val="en-us" w:eastAsia="en-us" w:bidi="en-us"/>
      </w:rPr>
    </w:lvl>
    <w:lvl w:ilvl="2">
      <w:start w:val="0"/>
      <w:numFmt w:val="bullet"/>
      <w:lvlText w:val="•"/>
      <w:lvlJc w:val="left"/>
      <w:pPr>
        <w:ind w:left="512" w:hanging="216"/>
      </w:pPr>
      <w:rPr>
        <w:rFonts w:hint="default"/>
        <w:lang w:val="en-us" w:eastAsia="en-us" w:bidi="en-us"/>
      </w:rPr>
    </w:lvl>
    <w:lvl w:ilvl="3">
      <w:start w:val="0"/>
      <w:numFmt w:val="bullet"/>
      <w:lvlText w:val="•"/>
      <w:lvlJc w:val="left"/>
      <w:pPr>
        <w:ind w:left="385" w:hanging="216"/>
      </w:pPr>
      <w:rPr>
        <w:rFonts w:hint="default"/>
        <w:lang w:val="en-us" w:eastAsia="en-us" w:bidi="en-us"/>
      </w:rPr>
    </w:lvl>
    <w:lvl w:ilvl="4">
      <w:start w:val="0"/>
      <w:numFmt w:val="bullet"/>
      <w:lvlText w:val="•"/>
      <w:lvlJc w:val="left"/>
      <w:pPr>
        <w:ind w:left="258" w:hanging="216"/>
      </w:pPr>
      <w:rPr>
        <w:rFonts w:hint="default"/>
        <w:lang w:val="en-us" w:eastAsia="en-us" w:bidi="en-us"/>
      </w:rPr>
    </w:lvl>
    <w:lvl w:ilvl="5">
      <w:start w:val="0"/>
      <w:numFmt w:val="bullet"/>
      <w:lvlText w:val="•"/>
      <w:lvlJc w:val="left"/>
      <w:pPr>
        <w:ind w:left="131" w:hanging="216"/>
      </w:pPr>
      <w:rPr>
        <w:rFonts w:hint="default"/>
        <w:lang w:val="en-us" w:eastAsia="en-us" w:bidi="en-us"/>
      </w:rPr>
    </w:lvl>
    <w:lvl w:ilvl="6">
      <w:start w:val="0"/>
      <w:numFmt w:val="bullet"/>
      <w:lvlText w:val="•"/>
      <w:lvlJc w:val="left"/>
      <w:pPr>
        <w:ind w:left="3" w:hanging="216"/>
      </w:pPr>
      <w:rPr>
        <w:rFonts w:hint="default"/>
        <w:lang w:val="en-us" w:eastAsia="en-us" w:bidi="en-us"/>
      </w:rPr>
    </w:lvl>
    <w:lvl w:ilvl="7">
      <w:start w:val="0"/>
      <w:numFmt w:val="bullet"/>
      <w:lvlText w:val="•"/>
      <w:lvlJc w:val="left"/>
      <w:pPr>
        <w:ind w:left="-124" w:hanging="216"/>
      </w:pPr>
      <w:rPr>
        <w:rFonts w:hint="default"/>
        <w:lang w:val="en-us" w:eastAsia="en-us" w:bidi="en-us"/>
      </w:rPr>
    </w:lvl>
    <w:lvl w:ilvl="8">
      <w:start w:val="0"/>
      <w:numFmt w:val="bullet"/>
      <w:lvlText w:val="•"/>
      <w:lvlJc w:val="left"/>
      <w:pPr>
        <w:ind w:left="-251" w:hanging="216"/>
      </w:pPr>
      <w:rPr>
        <w:rFonts w:hint="default"/>
        <w:lang w:val="en-us" w:eastAsia="en-us" w:bidi="en-us"/>
      </w:rPr>
    </w:lvl>
  </w:abstractNum>
  <w:abstractNum w:abstractNumId="17">
    <w:multiLevelType w:val="hybridMultilevel"/>
    <w:lvl w:ilvl="0">
      <w:start w:val="0"/>
      <w:numFmt w:val="bullet"/>
      <w:lvlText w:val="•"/>
      <w:lvlJc w:val="left"/>
      <w:pPr>
        <w:ind w:left="631" w:hanging="216"/>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1076" w:hanging="216"/>
      </w:pPr>
      <w:rPr>
        <w:rFonts w:hint="default"/>
        <w:lang w:val="en-us" w:eastAsia="en-us" w:bidi="en-us"/>
      </w:rPr>
    </w:lvl>
    <w:lvl w:ilvl="2">
      <w:start w:val="0"/>
      <w:numFmt w:val="bullet"/>
      <w:lvlText w:val="•"/>
      <w:lvlJc w:val="left"/>
      <w:pPr>
        <w:ind w:left="1512" w:hanging="216"/>
      </w:pPr>
      <w:rPr>
        <w:rFonts w:hint="default"/>
        <w:lang w:val="en-us" w:eastAsia="en-us" w:bidi="en-us"/>
      </w:rPr>
    </w:lvl>
    <w:lvl w:ilvl="3">
      <w:start w:val="0"/>
      <w:numFmt w:val="bullet"/>
      <w:lvlText w:val="•"/>
      <w:lvlJc w:val="left"/>
      <w:pPr>
        <w:ind w:left="1948" w:hanging="216"/>
      </w:pPr>
      <w:rPr>
        <w:rFonts w:hint="default"/>
        <w:lang w:val="en-us" w:eastAsia="en-us" w:bidi="en-us"/>
      </w:rPr>
    </w:lvl>
    <w:lvl w:ilvl="4">
      <w:start w:val="0"/>
      <w:numFmt w:val="bullet"/>
      <w:lvlText w:val="•"/>
      <w:lvlJc w:val="left"/>
      <w:pPr>
        <w:ind w:left="2384" w:hanging="216"/>
      </w:pPr>
      <w:rPr>
        <w:rFonts w:hint="default"/>
        <w:lang w:val="en-us" w:eastAsia="en-us" w:bidi="en-us"/>
      </w:rPr>
    </w:lvl>
    <w:lvl w:ilvl="5">
      <w:start w:val="0"/>
      <w:numFmt w:val="bullet"/>
      <w:lvlText w:val="•"/>
      <w:lvlJc w:val="left"/>
      <w:pPr>
        <w:ind w:left="2820" w:hanging="216"/>
      </w:pPr>
      <w:rPr>
        <w:rFonts w:hint="default"/>
        <w:lang w:val="en-us" w:eastAsia="en-us" w:bidi="en-us"/>
      </w:rPr>
    </w:lvl>
    <w:lvl w:ilvl="6">
      <w:start w:val="0"/>
      <w:numFmt w:val="bullet"/>
      <w:lvlText w:val="•"/>
      <w:lvlJc w:val="left"/>
      <w:pPr>
        <w:ind w:left="3257" w:hanging="216"/>
      </w:pPr>
      <w:rPr>
        <w:rFonts w:hint="default"/>
        <w:lang w:val="en-us" w:eastAsia="en-us" w:bidi="en-us"/>
      </w:rPr>
    </w:lvl>
    <w:lvl w:ilvl="7">
      <w:start w:val="0"/>
      <w:numFmt w:val="bullet"/>
      <w:lvlText w:val="•"/>
      <w:lvlJc w:val="left"/>
      <w:pPr>
        <w:ind w:left="3693" w:hanging="216"/>
      </w:pPr>
      <w:rPr>
        <w:rFonts w:hint="default"/>
        <w:lang w:val="en-us" w:eastAsia="en-us" w:bidi="en-us"/>
      </w:rPr>
    </w:lvl>
    <w:lvl w:ilvl="8">
      <w:start w:val="0"/>
      <w:numFmt w:val="bullet"/>
      <w:lvlText w:val="•"/>
      <w:lvlJc w:val="left"/>
      <w:pPr>
        <w:ind w:left="4129" w:hanging="216"/>
      </w:pPr>
      <w:rPr>
        <w:rFonts w:hint="default"/>
        <w:lang w:val="en-us" w:eastAsia="en-us" w:bidi="en-us"/>
      </w:rPr>
    </w:lvl>
  </w:abstractNum>
  <w:abstractNum w:abstractNumId="16">
    <w:multiLevelType w:val="hybridMultilevel"/>
    <w:lvl w:ilvl="0">
      <w:start w:val="0"/>
      <w:numFmt w:val="bullet"/>
      <w:lvlText w:val="•"/>
      <w:lvlJc w:val="left"/>
      <w:pPr>
        <w:ind w:left="847" w:hanging="216"/>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1334" w:hanging="216"/>
      </w:pPr>
      <w:rPr>
        <w:rFonts w:hint="default"/>
        <w:lang w:val="en-us" w:eastAsia="en-us" w:bidi="en-us"/>
      </w:rPr>
    </w:lvl>
    <w:lvl w:ilvl="2">
      <w:start w:val="0"/>
      <w:numFmt w:val="bullet"/>
      <w:lvlText w:val="•"/>
      <w:lvlJc w:val="left"/>
      <w:pPr>
        <w:ind w:left="1829" w:hanging="216"/>
      </w:pPr>
      <w:rPr>
        <w:rFonts w:hint="default"/>
        <w:lang w:val="en-us" w:eastAsia="en-us" w:bidi="en-us"/>
      </w:rPr>
    </w:lvl>
    <w:lvl w:ilvl="3">
      <w:start w:val="0"/>
      <w:numFmt w:val="bullet"/>
      <w:lvlText w:val="•"/>
      <w:lvlJc w:val="left"/>
      <w:pPr>
        <w:ind w:left="2324" w:hanging="216"/>
      </w:pPr>
      <w:rPr>
        <w:rFonts w:hint="default"/>
        <w:lang w:val="en-us" w:eastAsia="en-us" w:bidi="en-us"/>
      </w:rPr>
    </w:lvl>
    <w:lvl w:ilvl="4">
      <w:start w:val="0"/>
      <w:numFmt w:val="bullet"/>
      <w:lvlText w:val="•"/>
      <w:lvlJc w:val="left"/>
      <w:pPr>
        <w:ind w:left="2819" w:hanging="216"/>
      </w:pPr>
      <w:rPr>
        <w:rFonts w:hint="default"/>
        <w:lang w:val="en-us" w:eastAsia="en-us" w:bidi="en-us"/>
      </w:rPr>
    </w:lvl>
    <w:lvl w:ilvl="5">
      <w:start w:val="0"/>
      <w:numFmt w:val="bullet"/>
      <w:lvlText w:val="•"/>
      <w:lvlJc w:val="left"/>
      <w:pPr>
        <w:ind w:left="3314" w:hanging="216"/>
      </w:pPr>
      <w:rPr>
        <w:rFonts w:hint="default"/>
        <w:lang w:val="en-us" w:eastAsia="en-us" w:bidi="en-us"/>
      </w:rPr>
    </w:lvl>
    <w:lvl w:ilvl="6">
      <w:start w:val="0"/>
      <w:numFmt w:val="bullet"/>
      <w:lvlText w:val="•"/>
      <w:lvlJc w:val="left"/>
      <w:pPr>
        <w:ind w:left="3809" w:hanging="216"/>
      </w:pPr>
      <w:rPr>
        <w:rFonts w:hint="default"/>
        <w:lang w:val="en-us" w:eastAsia="en-us" w:bidi="en-us"/>
      </w:rPr>
    </w:lvl>
    <w:lvl w:ilvl="7">
      <w:start w:val="0"/>
      <w:numFmt w:val="bullet"/>
      <w:lvlText w:val="•"/>
      <w:lvlJc w:val="left"/>
      <w:pPr>
        <w:ind w:left="4304" w:hanging="216"/>
      </w:pPr>
      <w:rPr>
        <w:rFonts w:hint="default"/>
        <w:lang w:val="en-us" w:eastAsia="en-us" w:bidi="en-us"/>
      </w:rPr>
    </w:lvl>
    <w:lvl w:ilvl="8">
      <w:start w:val="0"/>
      <w:numFmt w:val="bullet"/>
      <w:lvlText w:val="•"/>
      <w:lvlJc w:val="left"/>
      <w:pPr>
        <w:ind w:left="4799" w:hanging="216"/>
      </w:pPr>
      <w:rPr>
        <w:rFonts w:hint="default"/>
        <w:lang w:val="en-us" w:eastAsia="en-us" w:bidi="en-us"/>
      </w:rPr>
    </w:lvl>
  </w:abstractNum>
  <w:abstractNum w:abstractNumId="15">
    <w:multiLevelType w:val="hybridMultilevel"/>
    <w:lvl w:ilvl="0">
      <w:start w:val="0"/>
      <w:numFmt w:val="bullet"/>
      <w:lvlText w:val="●"/>
      <w:lvlJc w:val="left"/>
      <w:pPr>
        <w:ind w:left="377" w:hanging="178"/>
      </w:pPr>
      <w:rPr>
        <w:rFonts w:hint="default" w:ascii="Times New Roman" w:hAnsi="Times New Roman" w:eastAsia="Times New Roman" w:cs="Times New Roman"/>
        <w:color w:val="303030"/>
        <w:w w:val="100"/>
        <w:sz w:val="20"/>
        <w:szCs w:val="20"/>
        <w:lang w:val="en-us" w:eastAsia="en-us" w:bidi="en-us"/>
      </w:rPr>
    </w:lvl>
    <w:lvl w:ilvl="1">
      <w:start w:val="0"/>
      <w:numFmt w:val="bullet"/>
      <w:lvlText w:val="•"/>
      <w:lvlJc w:val="left"/>
      <w:pPr>
        <w:ind w:left="899" w:hanging="178"/>
      </w:pPr>
      <w:rPr>
        <w:rFonts w:hint="default"/>
        <w:lang w:val="en-us" w:eastAsia="en-us" w:bidi="en-us"/>
      </w:rPr>
    </w:lvl>
    <w:lvl w:ilvl="2">
      <w:start w:val="0"/>
      <w:numFmt w:val="bullet"/>
      <w:lvlText w:val="•"/>
      <w:lvlJc w:val="left"/>
      <w:pPr>
        <w:ind w:left="1418" w:hanging="178"/>
      </w:pPr>
      <w:rPr>
        <w:rFonts w:hint="default"/>
        <w:lang w:val="en-us" w:eastAsia="en-us" w:bidi="en-us"/>
      </w:rPr>
    </w:lvl>
    <w:lvl w:ilvl="3">
      <w:start w:val="0"/>
      <w:numFmt w:val="bullet"/>
      <w:lvlText w:val="•"/>
      <w:lvlJc w:val="left"/>
      <w:pPr>
        <w:ind w:left="1938" w:hanging="178"/>
      </w:pPr>
      <w:rPr>
        <w:rFonts w:hint="default"/>
        <w:lang w:val="en-us" w:eastAsia="en-us" w:bidi="en-us"/>
      </w:rPr>
    </w:lvl>
    <w:lvl w:ilvl="4">
      <w:start w:val="0"/>
      <w:numFmt w:val="bullet"/>
      <w:lvlText w:val="•"/>
      <w:lvlJc w:val="left"/>
      <w:pPr>
        <w:ind w:left="2457" w:hanging="178"/>
      </w:pPr>
      <w:rPr>
        <w:rFonts w:hint="default"/>
        <w:lang w:val="en-us" w:eastAsia="en-us" w:bidi="en-us"/>
      </w:rPr>
    </w:lvl>
    <w:lvl w:ilvl="5">
      <w:start w:val="0"/>
      <w:numFmt w:val="bullet"/>
      <w:lvlText w:val="•"/>
      <w:lvlJc w:val="left"/>
      <w:pPr>
        <w:ind w:left="2976" w:hanging="178"/>
      </w:pPr>
      <w:rPr>
        <w:rFonts w:hint="default"/>
        <w:lang w:val="en-us" w:eastAsia="en-us" w:bidi="en-us"/>
      </w:rPr>
    </w:lvl>
    <w:lvl w:ilvl="6">
      <w:start w:val="0"/>
      <w:numFmt w:val="bullet"/>
      <w:lvlText w:val="•"/>
      <w:lvlJc w:val="left"/>
      <w:pPr>
        <w:ind w:left="3496" w:hanging="178"/>
      </w:pPr>
      <w:rPr>
        <w:rFonts w:hint="default"/>
        <w:lang w:val="en-us" w:eastAsia="en-us" w:bidi="en-us"/>
      </w:rPr>
    </w:lvl>
    <w:lvl w:ilvl="7">
      <w:start w:val="0"/>
      <w:numFmt w:val="bullet"/>
      <w:lvlText w:val="•"/>
      <w:lvlJc w:val="left"/>
      <w:pPr>
        <w:ind w:left="4015" w:hanging="178"/>
      </w:pPr>
      <w:rPr>
        <w:rFonts w:hint="default"/>
        <w:lang w:val="en-us" w:eastAsia="en-us" w:bidi="en-us"/>
      </w:rPr>
    </w:lvl>
    <w:lvl w:ilvl="8">
      <w:start w:val="0"/>
      <w:numFmt w:val="bullet"/>
      <w:lvlText w:val="•"/>
      <w:lvlJc w:val="left"/>
      <w:pPr>
        <w:ind w:left="4534" w:hanging="178"/>
      </w:pPr>
      <w:rPr>
        <w:rFonts w:hint="default"/>
        <w:lang w:val="en-us" w:eastAsia="en-us" w:bidi="en-us"/>
      </w:rPr>
    </w:lvl>
  </w:abstractNum>
  <w:abstractNum w:abstractNumId="14">
    <w:multiLevelType w:val="hybridMultilevel"/>
    <w:lvl w:ilvl="0">
      <w:start w:val="3"/>
      <w:numFmt w:val="decimal"/>
      <w:lvlText w:val="(%1)"/>
      <w:lvlJc w:val="left"/>
      <w:pPr>
        <w:ind w:left="200" w:hanging="289"/>
        <w:jc w:val="left"/>
      </w:pPr>
      <w:rPr>
        <w:rFonts w:hint="default" w:ascii="Times New Roman" w:hAnsi="Times New Roman" w:eastAsia="Times New Roman" w:cs="Times New Roman"/>
        <w:w w:val="100"/>
        <w:sz w:val="20"/>
        <w:szCs w:val="20"/>
        <w:lang w:val="en-us" w:eastAsia="en-us" w:bidi="en-us"/>
      </w:rPr>
    </w:lvl>
    <w:lvl w:ilvl="1">
      <w:start w:val="1"/>
      <w:numFmt w:val="decimal"/>
      <w:lvlText w:val="%2."/>
      <w:lvlJc w:val="left"/>
      <w:pPr>
        <w:ind w:left="632" w:hanging="216"/>
        <w:jc w:val="left"/>
      </w:pPr>
      <w:rPr>
        <w:rFonts w:hint="default" w:ascii="Times New Roman" w:hAnsi="Times New Roman" w:eastAsia="Times New Roman" w:cs="Times New Roman"/>
        <w:w w:val="100"/>
        <w:sz w:val="20"/>
        <w:szCs w:val="20"/>
        <w:lang w:val="en-us" w:eastAsia="en-us" w:bidi="en-us"/>
      </w:rPr>
    </w:lvl>
    <w:lvl w:ilvl="2">
      <w:start w:val="1"/>
      <w:numFmt w:val="decimal"/>
      <w:lvlText w:val="%3."/>
      <w:lvlJc w:val="left"/>
      <w:pPr>
        <w:ind w:left="847" w:hanging="216"/>
        <w:jc w:val="left"/>
      </w:pPr>
      <w:rPr>
        <w:rFonts w:hint="default" w:ascii="Times New Roman" w:hAnsi="Times New Roman" w:eastAsia="Times New Roman" w:cs="Times New Roman"/>
        <w:w w:val="100"/>
        <w:sz w:val="20"/>
        <w:szCs w:val="20"/>
        <w:lang w:val="en-us" w:eastAsia="en-us" w:bidi="en-us"/>
      </w:rPr>
    </w:lvl>
    <w:lvl w:ilvl="3">
      <w:start w:val="0"/>
      <w:numFmt w:val="bullet"/>
      <w:lvlText w:val="•"/>
      <w:lvlJc w:val="left"/>
      <w:pPr>
        <w:ind w:left="1431" w:hanging="216"/>
      </w:pPr>
      <w:rPr>
        <w:rFonts w:hint="default"/>
        <w:lang w:val="en-us" w:eastAsia="en-us" w:bidi="en-us"/>
      </w:rPr>
    </w:lvl>
    <w:lvl w:ilvl="4">
      <w:start w:val="0"/>
      <w:numFmt w:val="bullet"/>
      <w:lvlText w:val="•"/>
      <w:lvlJc w:val="left"/>
      <w:pPr>
        <w:ind w:left="2023" w:hanging="216"/>
      </w:pPr>
      <w:rPr>
        <w:rFonts w:hint="default"/>
        <w:lang w:val="en-us" w:eastAsia="en-us" w:bidi="en-us"/>
      </w:rPr>
    </w:lvl>
    <w:lvl w:ilvl="5">
      <w:start w:val="0"/>
      <w:numFmt w:val="bullet"/>
      <w:lvlText w:val="•"/>
      <w:lvlJc w:val="left"/>
      <w:pPr>
        <w:ind w:left="2615" w:hanging="216"/>
      </w:pPr>
      <w:rPr>
        <w:rFonts w:hint="default"/>
        <w:lang w:val="en-us" w:eastAsia="en-us" w:bidi="en-us"/>
      </w:rPr>
    </w:lvl>
    <w:lvl w:ilvl="6">
      <w:start w:val="0"/>
      <w:numFmt w:val="bullet"/>
      <w:lvlText w:val="•"/>
      <w:lvlJc w:val="left"/>
      <w:pPr>
        <w:ind w:left="3206" w:hanging="216"/>
      </w:pPr>
      <w:rPr>
        <w:rFonts w:hint="default"/>
        <w:lang w:val="en-us" w:eastAsia="en-us" w:bidi="en-us"/>
      </w:rPr>
    </w:lvl>
    <w:lvl w:ilvl="7">
      <w:start w:val="0"/>
      <w:numFmt w:val="bullet"/>
      <w:lvlText w:val="•"/>
      <w:lvlJc w:val="left"/>
      <w:pPr>
        <w:ind w:left="3798" w:hanging="216"/>
      </w:pPr>
      <w:rPr>
        <w:rFonts w:hint="default"/>
        <w:lang w:val="en-us" w:eastAsia="en-us" w:bidi="en-us"/>
      </w:rPr>
    </w:lvl>
    <w:lvl w:ilvl="8">
      <w:start w:val="0"/>
      <w:numFmt w:val="bullet"/>
      <w:lvlText w:val="•"/>
      <w:lvlJc w:val="left"/>
      <w:pPr>
        <w:ind w:left="4390" w:hanging="216"/>
      </w:pPr>
      <w:rPr>
        <w:rFonts w:hint="default"/>
        <w:lang w:val="en-us" w:eastAsia="en-us" w:bidi="en-us"/>
      </w:rPr>
    </w:lvl>
  </w:abstractNum>
  <w:abstractNum w:abstractNumId="13">
    <w:multiLevelType w:val="hybridMultilevel"/>
    <w:lvl w:ilvl="0">
      <w:start w:val="0"/>
      <w:numFmt w:val="bullet"/>
      <w:lvlText w:val="*"/>
      <w:lvlJc w:val="left"/>
      <w:pPr>
        <w:ind w:left="200" w:hanging="154"/>
      </w:pPr>
      <w:rPr>
        <w:rFonts w:hint="default" w:ascii="Times New Roman" w:hAnsi="Times New Roman" w:eastAsia="Times New Roman" w:cs="Times New Roman"/>
        <w:i/>
        <w:w w:val="100"/>
        <w:sz w:val="20"/>
        <w:szCs w:val="20"/>
        <w:lang w:val="en-us" w:eastAsia="en-us" w:bidi="en-us"/>
      </w:rPr>
    </w:lvl>
    <w:lvl w:ilvl="1">
      <w:start w:val="0"/>
      <w:numFmt w:val="bullet"/>
      <w:lvlText w:val="•"/>
      <w:lvlJc w:val="left"/>
      <w:pPr>
        <w:ind w:left="632" w:hanging="216"/>
      </w:pPr>
      <w:rPr>
        <w:rFonts w:hint="default" w:ascii="Times New Roman" w:hAnsi="Times New Roman" w:eastAsia="Times New Roman" w:cs="Times New Roman"/>
        <w:w w:val="100"/>
        <w:sz w:val="20"/>
        <w:szCs w:val="20"/>
        <w:lang w:val="en-us" w:eastAsia="en-us" w:bidi="en-us"/>
      </w:rPr>
    </w:lvl>
    <w:lvl w:ilvl="2">
      <w:start w:val="0"/>
      <w:numFmt w:val="bullet"/>
      <w:lvlText w:val="•"/>
      <w:lvlJc w:val="left"/>
      <w:pPr>
        <w:ind w:left="1188" w:hanging="216"/>
      </w:pPr>
      <w:rPr>
        <w:rFonts w:hint="default"/>
        <w:lang w:val="en-us" w:eastAsia="en-us" w:bidi="en-us"/>
      </w:rPr>
    </w:lvl>
    <w:lvl w:ilvl="3">
      <w:start w:val="0"/>
      <w:numFmt w:val="bullet"/>
      <w:lvlText w:val="•"/>
      <w:lvlJc w:val="left"/>
      <w:pPr>
        <w:ind w:left="1736" w:hanging="216"/>
      </w:pPr>
      <w:rPr>
        <w:rFonts w:hint="default"/>
        <w:lang w:val="en-us" w:eastAsia="en-us" w:bidi="en-us"/>
      </w:rPr>
    </w:lvl>
    <w:lvl w:ilvl="4">
      <w:start w:val="0"/>
      <w:numFmt w:val="bullet"/>
      <w:lvlText w:val="•"/>
      <w:lvlJc w:val="left"/>
      <w:pPr>
        <w:ind w:left="2284" w:hanging="216"/>
      </w:pPr>
      <w:rPr>
        <w:rFonts w:hint="default"/>
        <w:lang w:val="en-us" w:eastAsia="en-us" w:bidi="en-us"/>
      </w:rPr>
    </w:lvl>
    <w:lvl w:ilvl="5">
      <w:start w:val="0"/>
      <w:numFmt w:val="bullet"/>
      <w:lvlText w:val="•"/>
      <w:lvlJc w:val="left"/>
      <w:pPr>
        <w:ind w:left="2832" w:hanging="216"/>
      </w:pPr>
      <w:rPr>
        <w:rFonts w:hint="default"/>
        <w:lang w:val="en-us" w:eastAsia="en-us" w:bidi="en-us"/>
      </w:rPr>
    </w:lvl>
    <w:lvl w:ilvl="6">
      <w:start w:val="0"/>
      <w:numFmt w:val="bullet"/>
      <w:lvlText w:val="•"/>
      <w:lvlJc w:val="left"/>
      <w:pPr>
        <w:ind w:left="3380" w:hanging="216"/>
      </w:pPr>
      <w:rPr>
        <w:rFonts w:hint="default"/>
        <w:lang w:val="en-us" w:eastAsia="en-us" w:bidi="en-us"/>
      </w:rPr>
    </w:lvl>
    <w:lvl w:ilvl="7">
      <w:start w:val="0"/>
      <w:numFmt w:val="bullet"/>
      <w:lvlText w:val="•"/>
      <w:lvlJc w:val="left"/>
      <w:pPr>
        <w:ind w:left="3929" w:hanging="216"/>
      </w:pPr>
      <w:rPr>
        <w:rFonts w:hint="default"/>
        <w:lang w:val="en-us" w:eastAsia="en-us" w:bidi="en-us"/>
      </w:rPr>
    </w:lvl>
    <w:lvl w:ilvl="8">
      <w:start w:val="0"/>
      <w:numFmt w:val="bullet"/>
      <w:lvlText w:val="•"/>
      <w:lvlJc w:val="left"/>
      <w:pPr>
        <w:ind w:left="4477" w:hanging="216"/>
      </w:pPr>
      <w:rPr>
        <w:rFonts w:hint="default"/>
        <w:lang w:val="en-us" w:eastAsia="en-us" w:bidi="en-us"/>
      </w:rPr>
    </w:lvl>
  </w:abstractNum>
  <w:abstractNum w:abstractNumId="12">
    <w:multiLevelType w:val="hybridMultilevel"/>
    <w:lvl w:ilvl="0">
      <w:start w:val="0"/>
      <w:numFmt w:val="bullet"/>
      <w:lvlText w:val="·"/>
      <w:lvlJc w:val="left"/>
      <w:pPr>
        <w:ind w:left="200" w:hanging="519"/>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632" w:hanging="216"/>
      </w:pPr>
      <w:rPr>
        <w:rFonts w:hint="default" w:ascii="Times New Roman" w:hAnsi="Times New Roman" w:eastAsia="Times New Roman" w:cs="Times New Roman"/>
        <w:w w:val="100"/>
        <w:sz w:val="20"/>
        <w:szCs w:val="20"/>
        <w:lang w:val="en-us" w:eastAsia="en-us" w:bidi="en-us"/>
      </w:rPr>
    </w:lvl>
    <w:lvl w:ilvl="2">
      <w:start w:val="0"/>
      <w:numFmt w:val="bullet"/>
      <w:lvlText w:val="•"/>
      <w:lvlJc w:val="left"/>
      <w:pPr>
        <w:ind w:left="514" w:hanging="216"/>
      </w:pPr>
      <w:rPr>
        <w:rFonts w:hint="default"/>
        <w:lang w:val="en-us" w:eastAsia="en-us" w:bidi="en-us"/>
      </w:rPr>
    </w:lvl>
    <w:lvl w:ilvl="3">
      <w:start w:val="0"/>
      <w:numFmt w:val="bullet"/>
      <w:lvlText w:val="•"/>
      <w:lvlJc w:val="left"/>
      <w:pPr>
        <w:ind w:left="389" w:hanging="216"/>
      </w:pPr>
      <w:rPr>
        <w:rFonts w:hint="default"/>
        <w:lang w:val="en-us" w:eastAsia="en-us" w:bidi="en-us"/>
      </w:rPr>
    </w:lvl>
    <w:lvl w:ilvl="4">
      <w:start w:val="0"/>
      <w:numFmt w:val="bullet"/>
      <w:lvlText w:val="•"/>
      <w:lvlJc w:val="left"/>
      <w:pPr>
        <w:ind w:left="263" w:hanging="216"/>
      </w:pPr>
      <w:rPr>
        <w:rFonts w:hint="default"/>
        <w:lang w:val="en-us" w:eastAsia="en-us" w:bidi="en-us"/>
      </w:rPr>
    </w:lvl>
    <w:lvl w:ilvl="5">
      <w:start w:val="0"/>
      <w:numFmt w:val="bullet"/>
      <w:lvlText w:val="•"/>
      <w:lvlJc w:val="left"/>
      <w:pPr>
        <w:ind w:left="138" w:hanging="216"/>
      </w:pPr>
      <w:rPr>
        <w:rFonts w:hint="default"/>
        <w:lang w:val="en-us" w:eastAsia="en-us" w:bidi="en-us"/>
      </w:rPr>
    </w:lvl>
    <w:lvl w:ilvl="6">
      <w:start w:val="0"/>
      <w:numFmt w:val="bullet"/>
      <w:lvlText w:val="•"/>
      <w:lvlJc w:val="left"/>
      <w:pPr>
        <w:ind w:left="12" w:hanging="216"/>
      </w:pPr>
      <w:rPr>
        <w:rFonts w:hint="default"/>
        <w:lang w:val="en-us" w:eastAsia="en-us" w:bidi="en-us"/>
      </w:rPr>
    </w:lvl>
    <w:lvl w:ilvl="7">
      <w:start w:val="0"/>
      <w:numFmt w:val="bullet"/>
      <w:lvlText w:val="•"/>
      <w:lvlJc w:val="left"/>
      <w:pPr>
        <w:ind w:left="-113" w:hanging="216"/>
      </w:pPr>
      <w:rPr>
        <w:rFonts w:hint="default"/>
        <w:lang w:val="en-us" w:eastAsia="en-us" w:bidi="en-us"/>
      </w:rPr>
    </w:lvl>
    <w:lvl w:ilvl="8">
      <w:start w:val="0"/>
      <w:numFmt w:val="bullet"/>
      <w:lvlText w:val="•"/>
      <w:lvlJc w:val="left"/>
      <w:pPr>
        <w:ind w:left="-239" w:hanging="216"/>
      </w:pPr>
      <w:rPr>
        <w:rFonts w:hint="default"/>
        <w:lang w:val="en-us" w:eastAsia="en-us" w:bidi="en-us"/>
      </w:rPr>
    </w:lvl>
  </w:abstractNum>
  <w:abstractNum w:abstractNumId="11">
    <w:multiLevelType w:val="hybridMultilevel"/>
    <w:lvl w:ilvl="0">
      <w:start w:val="0"/>
      <w:numFmt w:val="bullet"/>
      <w:lvlText w:val="•"/>
      <w:lvlJc w:val="left"/>
      <w:pPr>
        <w:ind w:left="924" w:hanging="725"/>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1934" w:hanging="725"/>
      </w:pPr>
      <w:rPr>
        <w:rFonts w:hint="default"/>
        <w:lang w:val="en-us" w:eastAsia="en-us" w:bidi="en-us"/>
      </w:rPr>
    </w:lvl>
    <w:lvl w:ilvl="2">
      <w:start w:val="0"/>
      <w:numFmt w:val="bullet"/>
      <w:lvlText w:val="•"/>
      <w:lvlJc w:val="left"/>
      <w:pPr>
        <w:ind w:left="2948" w:hanging="725"/>
      </w:pPr>
      <w:rPr>
        <w:rFonts w:hint="default"/>
        <w:lang w:val="en-us" w:eastAsia="en-us" w:bidi="en-us"/>
      </w:rPr>
    </w:lvl>
    <w:lvl w:ilvl="3">
      <w:start w:val="0"/>
      <w:numFmt w:val="bullet"/>
      <w:lvlText w:val="•"/>
      <w:lvlJc w:val="left"/>
      <w:pPr>
        <w:ind w:left="3962" w:hanging="725"/>
      </w:pPr>
      <w:rPr>
        <w:rFonts w:hint="default"/>
        <w:lang w:val="en-us" w:eastAsia="en-us" w:bidi="en-us"/>
      </w:rPr>
    </w:lvl>
    <w:lvl w:ilvl="4">
      <w:start w:val="0"/>
      <w:numFmt w:val="bullet"/>
      <w:lvlText w:val="•"/>
      <w:lvlJc w:val="left"/>
      <w:pPr>
        <w:ind w:left="4976" w:hanging="725"/>
      </w:pPr>
      <w:rPr>
        <w:rFonts w:hint="default"/>
        <w:lang w:val="en-us" w:eastAsia="en-us" w:bidi="en-us"/>
      </w:rPr>
    </w:lvl>
    <w:lvl w:ilvl="5">
      <w:start w:val="0"/>
      <w:numFmt w:val="bullet"/>
      <w:lvlText w:val="•"/>
      <w:lvlJc w:val="left"/>
      <w:pPr>
        <w:ind w:left="5990" w:hanging="725"/>
      </w:pPr>
      <w:rPr>
        <w:rFonts w:hint="default"/>
        <w:lang w:val="en-us" w:eastAsia="en-us" w:bidi="en-us"/>
      </w:rPr>
    </w:lvl>
    <w:lvl w:ilvl="6">
      <w:start w:val="0"/>
      <w:numFmt w:val="bullet"/>
      <w:lvlText w:val="•"/>
      <w:lvlJc w:val="left"/>
      <w:pPr>
        <w:ind w:left="7004" w:hanging="725"/>
      </w:pPr>
      <w:rPr>
        <w:rFonts w:hint="default"/>
        <w:lang w:val="en-us" w:eastAsia="en-us" w:bidi="en-us"/>
      </w:rPr>
    </w:lvl>
    <w:lvl w:ilvl="7">
      <w:start w:val="0"/>
      <w:numFmt w:val="bullet"/>
      <w:lvlText w:val="•"/>
      <w:lvlJc w:val="left"/>
      <w:pPr>
        <w:ind w:left="8018" w:hanging="725"/>
      </w:pPr>
      <w:rPr>
        <w:rFonts w:hint="default"/>
        <w:lang w:val="en-us" w:eastAsia="en-us" w:bidi="en-us"/>
      </w:rPr>
    </w:lvl>
    <w:lvl w:ilvl="8">
      <w:start w:val="0"/>
      <w:numFmt w:val="bullet"/>
      <w:lvlText w:val="•"/>
      <w:lvlJc w:val="left"/>
      <w:pPr>
        <w:ind w:left="9032" w:hanging="725"/>
      </w:pPr>
      <w:rPr>
        <w:rFonts w:hint="default"/>
        <w:lang w:val="en-us" w:eastAsia="en-us" w:bidi="en-us"/>
      </w:rPr>
    </w:lvl>
  </w:abstractNum>
  <w:abstractNum w:abstractNumId="10">
    <w:multiLevelType w:val="hybridMultilevel"/>
    <w:lvl w:ilvl="0">
      <w:start w:val="1"/>
      <w:numFmt w:val="decimal"/>
      <w:lvlText w:val="%1."/>
      <w:lvlJc w:val="left"/>
      <w:pPr>
        <w:ind w:left="200" w:hanging="202"/>
        <w:jc w:val="left"/>
      </w:pPr>
      <w:rPr>
        <w:rFonts w:hint="default" w:ascii="Times New Roman" w:hAnsi="Times New Roman" w:eastAsia="Times New Roman" w:cs="Times New Roman"/>
        <w:b/>
        <w:bCs/>
        <w:w w:val="100"/>
        <w:sz w:val="20"/>
        <w:szCs w:val="20"/>
        <w:lang w:val="en-us" w:eastAsia="en-us" w:bidi="en-us"/>
      </w:rPr>
    </w:lvl>
    <w:lvl w:ilvl="1">
      <w:start w:val="0"/>
      <w:numFmt w:val="bullet"/>
      <w:lvlText w:val="•"/>
      <w:lvlJc w:val="left"/>
      <w:pPr>
        <w:ind w:left="632" w:hanging="216"/>
      </w:pPr>
      <w:rPr>
        <w:rFonts w:hint="default" w:ascii="Times New Roman" w:hAnsi="Times New Roman" w:eastAsia="Times New Roman" w:cs="Times New Roman"/>
        <w:w w:val="100"/>
        <w:sz w:val="20"/>
        <w:szCs w:val="20"/>
        <w:lang w:val="en-us" w:eastAsia="en-us" w:bidi="en-us"/>
      </w:rPr>
    </w:lvl>
    <w:lvl w:ilvl="2">
      <w:start w:val="0"/>
      <w:numFmt w:val="bullet"/>
      <w:lvlText w:val="•"/>
      <w:lvlJc w:val="left"/>
      <w:pPr>
        <w:ind w:left="640" w:hanging="216"/>
      </w:pPr>
      <w:rPr>
        <w:rFonts w:hint="default"/>
        <w:lang w:val="en-us" w:eastAsia="en-us" w:bidi="en-us"/>
      </w:rPr>
    </w:lvl>
    <w:lvl w:ilvl="3">
      <w:start w:val="0"/>
      <w:numFmt w:val="bullet"/>
      <w:lvlText w:val="•"/>
      <w:lvlJc w:val="left"/>
      <w:pPr>
        <w:ind w:left="490" w:hanging="216"/>
      </w:pPr>
      <w:rPr>
        <w:rFonts w:hint="default"/>
        <w:lang w:val="en-us" w:eastAsia="en-us" w:bidi="en-us"/>
      </w:rPr>
    </w:lvl>
    <w:lvl w:ilvl="4">
      <w:start w:val="0"/>
      <w:numFmt w:val="bullet"/>
      <w:lvlText w:val="•"/>
      <w:lvlJc w:val="left"/>
      <w:pPr>
        <w:ind w:left="341" w:hanging="216"/>
      </w:pPr>
      <w:rPr>
        <w:rFonts w:hint="default"/>
        <w:lang w:val="en-us" w:eastAsia="en-us" w:bidi="en-us"/>
      </w:rPr>
    </w:lvl>
    <w:lvl w:ilvl="5">
      <w:start w:val="0"/>
      <w:numFmt w:val="bullet"/>
      <w:lvlText w:val="•"/>
      <w:lvlJc w:val="left"/>
      <w:pPr>
        <w:ind w:left="192" w:hanging="216"/>
      </w:pPr>
      <w:rPr>
        <w:rFonts w:hint="default"/>
        <w:lang w:val="en-us" w:eastAsia="en-us" w:bidi="en-us"/>
      </w:rPr>
    </w:lvl>
    <w:lvl w:ilvl="6">
      <w:start w:val="0"/>
      <w:numFmt w:val="bullet"/>
      <w:lvlText w:val="•"/>
      <w:lvlJc w:val="left"/>
      <w:pPr>
        <w:ind w:left="43" w:hanging="216"/>
      </w:pPr>
      <w:rPr>
        <w:rFonts w:hint="default"/>
        <w:lang w:val="en-us" w:eastAsia="en-us" w:bidi="en-us"/>
      </w:rPr>
    </w:lvl>
    <w:lvl w:ilvl="7">
      <w:start w:val="0"/>
      <w:numFmt w:val="bullet"/>
      <w:lvlText w:val="•"/>
      <w:lvlJc w:val="left"/>
      <w:pPr>
        <w:ind w:left="-106" w:hanging="216"/>
      </w:pPr>
      <w:rPr>
        <w:rFonts w:hint="default"/>
        <w:lang w:val="en-us" w:eastAsia="en-us" w:bidi="en-us"/>
      </w:rPr>
    </w:lvl>
    <w:lvl w:ilvl="8">
      <w:start w:val="0"/>
      <w:numFmt w:val="bullet"/>
      <w:lvlText w:val="•"/>
      <w:lvlJc w:val="left"/>
      <w:pPr>
        <w:ind w:left="-255" w:hanging="216"/>
      </w:pPr>
      <w:rPr>
        <w:rFonts w:hint="default"/>
        <w:lang w:val="en-us" w:eastAsia="en-us" w:bidi="en-us"/>
      </w:rPr>
    </w:lvl>
  </w:abstractNum>
  <w:abstractNum w:abstractNumId="8">
    <w:multiLevelType w:val="hybridMultilevel"/>
    <w:lvl w:ilvl="0">
      <w:start w:val="1"/>
      <w:numFmt w:val="decimal"/>
      <w:lvlText w:val="%1."/>
      <w:lvlJc w:val="left"/>
      <w:pPr>
        <w:ind w:left="200" w:hanging="202"/>
        <w:jc w:val="left"/>
      </w:pPr>
      <w:rPr>
        <w:rFonts w:hint="default"/>
        <w:b/>
        <w:bCs/>
        <w:w w:val="100"/>
        <w:lang w:val="en-us" w:eastAsia="en-us" w:bidi="en-us"/>
      </w:rPr>
    </w:lvl>
    <w:lvl w:ilvl="1">
      <w:start w:val="0"/>
      <w:numFmt w:val="bullet"/>
      <w:lvlText w:val="•"/>
      <w:lvlJc w:val="left"/>
      <w:pPr>
        <w:ind w:left="737" w:hanging="202"/>
      </w:pPr>
      <w:rPr>
        <w:rFonts w:hint="default"/>
        <w:lang w:val="en-us" w:eastAsia="en-us" w:bidi="en-us"/>
      </w:rPr>
    </w:lvl>
    <w:lvl w:ilvl="2">
      <w:start w:val="0"/>
      <w:numFmt w:val="bullet"/>
      <w:lvlText w:val="•"/>
      <w:lvlJc w:val="left"/>
      <w:pPr>
        <w:ind w:left="1274" w:hanging="202"/>
      </w:pPr>
      <w:rPr>
        <w:rFonts w:hint="default"/>
        <w:lang w:val="en-us" w:eastAsia="en-us" w:bidi="en-us"/>
      </w:rPr>
    </w:lvl>
    <w:lvl w:ilvl="3">
      <w:start w:val="0"/>
      <w:numFmt w:val="bullet"/>
      <w:lvlText w:val="•"/>
      <w:lvlJc w:val="left"/>
      <w:pPr>
        <w:ind w:left="1812" w:hanging="202"/>
      </w:pPr>
      <w:rPr>
        <w:rFonts w:hint="default"/>
        <w:lang w:val="en-us" w:eastAsia="en-us" w:bidi="en-us"/>
      </w:rPr>
    </w:lvl>
    <w:lvl w:ilvl="4">
      <w:start w:val="0"/>
      <w:numFmt w:val="bullet"/>
      <w:lvlText w:val="•"/>
      <w:lvlJc w:val="left"/>
      <w:pPr>
        <w:ind w:left="2349" w:hanging="202"/>
      </w:pPr>
      <w:rPr>
        <w:rFonts w:hint="default"/>
        <w:lang w:val="en-us" w:eastAsia="en-us" w:bidi="en-us"/>
      </w:rPr>
    </w:lvl>
    <w:lvl w:ilvl="5">
      <w:start w:val="0"/>
      <w:numFmt w:val="bullet"/>
      <w:lvlText w:val="•"/>
      <w:lvlJc w:val="left"/>
      <w:pPr>
        <w:ind w:left="2886" w:hanging="202"/>
      </w:pPr>
      <w:rPr>
        <w:rFonts w:hint="default"/>
        <w:lang w:val="en-us" w:eastAsia="en-us" w:bidi="en-us"/>
      </w:rPr>
    </w:lvl>
    <w:lvl w:ilvl="6">
      <w:start w:val="0"/>
      <w:numFmt w:val="bullet"/>
      <w:lvlText w:val="•"/>
      <w:lvlJc w:val="left"/>
      <w:pPr>
        <w:ind w:left="3424" w:hanging="202"/>
      </w:pPr>
      <w:rPr>
        <w:rFonts w:hint="default"/>
        <w:lang w:val="en-us" w:eastAsia="en-us" w:bidi="en-us"/>
      </w:rPr>
    </w:lvl>
    <w:lvl w:ilvl="7">
      <w:start w:val="0"/>
      <w:numFmt w:val="bullet"/>
      <w:lvlText w:val="•"/>
      <w:lvlJc w:val="left"/>
      <w:pPr>
        <w:ind w:left="3961" w:hanging="202"/>
      </w:pPr>
      <w:rPr>
        <w:rFonts w:hint="default"/>
        <w:lang w:val="en-us" w:eastAsia="en-us" w:bidi="en-us"/>
      </w:rPr>
    </w:lvl>
    <w:lvl w:ilvl="8">
      <w:start w:val="0"/>
      <w:numFmt w:val="bullet"/>
      <w:lvlText w:val="•"/>
      <w:lvlJc w:val="left"/>
      <w:pPr>
        <w:ind w:left="4498" w:hanging="202"/>
      </w:pPr>
      <w:rPr>
        <w:rFonts w:hint="default"/>
        <w:lang w:val="en-us" w:eastAsia="en-us" w:bidi="en-us"/>
      </w:rPr>
    </w:lvl>
  </w:abstractNum>
  <w:abstractNum w:abstractNumId="7">
    <w:multiLevelType w:val="hybridMultilevel"/>
    <w:lvl w:ilvl="0">
      <w:start w:val="3"/>
      <w:numFmt w:val="decimal"/>
      <w:lvlText w:val="(%1)"/>
      <w:lvlJc w:val="left"/>
      <w:pPr>
        <w:ind w:left="487" w:hanging="288"/>
        <w:jc w:val="left"/>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630" w:hanging="216"/>
      </w:pPr>
      <w:rPr>
        <w:rFonts w:hint="default" w:ascii="Times New Roman" w:hAnsi="Times New Roman" w:eastAsia="Times New Roman" w:cs="Times New Roman"/>
        <w:w w:val="100"/>
        <w:sz w:val="20"/>
        <w:szCs w:val="20"/>
        <w:lang w:val="en-us" w:eastAsia="en-us" w:bidi="en-us"/>
      </w:rPr>
    </w:lvl>
    <w:lvl w:ilvl="2">
      <w:start w:val="0"/>
      <w:numFmt w:val="bullet"/>
      <w:lvlText w:val="•"/>
      <w:lvlJc w:val="left"/>
      <w:pPr>
        <w:ind w:left="1123" w:hanging="216"/>
      </w:pPr>
      <w:rPr>
        <w:rFonts w:hint="default"/>
        <w:lang w:val="en-us" w:eastAsia="en-us" w:bidi="en-us"/>
      </w:rPr>
    </w:lvl>
    <w:lvl w:ilvl="3">
      <w:start w:val="0"/>
      <w:numFmt w:val="bullet"/>
      <w:lvlText w:val="•"/>
      <w:lvlJc w:val="left"/>
      <w:pPr>
        <w:ind w:left="1606" w:hanging="216"/>
      </w:pPr>
      <w:rPr>
        <w:rFonts w:hint="default"/>
        <w:lang w:val="en-us" w:eastAsia="en-us" w:bidi="en-us"/>
      </w:rPr>
    </w:lvl>
    <w:lvl w:ilvl="4">
      <w:start w:val="0"/>
      <w:numFmt w:val="bullet"/>
      <w:lvlText w:val="•"/>
      <w:lvlJc w:val="left"/>
      <w:pPr>
        <w:ind w:left="2089" w:hanging="216"/>
      </w:pPr>
      <w:rPr>
        <w:rFonts w:hint="default"/>
        <w:lang w:val="en-us" w:eastAsia="en-us" w:bidi="en-us"/>
      </w:rPr>
    </w:lvl>
    <w:lvl w:ilvl="5">
      <w:start w:val="0"/>
      <w:numFmt w:val="bullet"/>
      <w:lvlText w:val="•"/>
      <w:lvlJc w:val="left"/>
      <w:pPr>
        <w:ind w:left="2572" w:hanging="216"/>
      </w:pPr>
      <w:rPr>
        <w:rFonts w:hint="default"/>
        <w:lang w:val="en-us" w:eastAsia="en-us" w:bidi="en-us"/>
      </w:rPr>
    </w:lvl>
    <w:lvl w:ilvl="6">
      <w:start w:val="0"/>
      <w:numFmt w:val="bullet"/>
      <w:lvlText w:val="•"/>
      <w:lvlJc w:val="left"/>
      <w:pPr>
        <w:ind w:left="3055" w:hanging="216"/>
      </w:pPr>
      <w:rPr>
        <w:rFonts w:hint="default"/>
        <w:lang w:val="en-us" w:eastAsia="en-us" w:bidi="en-us"/>
      </w:rPr>
    </w:lvl>
    <w:lvl w:ilvl="7">
      <w:start w:val="0"/>
      <w:numFmt w:val="bullet"/>
      <w:lvlText w:val="•"/>
      <w:lvlJc w:val="left"/>
      <w:pPr>
        <w:ind w:left="3539" w:hanging="216"/>
      </w:pPr>
      <w:rPr>
        <w:rFonts w:hint="default"/>
        <w:lang w:val="en-us" w:eastAsia="en-us" w:bidi="en-us"/>
      </w:rPr>
    </w:lvl>
    <w:lvl w:ilvl="8">
      <w:start w:val="0"/>
      <w:numFmt w:val="bullet"/>
      <w:lvlText w:val="•"/>
      <w:lvlJc w:val="left"/>
      <w:pPr>
        <w:ind w:left="4022" w:hanging="216"/>
      </w:pPr>
      <w:rPr>
        <w:rFonts w:hint="default"/>
        <w:lang w:val="en-us" w:eastAsia="en-us" w:bidi="en-us"/>
      </w:rPr>
    </w:lvl>
  </w:abstractNum>
  <w:abstractNum w:abstractNumId="6">
    <w:multiLevelType w:val="hybridMultilevel"/>
    <w:lvl w:ilvl="0">
      <w:start w:val="1"/>
      <w:numFmt w:val="decimal"/>
      <w:lvlText w:val="%1."/>
      <w:lvlJc w:val="left"/>
      <w:pPr>
        <w:ind w:left="632" w:hanging="216"/>
        <w:jc w:val="right"/>
      </w:pPr>
      <w:rPr>
        <w:rFonts w:hint="default" w:ascii="Times New Roman" w:hAnsi="Times New Roman" w:eastAsia="Times New Roman" w:cs="Times New Roman"/>
        <w:w w:val="100"/>
        <w:sz w:val="20"/>
        <w:szCs w:val="20"/>
        <w:lang w:val="en-us" w:eastAsia="en-us" w:bidi="en-us"/>
      </w:rPr>
    </w:lvl>
    <w:lvl w:ilvl="1">
      <w:start w:val="1"/>
      <w:numFmt w:val="lowerLetter"/>
      <w:lvlText w:val="%2."/>
      <w:lvlJc w:val="left"/>
      <w:pPr>
        <w:ind w:left="919" w:hanging="216"/>
        <w:jc w:val="left"/>
      </w:pPr>
      <w:rPr>
        <w:rFonts w:hint="default" w:ascii="Times New Roman" w:hAnsi="Times New Roman" w:eastAsia="Times New Roman" w:cs="Times New Roman"/>
        <w:spacing w:val="0"/>
        <w:w w:val="100"/>
        <w:sz w:val="20"/>
        <w:szCs w:val="20"/>
        <w:lang w:val="en-us" w:eastAsia="en-us" w:bidi="en-us"/>
      </w:rPr>
    </w:lvl>
    <w:lvl w:ilvl="2">
      <w:start w:val="0"/>
      <w:numFmt w:val="bullet"/>
      <w:lvlText w:val="•"/>
      <w:lvlJc w:val="left"/>
      <w:pPr>
        <w:ind w:left="920" w:hanging="216"/>
      </w:pPr>
      <w:rPr>
        <w:rFonts w:hint="default"/>
        <w:lang w:val="en-us" w:eastAsia="en-us" w:bidi="en-us"/>
      </w:rPr>
    </w:lvl>
    <w:lvl w:ilvl="3">
      <w:start w:val="0"/>
      <w:numFmt w:val="bullet"/>
      <w:lvlText w:val="•"/>
      <w:lvlJc w:val="left"/>
      <w:pPr>
        <w:ind w:left="1140" w:hanging="216"/>
      </w:pPr>
      <w:rPr>
        <w:rFonts w:hint="default"/>
        <w:lang w:val="en-us" w:eastAsia="en-us" w:bidi="en-us"/>
      </w:rPr>
    </w:lvl>
    <w:lvl w:ilvl="4">
      <w:start w:val="0"/>
      <w:numFmt w:val="bullet"/>
      <w:lvlText w:val="•"/>
      <w:lvlJc w:val="left"/>
      <w:pPr>
        <w:ind w:left="876" w:hanging="216"/>
      </w:pPr>
      <w:rPr>
        <w:rFonts w:hint="default"/>
        <w:lang w:val="en-us" w:eastAsia="en-us" w:bidi="en-us"/>
      </w:rPr>
    </w:lvl>
    <w:lvl w:ilvl="5">
      <w:start w:val="0"/>
      <w:numFmt w:val="bullet"/>
      <w:lvlText w:val="•"/>
      <w:lvlJc w:val="left"/>
      <w:pPr>
        <w:ind w:left="613" w:hanging="216"/>
      </w:pPr>
      <w:rPr>
        <w:rFonts w:hint="default"/>
        <w:lang w:val="en-us" w:eastAsia="en-us" w:bidi="en-us"/>
      </w:rPr>
    </w:lvl>
    <w:lvl w:ilvl="6">
      <w:start w:val="0"/>
      <w:numFmt w:val="bullet"/>
      <w:lvlText w:val="•"/>
      <w:lvlJc w:val="left"/>
      <w:pPr>
        <w:ind w:left="349" w:hanging="216"/>
      </w:pPr>
      <w:rPr>
        <w:rFonts w:hint="default"/>
        <w:lang w:val="en-us" w:eastAsia="en-us" w:bidi="en-us"/>
      </w:rPr>
    </w:lvl>
    <w:lvl w:ilvl="7">
      <w:start w:val="0"/>
      <w:numFmt w:val="bullet"/>
      <w:lvlText w:val="•"/>
      <w:lvlJc w:val="left"/>
      <w:pPr>
        <w:ind w:left="86" w:hanging="216"/>
      </w:pPr>
      <w:rPr>
        <w:rFonts w:hint="default"/>
        <w:lang w:val="en-us" w:eastAsia="en-us" w:bidi="en-us"/>
      </w:rPr>
    </w:lvl>
    <w:lvl w:ilvl="8">
      <w:start w:val="0"/>
      <w:numFmt w:val="bullet"/>
      <w:lvlText w:val="•"/>
      <w:lvlJc w:val="left"/>
      <w:pPr>
        <w:ind w:left="-178" w:hanging="216"/>
      </w:pPr>
      <w:rPr>
        <w:rFonts w:hint="default"/>
        <w:lang w:val="en-us" w:eastAsia="en-us" w:bidi="en-us"/>
      </w:rPr>
    </w:lvl>
  </w:abstractNum>
  <w:abstractNum w:abstractNumId="5">
    <w:multiLevelType w:val="hybridMultilevel"/>
    <w:lvl w:ilvl="0">
      <w:start w:val="1"/>
      <w:numFmt w:val="decimal"/>
      <w:lvlText w:val="%1."/>
      <w:lvlJc w:val="left"/>
      <w:pPr>
        <w:ind w:left="632" w:hanging="216"/>
        <w:jc w:val="left"/>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1133" w:hanging="216"/>
      </w:pPr>
      <w:rPr>
        <w:rFonts w:hint="default"/>
        <w:lang w:val="en-us" w:eastAsia="en-us" w:bidi="en-us"/>
      </w:rPr>
    </w:lvl>
    <w:lvl w:ilvl="2">
      <w:start w:val="0"/>
      <w:numFmt w:val="bullet"/>
      <w:lvlText w:val="•"/>
      <w:lvlJc w:val="left"/>
      <w:pPr>
        <w:ind w:left="1626" w:hanging="216"/>
      </w:pPr>
      <w:rPr>
        <w:rFonts w:hint="default"/>
        <w:lang w:val="en-us" w:eastAsia="en-us" w:bidi="en-us"/>
      </w:rPr>
    </w:lvl>
    <w:lvl w:ilvl="3">
      <w:start w:val="0"/>
      <w:numFmt w:val="bullet"/>
      <w:lvlText w:val="•"/>
      <w:lvlJc w:val="left"/>
      <w:pPr>
        <w:ind w:left="2120" w:hanging="216"/>
      </w:pPr>
      <w:rPr>
        <w:rFonts w:hint="default"/>
        <w:lang w:val="en-us" w:eastAsia="en-us" w:bidi="en-us"/>
      </w:rPr>
    </w:lvl>
    <w:lvl w:ilvl="4">
      <w:start w:val="0"/>
      <w:numFmt w:val="bullet"/>
      <w:lvlText w:val="•"/>
      <w:lvlJc w:val="left"/>
      <w:pPr>
        <w:ind w:left="2613" w:hanging="216"/>
      </w:pPr>
      <w:rPr>
        <w:rFonts w:hint="default"/>
        <w:lang w:val="en-us" w:eastAsia="en-us" w:bidi="en-us"/>
      </w:rPr>
    </w:lvl>
    <w:lvl w:ilvl="5">
      <w:start w:val="0"/>
      <w:numFmt w:val="bullet"/>
      <w:lvlText w:val="•"/>
      <w:lvlJc w:val="left"/>
      <w:pPr>
        <w:ind w:left="3106" w:hanging="216"/>
      </w:pPr>
      <w:rPr>
        <w:rFonts w:hint="default"/>
        <w:lang w:val="en-us" w:eastAsia="en-us" w:bidi="en-us"/>
      </w:rPr>
    </w:lvl>
    <w:lvl w:ilvl="6">
      <w:start w:val="0"/>
      <w:numFmt w:val="bullet"/>
      <w:lvlText w:val="•"/>
      <w:lvlJc w:val="left"/>
      <w:pPr>
        <w:ind w:left="3600" w:hanging="216"/>
      </w:pPr>
      <w:rPr>
        <w:rFonts w:hint="default"/>
        <w:lang w:val="en-us" w:eastAsia="en-us" w:bidi="en-us"/>
      </w:rPr>
    </w:lvl>
    <w:lvl w:ilvl="7">
      <w:start w:val="0"/>
      <w:numFmt w:val="bullet"/>
      <w:lvlText w:val="•"/>
      <w:lvlJc w:val="left"/>
      <w:pPr>
        <w:ind w:left="4093" w:hanging="216"/>
      </w:pPr>
      <w:rPr>
        <w:rFonts w:hint="default"/>
        <w:lang w:val="en-us" w:eastAsia="en-us" w:bidi="en-us"/>
      </w:rPr>
    </w:lvl>
    <w:lvl w:ilvl="8">
      <w:start w:val="0"/>
      <w:numFmt w:val="bullet"/>
      <w:lvlText w:val="•"/>
      <w:lvlJc w:val="left"/>
      <w:pPr>
        <w:ind w:left="4587" w:hanging="216"/>
      </w:pPr>
      <w:rPr>
        <w:rFonts w:hint="default"/>
        <w:lang w:val="en-us" w:eastAsia="en-us" w:bidi="en-us"/>
      </w:rPr>
    </w:lvl>
  </w:abstractNum>
  <w:abstractNum w:abstractNumId="4">
    <w:multiLevelType w:val="hybridMultilevel"/>
    <w:lvl w:ilvl="0">
      <w:start w:val="1"/>
      <w:numFmt w:val="decimal"/>
      <w:lvlText w:val="%1."/>
      <w:lvlJc w:val="left"/>
      <w:pPr>
        <w:ind w:left="632" w:hanging="216"/>
        <w:jc w:val="left"/>
      </w:pPr>
      <w:rPr>
        <w:rFonts w:hint="default" w:ascii="Times New Roman" w:hAnsi="Times New Roman" w:eastAsia="Times New Roman" w:cs="Times New Roman"/>
        <w:w w:val="100"/>
        <w:sz w:val="20"/>
        <w:szCs w:val="20"/>
        <w:lang w:val="en-us" w:eastAsia="en-us" w:bidi="en-us"/>
      </w:rPr>
    </w:lvl>
    <w:lvl w:ilvl="1">
      <w:start w:val="1"/>
      <w:numFmt w:val="lowerLetter"/>
      <w:lvlText w:val="%2)"/>
      <w:lvlJc w:val="left"/>
      <w:pPr>
        <w:ind w:left="847" w:hanging="207"/>
        <w:jc w:val="left"/>
      </w:pPr>
      <w:rPr>
        <w:rFonts w:hint="default" w:ascii="Times New Roman" w:hAnsi="Times New Roman" w:eastAsia="Times New Roman" w:cs="Times New Roman"/>
        <w:spacing w:val="0"/>
        <w:w w:val="100"/>
        <w:sz w:val="20"/>
        <w:szCs w:val="20"/>
        <w:lang w:val="en-us" w:eastAsia="en-us" w:bidi="en-us"/>
      </w:rPr>
    </w:lvl>
    <w:lvl w:ilvl="2">
      <w:start w:val="0"/>
      <w:numFmt w:val="bullet"/>
      <w:lvlText w:val="•"/>
      <w:lvlJc w:val="left"/>
      <w:pPr>
        <w:ind w:left="1366" w:hanging="207"/>
      </w:pPr>
      <w:rPr>
        <w:rFonts w:hint="default"/>
        <w:lang w:val="en-us" w:eastAsia="en-us" w:bidi="en-us"/>
      </w:rPr>
    </w:lvl>
    <w:lvl w:ilvl="3">
      <w:start w:val="0"/>
      <w:numFmt w:val="bullet"/>
      <w:lvlText w:val="•"/>
      <w:lvlJc w:val="left"/>
      <w:pPr>
        <w:ind w:left="1892" w:hanging="207"/>
      </w:pPr>
      <w:rPr>
        <w:rFonts w:hint="default"/>
        <w:lang w:val="en-us" w:eastAsia="en-us" w:bidi="en-us"/>
      </w:rPr>
    </w:lvl>
    <w:lvl w:ilvl="4">
      <w:start w:val="0"/>
      <w:numFmt w:val="bullet"/>
      <w:lvlText w:val="•"/>
      <w:lvlJc w:val="left"/>
      <w:pPr>
        <w:ind w:left="2418" w:hanging="207"/>
      </w:pPr>
      <w:rPr>
        <w:rFonts w:hint="default"/>
        <w:lang w:val="en-us" w:eastAsia="en-us" w:bidi="en-us"/>
      </w:rPr>
    </w:lvl>
    <w:lvl w:ilvl="5">
      <w:start w:val="0"/>
      <w:numFmt w:val="bullet"/>
      <w:lvlText w:val="•"/>
      <w:lvlJc w:val="left"/>
      <w:pPr>
        <w:ind w:left="2944" w:hanging="207"/>
      </w:pPr>
      <w:rPr>
        <w:rFonts w:hint="default"/>
        <w:lang w:val="en-us" w:eastAsia="en-us" w:bidi="en-us"/>
      </w:rPr>
    </w:lvl>
    <w:lvl w:ilvl="6">
      <w:start w:val="0"/>
      <w:numFmt w:val="bullet"/>
      <w:lvlText w:val="•"/>
      <w:lvlJc w:val="left"/>
      <w:pPr>
        <w:ind w:left="3470" w:hanging="207"/>
      </w:pPr>
      <w:rPr>
        <w:rFonts w:hint="default"/>
        <w:lang w:val="en-us" w:eastAsia="en-us" w:bidi="en-us"/>
      </w:rPr>
    </w:lvl>
    <w:lvl w:ilvl="7">
      <w:start w:val="0"/>
      <w:numFmt w:val="bullet"/>
      <w:lvlText w:val="•"/>
      <w:lvlJc w:val="left"/>
      <w:pPr>
        <w:ind w:left="3996" w:hanging="207"/>
      </w:pPr>
      <w:rPr>
        <w:rFonts w:hint="default"/>
        <w:lang w:val="en-us" w:eastAsia="en-us" w:bidi="en-us"/>
      </w:rPr>
    </w:lvl>
    <w:lvl w:ilvl="8">
      <w:start w:val="0"/>
      <w:numFmt w:val="bullet"/>
      <w:lvlText w:val="•"/>
      <w:lvlJc w:val="left"/>
      <w:pPr>
        <w:ind w:left="4522" w:hanging="207"/>
      </w:pPr>
      <w:rPr>
        <w:rFonts w:hint="default"/>
        <w:lang w:val="en-us" w:eastAsia="en-us" w:bidi="en-us"/>
      </w:rPr>
    </w:lvl>
  </w:abstractNum>
  <w:abstractNum w:abstractNumId="3">
    <w:multiLevelType w:val="hybridMultilevel"/>
    <w:lvl w:ilvl="0">
      <w:start w:val="1"/>
      <w:numFmt w:val="decimal"/>
      <w:lvlText w:val="%1."/>
      <w:lvlJc w:val="left"/>
      <w:pPr>
        <w:ind w:left="631" w:hanging="216"/>
        <w:jc w:val="left"/>
      </w:pPr>
      <w:rPr>
        <w:rFonts w:hint="default" w:ascii="Times New Roman" w:hAnsi="Times New Roman" w:eastAsia="Times New Roman" w:cs="Times New Roman"/>
        <w:w w:val="100"/>
        <w:sz w:val="20"/>
        <w:szCs w:val="20"/>
        <w:lang w:val="en-us" w:eastAsia="en-us" w:bidi="en-us"/>
      </w:rPr>
    </w:lvl>
    <w:lvl w:ilvl="1">
      <w:start w:val="1"/>
      <w:numFmt w:val="lowerLetter"/>
      <w:lvlText w:val="%2."/>
      <w:lvlJc w:val="left"/>
      <w:pPr>
        <w:ind w:left="920" w:hanging="216"/>
        <w:jc w:val="left"/>
      </w:pPr>
      <w:rPr>
        <w:rFonts w:hint="default" w:ascii="Times New Roman" w:hAnsi="Times New Roman" w:eastAsia="Times New Roman" w:cs="Times New Roman"/>
        <w:spacing w:val="0"/>
        <w:w w:val="100"/>
        <w:sz w:val="20"/>
        <w:szCs w:val="20"/>
        <w:lang w:val="en-us" w:eastAsia="en-us" w:bidi="en-us"/>
      </w:rPr>
    </w:lvl>
    <w:lvl w:ilvl="2">
      <w:start w:val="0"/>
      <w:numFmt w:val="bullet"/>
      <w:lvlText w:val="•"/>
      <w:lvlJc w:val="left"/>
      <w:pPr>
        <w:ind w:left="2046" w:hanging="216"/>
      </w:pPr>
      <w:rPr>
        <w:rFonts w:hint="default"/>
        <w:lang w:val="en-us" w:eastAsia="en-us" w:bidi="en-us"/>
      </w:rPr>
    </w:lvl>
    <w:lvl w:ilvl="3">
      <w:start w:val="0"/>
      <w:numFmt w:val="bullet"/>
      <w:lvlText w:val="•"/>
      <w:lvlJc w:val="left"/>
      <w:pPr>
        <w:ind w:left="3173" w:hanging="216"/>
      </w:pPr>
      <w:rPr>
        <w:rFonts w:hint="default"/>
        <w:lang w:val="en-us" w:eastAsia="en-us" w:bidi="en-us"/>
      </w:rPr>
    </w:lvl>
    <w:lvl w:ilvl="4">
      <w:start w:val="0"/>
      <w:numFmt w:val="bullet"/>
      <w:lvlText w:val="•"/>
      <w:lvlJc w:val="left"/>
      <w:pPr>
        <w:ind w:left="4300" w:hanging="216"/>
      </w:pPr>
      <w:rPr>
        <w:rFonts w:hint="default"/>
        <w:lang w:val="en-us" w:eastAsia="en-us" w:bidi="en-us"/>
      </w:rPr>
    </w:lvl>
    <w:lvl w:ilvl="5">
      <w:start w:val="0"/>
      <w:numFmt w:val="bullet"/>
      <w:lvlText w:val="•"/>
      <w:lvlJc w:val="left"/>
      <w:pPr>
        <w:ind w:left="5426" w:hanging="216"/>
      </w:pPr>
      <w:rPr>
        <w:rFonts w:hint="default"/>
        <w:lang w:val="en-us" w:eastAsia="en-us" w:bidi="en-us"/>
      </w:rPr>
    </w:lvl>
    <w:lvl w:ilvl="6">
      <w:start w:val="0"/>
      <w:numFmt w:val="bullet"/>
      <w:lvlText w:val="•"/>
      <w:lvlJc w:val="left"/>
      <w:pPr>
        <w:ind w:left="6553" w:hanging="216"/>
      </w:pPr>
      <w:rPr>
        <w:rFonts w:hint="default"/>
        <w:lang w:val="en-us" w:eastAsia="en-us" w:bidi="en-us"/>
      </w:rPr>
    </w:lvl>
    <w:lvl w:ilvl="7">
      <w:start w:val="0"/>
      <w:numFmt w:val="bullet"/>
      <w:lvlText w:val="•"/>
      <w:lvlJc w:val="left"/>
      <w:pPr>
        <w:ind w:left="7680" w:hanging="216"/>
      </w:pPr>
      <w:rPr>
        <w:rFonts w:hint="default"/>
        <w:lang w:val="en-us" w:eastAsia="en-us" w:bidi="en-us"/>
      </w:rPr>
    </w:lvl>
    <w:lvl w:ilvl="8">
      <w:start w:val="0"/>
      <w:numFmt w:val="bullet"/>
      <w:lvlText w:val="•"/>
      <w:lvlJc w:val="left"/>
      <w:pPr>
        <w:ind w:left="8806" w:hanging="216"/>
      </w:pPr>
      <w:rPr>
        <w:rFonts w:hint="default"/>
        <w:lang w:val="en-us" w:eastAsia="en-us" w:bidi="en-us"/>
      </w:rPr>
    </w:lvl>
  </w:abstractNum>
  <w:abstractNum w:abstractNumId="2">
    <w:multiLevelType w:val="hybridMultilevel"/>
    <w:lvl w:ilvl="0">
      <w:start w:val="12"/>
      <w:numFmt w:val="decimal"/>
      <w:lvlText w:val="%1-"/>
      <w:lvlJc w:val="left"/>
      <w:pPr>
        <w:ind w:left="200" w:hanging="270"/>
        <w:jc w:val="left"/>
      </w:pPr>
      <w:rPr>
        <w:rFonts w:hint="default" w:ascii="Times New Roman" w:hAnsi="Times New Roman" w:eastAsia="Times New Roman" w:cs="Times New Roman"/>
        <w:w w:val="100"/>
        <w:sz w:val="18"/>
        <w:szCs w:val="18"/>
        <w:lang w:val="en-us" w:eastAsia="en-us" w:bidi="en-us"/>
      </w:rPr>
    </w:lvl>
    <w:lvl w:ilvl="1">
      <w:start w:val="0"/>
      <w:numFmt w:val="bullet"/>
      <w:lvlText w:val="•"/>
      <w:lvlJc w:val="left"/>
      <w:pPr>
        <w:ind w:left="631" w:hanging="216"/>
      </w:pPr>
      <w:rPr>
        <w:rFonts w:hint="default" w:ascii="Times New Roman" w:hAnsi="Times New Roman" w:eastAsia="Times New Roman" w:cs="Times New Roman"/>
        <w:w w:val="100"/>
        <w:sz w:val="20"/>
        <w:szCs w:val="20"/>
        <w:lang w:val="en-us" w:eastAsia="en-us" w:bidi="en-us"/>
      </w:rPr>
    </w:lvl>
    <w:lvl w:ilvl="2">
      <w:start w:val="0"/>
      <w:numFmt w:val="bullet"/>
      <w:lvlText w:val="•"/>
      <w:lvlJc w:val="left"/>
      <w:pPr>
        <w:ind w:left="847" w:hanging="216"/>
      </w:pPr>
      <w:rPr>
        <w:rFonts w:hint="default" w:ascii="Times New Roman" w:hAnsi="Times New Roman" w:eastAsia="Times New Roman" w:cs="Times New Roman"/>
        <w:w w:val="100"/>
        <w:sz w:val="20"/>
        <w:szCs w:val="20"/>
        <w:lang w:val="en-us" w:eastAsia="en-us" w:bidi="en-us"/>
      </w:rPr>
    </w:lvl>
    <w:lvl w:ilvl="3">
      <w:start w:val="0"/>
      <w:numFmt w:val="bullet"/>
      <w:lvlText w:val="•"/>
      <w:lvlJc w:val="left"/>
      <w:pPr>
        <w:ind w:left="1431" w:hanging="216"/>
      </w:pPr>
      <w:rPr>
        <w:rFonts w:hint="default"/>
        <w:lang w:val="en-us" w:eastAsia="en-us" w:bidi="en-us"/>
      </w:rPr>
    </w:lvl>
    <w:lvl w:ilvl="4">
      <w:start w:val="0"/>
      <w:numFmt w:val="bullet"/>
      <w:lvlText w:val="•"/>
      <w:lvlJc w:val="left"/>
      <w:pPr>
        <w:ind w:left="2023" w:hanging="216"/>
      </w:pPr>
      <w:rPr>
        <w:rFonts w:hint="default"/>
        <w:lang w:val="en-us" w:eastAsia="en-us" w:bidi="en-us"/>
      </w:rPr>
    </w:lvl>
    <w:lvl w:ilvl="5">
      <w:start w:val="0"/>
      <w:numFmt w:val="bullet"/>
      <w:lvlText w:val="•"/>
      <w:lvlJc w:val="left"/>
      <w:pPr>
        <w:ind w:left="2615" w:hanging="216"/>
      </w:pPr>
      <w:rPr>
        <w:rFonts w:hint="default"/>
        <w:lang w:val="en-us" w:eastAsia="en-us" w:bidi="en-us"/>
      </w:rPr>
    </w:lvl>
    <w:lvl w:ilvl="6">
      <w:start w:val="0"/>
      <w:numFmt w:val="bullet"/>
      <w:lvlText w:val="•"/>
      <w:lvlJc w:val="left"/>
      <w:pPr>
        <w:ind w:left="3206" w:hanging="216"/>
      </w:pPr>
      <w:rPr>
        <w:rFonts w:hint="default"/>
        <w:lang w:val="en-us" w:eastAsia="en-us" w:bidi="en-us"/>
      </w:rPr>
    </w:lvl>
    <w:lvl w:ilvl="7">
      <w:start w:val="0"/>
      <w:numFmt w:val="bullet"/>
      <w:lvlText w:val="•"/>
      <w:lvlJc w:val="left"/>
      <w:pPr>
        <w:ind w:left="3798" w:hanging="216"/>
      </w:pPr>
      <w:rPr>
        <w:rFonts w:hint="default"/>
        <w:lang w:val="en-us" w:eastAsia="en-us" w:bidi="en-us"/>
      </w:rPr>
    </w:lvl>
    <w:lvl w:ilvl="8">
      <w:start w:val="0"/>
      <w:numFmt w:val="bullet"/>
      <w:lvlText w:val="•"/>
      <w:lvlJc w:val="left"/>
      <w:pPr>
        <w:ind w:left="4390" w:hanging="216"/>
      </w:pPr>
      <w:rPr>
        <w:rFonts w:hint="default"/>
        <w:lang w:val="en-us" w:eastAsia="en-us" w:bidi="en-us"/>
      </w:rPr>
    </w:lvl>
  </w:abstractNum>
  <w:num w:numId="10">
    <w:abstractNumId w:val="9"/>
  </w:num>
  <w:num w:numId="2">
    <w:abstractNumId w:val="1"/>
  </w:num>
  <w:num w:numId="1">
    <w:abstractNumId w:val="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39"/>
      <w:ind w:left="200"/>
    </w:pPr>
    <w:rPr>
      <w:rFonts w:ascii="Times New Roman" w:hAnsi="Times New Roman" w:eastAsia="Times New Roman" w:cs="Times New Roman"/>
      <w:sz w:val="20"/>
      <w:szCs w:val="20"/>
      <w:lang w:val="en-us" w:eastAsia="en-us" w:bidi="en-us"/>
    </w:rPr>
  </w:style>
  <w:style w:styleId="TOC2" w:type="paragraph">
    <w:name w:val="TOC 2"/>
    <w:basedOn w:val="Normal"/>
    <w:uiPriority w:val="1"/>
    <w:qFormat/>
    <w:pPr>
      <w:spacing w:before="39"/>
      <w:ind w:left="488"/>
    </w:pPr>
    <w:rPr>
      <w:rFonts w:ascii="Times New Roman" w:hAnsi="Times New Roman" w:eastAsia="Times New Roman" w:cs="Times New Roman"/>
      <w:sz w:val="20"/>
      <w:szCs w:val="20"/>
      <w:lang w:val="en-us" w:eastAsia="en-us" w:bidi="en-us"/>
    </w:rPr>
  </w:style>
  <w:style w:styleId="TOC3" w:type="paragraph">
    <w:name w:val="TOC 3"/>
    <w:basedOn w:val="Normal"/>
    <w:uiPriority w:val="1"/>
    <w:qFormat/>
    <w:pPr>
      <w:spacing w:before="39"/>
      <w:ind w:left="776"/>
    </w:pPr>
    <w:rPr>
      <w:rFonts w:ascii="Times New Roman" w:hAnsi="Times New Roman" w:eastAsia="Times New Roman" w:cs="Times New Roman"/>
      <w:sz w:val="20"/>
      <w:szCs w:val="20"/>
      <w:lang w:val="en-us" w:eastAsia="en-us" w:bidi="en-us"/>
    </w:rPr>
  </w:style>
  <w:style w:styleId="BodyText" w:type="paragraph">
    <w:name w:val="Body Text"/>
    <w:basedOn w:val="Normal"/>
    <w:uiPriority w:val="1"/>
    <w:qFormat/>
    <w:pPr>
      <w:spacing w:before="185"/>
      <w:ind w:left="200"/>
    </w:pPr>
    <w:rPr>
      <w:rFonts w:ascii="Times New Roman" w:hAnsi="Times New Roman" w:eastAsia="Times New Roman" w:cs="Times New Roman"/>
      <w:sz w:val="20"/>
      <w:szCs w:val="20"/>
      <w:lang w:val="en-us" w:eastAsia="en-us" w:bidi="en-us"/>
    </w:rPr>
  </w:style>
  <w:style w:styleId="Heading1" w:type="paragraph">
    <w:name w:val="Heading 1"/>
    <w:basedOn w:val="Normal"/>
    <w:uiPriority w:val="1"/>
    <w:qFormat/>
    <w:pPr>
      <w:spacing w:before="93"/>
      <w:ind w:left="200"/>
      <w:outlineLvl w:val="1"/>
    </w:pPr>
    <w:rPr>
      <w:rFonts w:ascii="Times New Roman" w:hAnsi="Times New Roman" w:eastAsia="Times New Roman" w:cs="Times New Roman"/>
      <w:b/>
      <w:bCs/>
      <w:sz w:val="48"/>
      <w:szCs w:val="48"/>
      <w:lang w:val="en-us" w:eastAsia="en-us" w:bidi="en-us"/>
    </w:rPr>
  </w:style>
  <w:style w:styleId="Heading2" w:type="paragraph">
    <w:name w:val="Heading 2"/>
    <w:basedOn w:val="Normal"/>
    <w:uiPriority w:val="1"/>
    <w:qFormat/>
    <w:pPr>
      <w:ind w:left="200"/>
      <w:outlineLvl w:val="2"/>
    </w:pPr>
    <w:rPr>
      <w:rFonts w:ascii="Times New Roman" w:hAnsi="Times New Roman" w:eastAsia="Times New Roman" w:cs="Times New Roman"/>
      <w:sz w:val="32"/>
      <w:szCs w:val="32"/>
      <w:lang w:val="en-us" w:eastAsia="en-us" w:bidi="en-us"/>
    </w:rPr>
  </w:style>
  <w:style w:styleId="Heading3" w:type="paragraph">
    <w:name w:val="Heading 3"/>
    <w:basedOn w:val="Normal"/>
    <w:uiPriority w:val="1"/>
    <w:qFormat/>
    <w:pPr>
      <w:spacing w:before="87"/>
      <w:ind w:left="200"/>
      <w:outlineLvl w:val="3"/>
    </w:pPr>
    <w:rPr>
      <w:rFonts w:ascii="Times New Roman" w:hAnsi="Times New Roman" w:eastAsia="Times New Roman" w:cs="Times New Roman"/>
      <w:sz w:val="28"/>
      <w:szCs w:val="28"/>
      <w:lang w:val="en-us" w:eastAsia="en-us" w:bidi="en-us"/>
    </w:rPr>
  </w:style>
  <w:style w:styleId="Heading4" w:type="paragraph">
    <w:name w:val="Heading 4"/>
    <w:basedOn w:val="Normal"/>
    <w:uiPriority w:val="1"/>
    <w:qFormat/>
    <w:pPr>
      <w:spacing w:before="171"/>
      <w:ind w:left="200"/>
      <w:outlineLvl w:val="4"/>
    </w:pPr>
    <w:rPr>
      <w:rFonts w:ascii="Times New Roman" w:hAnsi="Times New Roman" w:eastAsia="Times New Roman" w:cs="Times New Roman"/>
      <w:b/>
      <w:bCs/>
      <w:sz w:val="22"/>
      <w:szCs w:val="22"/>
      <w:lang w:val="en-us" w:eastAsia="en-us" w:bidi="en-us"/>
    </w:rPr>
  </w:style>
  <w:style w:styleId="Heading5" w:type="paragraph">
    <w:name w:val="Heading 5"/>
    <w:basedOn w:val="Normal"/>
    <w:uiPriority w:val="1"/>
    <w:qFormat/>
    <w:pPr>
      <w:spacing w:before="170"/>
      <w:ind w:left="200"/>
      <w:outlineLvl w:val="5"/>
    </w:pPr>
    <w:rPr>
      <w:rFonts w:ascii="Times New Roman" w:hAnsi="Times New Roman" w:eastAsia="Times New Roman" w:cs="Times New Roman"/>
      <w:sz w:val="21"/>
      <w:szCs w:val="21"/>
      <w:lang w:val="en-us" w:eastAsia="en-us" w:bidi="en-us"/>
    </w:rPr>
  </w:style>
  <w:style w:styleId="Heading6" w:type="paragraph">
    <w:name w:val="Heading 6"/>
    <w:basedOn w:val="Normal"/>
    <w:uiPriority w:val="1"/>
    <w:qFormat/>
    <w:pPr>
      <w:spacing w:before="130"/>
      <w:ind w:left="200"/>
      <w:outlineLvl w:val="6"/>
    </w:pPr>
    <w:rPr>
      <w:rFonts w:ascii="Times New Roman" w:hAnsi="Times New Roman" w:eastAsia="Times New Roman" w:cs="Times New Roman"/>
      <w:b/>
      <w:bCs/>
      <w:sz w:val="20"/>
      <w:szCs w:val="20"/>
      <w:lang w:val="en-us" w:eastAsia="en-us" w:bidi="en-us"/>
    </w:rPr>
  </w:style>
  <w:style w:styleId="ListParagraph" w:type="paragraph">
    <w:name w:val="List Paragraph"/>
    <w:basedOn w:val="Normal"/>
    <w:uiPriority w:val="1"/>
    <w:qFormat/>
    <w:pPr>
      <w:spacing w:before="188"/>
      <w:ind w:left="631" w:hanging="216"/>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spacing w:before="1"/>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yperlink" Target="http://www.msche.org/" TargetMode="External"/><Relationship Id="rId13" Type="http://schemas.openxmlformats.org/officeDocument/2006/relationships/hyperlink" Target="http://www.mhec.state.md.us/" TargetMode="External"/><Relationship Id="rId14" Type="http://schemas.openxmlformats.org/officeDocument/2006/relationships/hyperlink" Target="mailto:gradinfo@umaryland.edu" TargetMode="External"/><Relationship Id="rId15" Type="http://schemas.openxmlformats.org/officeDocument/2006/relationships/hyperlink" Target="http://www.graduate.umaryland.edu/"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yperlink" Target="http://www.gre.org/" TargetMode="External"/><Relationship Id="rId19" Type="http://schemas.openxmlformats.org/officeDocument/2006/relationships/hyperlink" Target="http://www.toefl.org/" TargetMode="External"/><Relationship Id="rId20" Type="http://schemas.openxmlformats.org/officeDocument/2006/relationships/hyperlink" Target="http://www.ielts.org/" TargetMode="External"/><Relationship Id="rId21" Type="http://schemas.openxmlformats.org/officeDocument/2006/relationships/hyperlink" Target="http://www.umaryland.edu/studenthealth" TargetMode="Externa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hyperlink" Target="http://www.dsd.state.md.us/comar/comarhtml/13b/13b.02" TargetMode="Externa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hyperlink" Target="http://graduate.umaryland.edu/Policies" TargetMode="External"/><Relationship Id="rId28" Type="http://schemas.openxmlformats.org/officeDocument/2006/relationships/hyperlink" Target="http://www.umaryland.edu/financialservices/student-accounting/" TargetMode="External"/><Relationship Id="rId29" Type="http://schemas.openxmlformats.org/officeDocument/2006/relationships/hyperlink" Target="http://umaryland.edu/surfs" TargetMode="External"/><Relationship Id="rId30" Type="http://schemas.openxmlformats.org/officeDocument/2006/relationships/hyperlink" Target="http://www.umaryland.edu/financialservices/student-" TargetMode="External"/><Relationship Id="rId31" Type="http://schemas.openxmlformats.org/officeDocument/2006/relationships/header" Target="header9.xml"/><Relationship Id="rId32" Type="http://schemas.openxmlformats.org/officeDocument/2006/relationships/header" Target="header10.xml"/><Relationship Id="rId33" Type="http://schemas.openxmlformats.org/officeDocument/2006/relationships/hyperlink" Target="http://www.umaryland.edu/orr/" TargetMode="External"/><Relationship Id="rId34" Type="http://schemas.openxmlformats.org/officeDocument/2006/relationships/hyperlink" Target="http://www.fafsa.ed.gov/" TargetMode="External"/><Relationship Id="rId35" Type="http://schemas.openxmlformats.org/officeDocument/2006/relationships/hyperlink" Target="mailto:aidtalk@umaryland.edu" TargetMode="External"/><Relationship Id="rId36" Type="http://schemas.openxmlformats.org/officeDocument/2006/relationships/hyperlink" Target="http://www.umaryland.edu/fin" TargetMode="External"/><Relationship Id="rId37" Type="http://schemas.openxmlformats.org/officeDocument/2006/relationships/hyperlink" Target="http://graduate.umaryland.edu/thanatology/" TargetMode="External"/><Relationship Id="rId38" Type="http://schemas.openxmlformats.org/officeDocument/2006/relationships/header" Target="header11.xml"/><Relationship Id="rId39" Type="http://schemas.openxmlformats.org/officeDocument/2006/relationships/header" Target="header12.xml"/><Relationship Id="rId40" Type="http://schemas.openxmlformats.org/officeDocument/2006/relationships/hyperlink" Target="https://www.dental.umaryland.edu/research/graduate-programs/biomedical-phd-program/" TargetMode="External"/><Relationship Id="rId41" Type="http://schemas.openxmlformats.org/officeDocument/2006/relationships/hyperlink" Target="http://www.graduate.umaryland.edu/palliative/About-the-" TargetMode="External"/><Relationship Id="rId42" Type="http://schemas.openxmlformats.org/officeDocument/2006/relationships/hyperlink" Target="http://www.graduate.umaryland.edu/forensicmedicine/" TargetMode="External"/><Relationship Id="rId43" Type="http://schemas.openxmlformats.org/officeDocument/2006/relationships/hyperlink" Target="https://www.graduate.umaryland.edu/globalhealthms/" TargetMode="External"/><Relationship Id="rId44" Type="http://schemas.openxmlformats.org/officeDocument/2006/relationships/hyperlink" Target="http://graduate.umaryland.edu/globalhealth/" TargetMode="External"/><Relationship Id="rId45" Type="http://schemas.openxmlformats.org/officeDocument/2006/relationships/hyperlink" Target="http://lifesciences.umaryland.edu/" TargetMode="External"/><Relationship Id="rId46" Type="http://schemas.openxmlformats.org/officeDocument/2006/relationships/hyperlink" Target="http://lifesciences.umaryland.edu/biochemistry/" TargetMode="External"/><Relationship Id="rId47" Type="http://schemas.openxmlformats.org/officeDocument/2006/relationships/hyperlink" Target="http://lifesciences.umaryland.edu/CMBS/" TargetMode="External"/><Relationship Id="rId48" Type="http://schemas.openxmlformats.org/officeDocument/2006/relationships/hyperlink" Target="http://lifesciences.umaryland.edu/epidemiology/" TargetMode="External"/><Relationship Id="rId49" Type="http://schemas.openxmlformats.org/officeDocument/2006/relationships/hyperlink" Target="http://lifesciences.umaryland.edu/gerontologyphd/" TargetMode="External"/><Relationship Id="rId50" Type="http://schemas.openxmlformats.org/officeDocument/2006/relationships/hyperlink" Target="https://lifesciences.umaryland.edu/epidemiology/Masters-Program/MS-in-Human-Genetics-and-Genomic-Medicine/" TargetMode="External"/><Relationship Id="rId51" Type="http://schemas.openxmlformats.org/officeDocument/2006/relationships/hyperlink" Target="http://lifesciences.umaryland.edu/molecularmedicine/" TargetMode="External"/><Relationship Id="rId52" Type="http://schemas.openxmlformats.org/officeDocument/2006/relationships/hyperlink" Target="http://lifesciences.umaryland.edu/microbiology/" TargetMode="External"/><Relationship Id="rId53" Type="http://schemas.openxmlformats.org/officeDocument/2006/relationships/hyperlink" Target="http://lifesciences.umaryland.edu/neuroscience/" TargetMode="External"/><Relationship Id="rId54" Type="http://schemas.openxmlformats.org/officeDocument/2006/relationships/hyperlink" Target="http://pt.umaryland.edu/" TargetMode="External"/><Relationship Id="rId55" Type="http://schemas.openxmlformats.org/officeDocument/2006/relationships/hyperlink" Target="http://lifesciences.umaryland.edu/rehabscience/" TargetMode="External"/><Relationship Id="rId56" Type="http://schemas.openxmlformats.org/officeDocument/2006/relationships/hyperlink" Target="https://lifesciences.umaryland.edu/rehabscience/Program-of-Study/Curriculum/" TargetMode="External"/><Relationship Id="rId57" Type="http://schemas.openxmlformats.org/officeDocument/2006/relationships/hyperlink" Target="http://www.graduate.umaryland.edu/healthscience/" TargetMode="External"/><Relationship Id="rId58" Type="http://schemas.openxmlformats.org/officeDocument/2006/relationships/hyperlink" Target="http://www.aacc.edu/" TargetMode="External"/><Relationship Id="rId59" Type="http://schemas.openxmlformats.org/officeDocument/2006/relationships/hyperlink" Target="https://graduate.umaryland.edu/innovation/" TargetMode="External"/><Relationship Id="rId60" Type="http://schemas.openxmlformats.org/officeDocument/2006/relationships/hyperlink" Target="https://graduate.umaryland.edu/healthprofessionsed/" TargetMode="External"/><Relationship Id="rId61" Type="http://schemas.openxmlformats.org/officeDocument/2006/relationships/hyperlink" Target="http://graduate.umaryland.edu/research/" TargetMode="External"/><Relationship Id="rId62" Type="http://schemas.openxmlformats.org/officeDocument/2006/relationships/hyperlink" Target="http://graduate.umaryland.edu/wellness/" TargetMode="External"/><Relationship Id="rId63" Type="http://schemas.openxmlformats.org/officeDocument/2006/relationships/hyperlink" Target="http://www.graduate.umaryland.edu/Intercultural/" TargetMode="External"/><Relationship Id="rId64" Type="http://schemas.openxmlformats.org/officeDocument/2006/relationships/hyperlink" Target="https://www.graduate.umaryland.edu/palliative/About-the-Program/" TargetMode="External"/><Relationship Id="rId65" Type="http://schemas.openxmlformats.org/officeDocument/2006/relationships/hyperlink" Target="http://mees.umd.edu/" TargetMode="External"/><Relationship Id="rId66" Type="http://schemas.openxmlformats.org/officeDocument/2006/relationships/hyperlink" Target="http://medschool.umaryland.edu/dmrt/" TargetMode="External"/><Relationship Id="rId67" Type="http://schemas.openxmlformats.org/officeDocument/2006/relationships/hyperlink" Target="https://www.pharmacy.umaryland.edu/academics/ms-medical-cannabis-science-and-therapeutics/" TargetMode="External"/><Relationship Id="rId68" Type="http://schemas.openxmlformats.org/officeDocument/2006/relationships/hyperlink" Target="http://nursing.umaryland.edu/" TargetMode="External"/><Relationship Id="rId69" Type="http://schemas.openxmlformats.org/officeDocument/2006/relationships/hyperlink" Target="http://www.nursing.umaryland.edu/academics/doctoral/dnp/" TargetMode="External"/><Relationship Id="rId70" Type="http://schemas.openxmlformats.org/officeDocument/2006/relationships/hyperlink" Target="http://www.nursing.umaryland.edu/admissions/" TargetMode="External"/><Relationship Id="rId71" Type="http://schemas.openxmlformats.org/officeDocument/2006/relationships/hyperlink" Target="http://www.dental.umaryland.edu/ods/education/" TargetMode="External"/><Relationship Id="rId72" Type="http://schemas.openxmlformats.org/officeDocument/2006/relationships/hyperlink" Target="http://graduate.umaryland.edu/palliative/" TargetMode="External"/><Relationship Id="rId73" Type="http://schemas.openxmlformats.org/officeDocument/2006/relationships/hyperlink" Target="http://www.medschool.umaryland.edu/pathology/Pathologists%E2%80%99s-Assistant-Program/" TargetMode="External"/><Relationship Id="rId74" Type="http://schemas.openxmlformats.org/officeDocument/2006/relationships/hyperlink" Target="http://www.naacls.org/" TargetMode="External"/><Relationship Id="rId75" Type="http://schemas.openxmlformats.org/officeDocument/2006/relationships/hyperlink" Target="http://pharmacy.umaryland.edu/academics/phsr/" TargetMode="External"/><Relationship Id="rId76" Type="http://schemas.openxmlformats.org/officeDocument/2006/relationships/hyperlink" Target="http://graduate.umaryland.edu/Admissions/Apply-Now/" TargetMode="External"/><Relationship Id="rId77" Type="http://schemas.openxmlformats.org/officeDocument/2006/relationships/hyperlink" Target="http://www.pharmacy.umaryland.edu/graduate/psc/" TargetMode="External"/><Relationship Id="rId78" Type="http://schemas.openxmlformats.org/officeDocument/2006/relationships/hyperlink" Target="http://www.pharmacy.umaryland.edu/academics/pharmacometrics/" TargetMode="External"/><Relationship Id="rId79" Type="http://schemas.openxmlformats.org/officeDocument/2006/relationships/hyperlink" Target="http://www.pharmacy.umaryland.edu/academics/regulatoryscience/" TargetMode="External"/><Relationship Id="rId80" Type="http://schemas.openxmlformats.org/officeDocument/2006/relationships/hyperlink" Target="http://graduate.umaryland.edu/researchadmin/" TargetMode="External"/><Relationship Id="rId81" Type="http://schemas.openxmlformats.org/officeDocument/2006/relationships/hyperlink" Target="http://www.graduate.umaryland.edu/research-ethics/" TargetMode="External"/><Relationship Id="rId82" Type="http://schemas.openxmlformats.org/officeDocument/2006/relationships/hyperlink" Target="http://www.graduate.umaryland.edu/scicomm/" TargetMode="External"/><Relationship Id="rId83" Type="http://schemas.openxmlformats.org/officeDocument/2006/relationships/hyperlink" Target="http://www.ssw.umaryland.edu/phd/" TargetMode="External"/><Relationship Id="rId84" Type="http://schemas.openxmlformats.org/officeDocument/2006/relationships/header" Target="header13.xml"/><Relationship Id="rId85" Type="http://schemas.openxmlformats.org/officeDocument/2006/relationships/header" Target="header14.xml"/><Relationship Id="rId86" Type="http://schemas.openxmlformats.org/officeDocument/2006/relationships/header" Target="header15.xml"/><Relationship Id="rId87" Type="http://schemas.openxmlformats.org/officeDocument/2006/relationships/header" Target="header16.xml"/><Relationship Id="rId88" Type="http://schemas.openxmlformats.org/officeDocument/2006/relationships/header" Target="header17.xml"/><Relationship Id="rId89" Type="http://schemas.openxmlformats.org/officeDocument/2006/relationships/header" Target="header18.xml"/><Relationship Id="rId90" Type="http://schemas.openxmlformats.org/officeDocument/2006/relationships/header" Target="header19.xml"/><Relationship Id="rId91" Type="http://schemas.openxmlformats.org/officeDocument/2006/relationships/header" Target="header20.xml"/><Relationship Id="rId92" Type="http://schemas.openxmlformats.org/officeDocument/2006/relationships/header" Target="header21.xml"/><Relationship Id="rId93" Type="http://schemas.openxmlformats.org/officeDocument/2006/relationships/header" Target="header22.xml"/><Relationship Id="rId94" Type="http://schemas.openxmlformats.org/officeDocument/2006/relationships/header" Target="header23.xml"/><Relationship Id="rId95" Type="http://schemas.openxmlformats.org/officeDocument/2006/relationships/header" Target="header24.xml"/><Relationship Id="rId96" Type="http://schemas.openxmlformats.org/officeDocument/2006/relationships/header" Target="header25.xml"/><Relationship Id="rId97" Type="http://schemas.openxmlformats.org/officeDocument/2006/relationships/header" Target="header26.xml"/><Relationship Id="rId98" Type="http://schemas.openxmlformats.org/officeDocument/2006/relationships/header" Target="header27.xml"/><Relationship Id="rId99" Type="http://schemas.openxmlformats.org/officeDocument/2006/relationships/header" Target="header28.xml"/><Relationship Id="rId100" Type="http://schemas.openxmlformats.org/officeDocument/2006/relationships/header" Target="header29.xml"/><Relationship Id="rId101" Type="http://schemas.openxmlformats.org/officeDocument/2006/relationships/header" Target="header30.xml"/><Relationship Id="rId102" Type="http://schemas.openxmlformats.org/officeDocument/2006/relationships/header" Target="header31.xml"/><Relationship Id="rId103" Type="http://schemas.openxmlformats.org/officeDocument/2006/relationships/header" Target="header32.xml"/><Relationship Id="rId104" Type="http://schemas.openxmlformats.org/officeDocument/2006/relationships/header" Target="header33.xml"/><Relationship Id="rId105" Type="http://schemas.openxmlformats.org/officeDocument/2006/relationships/header" Target="header34.xml"/><Relationship Id="rId106" Type="http://schemas.openxmlformats.org/officeDocument/2006/relationships/header" Target="header35.xml"/><Relationship Id="rId107" Type="http://schemas.openxmlformats.org/officeDocument/2006/relationships/header" Target="header36.xml"/><Relationship Id="rId108" Type="http://schemas.openxmlformats.org/officeDocument/2006/relationships/header" Target="header37.xml"/><Relationship Id="rId109" Type="http://schemas.openxmlformats.org/officeDocument/2006/relationships/header" Target="header38.xml"/><Relationship Id="rId110" Type="http://schemas.openxmlformats.org/officeDocument/2006/relationships/header" Target="header39.xml"/><Relationship Id="rId111" Type="http://schemas.openxmlformats.org/officeDocument/2006/relationships/header" Target="header40.xml"/><Relationship Id="rId112" Type="http://schemas.openxmlformats.org/officeDocument/2006/relationships/header" Target="header41.xml"/><Relationship Id="rId113" Type="http://schemas.openxmlformats.org/officeDocument/2006/relationships/header" Target="header42.xml"/><Relationship Id="rId114" Type="http://schemas.openxmlformats.org/officeDocument/2006/relationships/header" Target="header43.xml"/><Relationship Id="rId115" Type="http://schemas.openxmlformats.org/officeDocument/2006/relationships/header" Target="header44.xml"/><Relationship Id="rId116" Type="http://schemas.openxmlformats.org/officeDocument/2006/relationships/header" Target="header45.xml"/><Relationship Id="rId117" Type="http://schemas.openxmlformats.org/officeDocument/2006/relationships/header" Target="header46.xml"/><Relationship Id="rId118" Type="http://schemas.openxmlformats.org/officeDocument/2006/relationships/header" Target="header47.xml"/><Relationship Id="rId119" Type="http://schemas.openxmlformats.org/officeDocument/2006/relationships/header" Target="header48.xml"/><Relationship Id="rId120" Type="http://schemas.openxmlformats.org/officeDocument/2006/relationships/header" Target="header49.xml"/><Relationship Id="rId121" Type="http://schemas.openxmlformats.org/officeDocument/2006/relationships/header" Target="header50.xml"/><Relationship Id="rId122" Type="http://schemas.openxmlformats.org/officeDocument/2006/relationships/header" Target="header51.xml"/><Relationship Id="rId123" Type="http://schemas.openxmlformats.org/officeDocument/2006/relationships/header" Target="header52.xml"/><Relationship Id="rId124" Type="http://schemas.openxmlformats.org/officeDocument/2006/relationships/header" Target="header53.xml"/><Relationship Id="rId125" Type="http://schemas.openxmlformats.org/officeDocument/2006/relationships/header" Target="header54.xml"/><Relationship Id="rId126" Type="http://schemas.openxmlformats.org/officeDocument/2006/relationships/header" Target="header55.xml"/><Relationship Id="rId127" Type="http://schemas.openxmlformats.org/officeDocument/2006/relationships/header" Target="header56.xml"/><Relationship Id="rId128" Type="http://schemas.openxmlformats.org/officeDocument/2006/relationships/header" Target="header57.xml"/><Relationship Id="rId129" Type="http://schemas.openxmlformats.org/officeDocument/2006/relationships/header" Target="header58.xml"/><Relationship Id="rId130" Type="http://schemas.openxmlformats.org/officeDocument/2006/relationships/header" Target="header59.xml"/><Relationship Id="rId131" Type="http://schemas.openxmlformats.org/officeDocument/2006/relationships/header" Target="header60.xml"/><Relationship Id="rId132" Type="http://schemas.openxmlformats.org/officeDocument/2006/relationships/header" Target="header61.xml"/><Relationship Id="rId133" Type="http://schemas.openxmlformats.org/officeDocument/2006/relationships/header" Target="header62.xml"/><Relationship Id="rId134" Type="http://schemas.openxmlformats.org/officeDocument/2006/relationships/header" Target="header63.xml"/><Relationship Id="rId135" Type="http://schemas.openxmlformats.org/officeDocument/2006/relationships/header" Target="header64.xml"/><Relationship Id="rId136" Type="http://schemas.openxmlformats.org/officeDocument/2006/relationships/header" Target="header65.xml"/><Relationship Id="rId137" Type="http://schemas.openxmlformats.org/officeDocument/2006/relationships/header" Target="header66.xml"/><Relationship Id="rId138" Type="http://schemas.openxmlformats.org/officeDocument/2006/relationships/header" Target="header67.xml"/><Relationship Id="rId139" Type="http://schemas.openxmlformats.org/officeDocument/2006/relationships/header" Target="header68.xml"/><Relationship Id="rId140" Type="http://schemas.openxmlformats.org/officeDocument/2006/relationships/hyperlink" Target="http://www.umaryland.edu/policies/#student" TargetMode="External"/><Relationship Id="rId141" Type="http://schemas.openxmlformats.org/officeDocument/2006/relationships/header" Target="header69.xml"/><Relationship Id="rId142" Type="http://schemas.openxmlformats.org/officeDocument/2006/relationships/header" Target="header70.xml"/><Relationship Id="rId143" Type="http://schemas.openxmlformats.org/officeDocument/2006/relationships/header" Target="header71.xml"/><Relationship Id="rId144" Type="http://schemas.openxmlformats.org/officeDocument/2006/relationships/header" Target="header72.xml"/><Relationship Id="rId145" Type="http://schemas.openxmlformats.org/officeDocument/2006/relationships/header" Target="header73.xml"/><Relationship Id="rId146" Type="http://schemas.openxmlformats.org/officeDocument/2006/relationships/header" Target="header74.xml"/><Relationship Id="rId147" Type="http://schemas.openxmlformats.org/officeDocument/2006/relationships/hyperlink" Target="http://www.umaryland.edu/disabilityservices" TargetMode="External"/><Relationship Id="rId148" Type="http://schemas.openxmlformats.org/officeDocument/2006/relationships/hyperlink" Target="http://umaryland.edu/academicaffairs/policies" TargetMode="External"/><Relationship Id="rId1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Frasier</dc:creator>
  <dc:title>General Catalog 2006</dc:title>
  <dcterms:created xsi:type="dcterms:W3CDTF">2020-11-24T01:45:45Z</dcterms:created>
  <dcterms:modified xsi:type="dcterms:W3CDTF">2020-11-24T01:45:45Z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2020-11-23T00:00:00Z</vt:filetime>
  </property>
  <property fmtid="{D5CDD505-2E9C-101B-9397-08002B2CF9AE}" pid="3" name="Creator">
    <vt:lpwstr>Acrobat PDFMaker 17 for Word</vt:lpwstr>
  </property>
  <property fmtid="{D5CDD505-2E9C-101B-9397-08002B2CF9AE}" pid="4" name="LastSaved">
    <vt:filetime>2020-11-24T00:00:00Z</vt:filetime>
  </property>
</Properties>
</file>